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Registre maitre des demandes entrantes</w:t>
      </w:r>
    </w:p>
    <w:p>
      <w:r>
        <w:t>Usage interne : ce registre permet d'attribuer un numero unique a chaque demande recue par TVF, quel que soit le canal d'entree.</w:t>
      </w:r>
    </w:p>
    <w:p>
      <w:pPr>
        <w:pStyle w:val="Heading1"/>
      </w:pPr>
      <w:r>
        <w:t>Regle de numerotation</w:t>
      </w:r>
    </w:p>
    <w:p>
      <w:r>
        <w:t>Format obligatoire : `TVF-AAAA-0001`</w:t>
      </w:r>
    </w:p>
    <w:p>
      <w:r>
        <w:t>Exemple : `TVF-2026-0001`</w:t>
      </w:r>
    </w:p>
    <w:p>
      <w:r>
        <w:t>Le numero doit etre conserve dans tous les echanges, formulaires, pieces, conventions, comptes rendus et decisions.</w:t>
      </w:r>
    </w:p>
    <w:p>
      <w:pPr>
        <w:pStyle w:val="Heading1"/>
      </w:pPr>
      <w:r>
        <w:t>Tableau de suivi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N dossier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Date reception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Canal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Formulaire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Public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Nom / organisme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Commune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Objet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Priorite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Statut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Pieces recues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Pieces manquantes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Prochaine action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Date relance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Responsable TVF</w:t>
            </w:r>
          </w:p>
        </w:tc>
      </w:tr>
      <w:tr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TVF-2026-0001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Site / Email / WhatsApp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F-__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P1 / P2 / P3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Recu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TVF-2026-0002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F-__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P1 / P2 / P3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 completer</w:t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63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Statuts autorises</w:t>
      </w:r>
    </w:p>
    <w:p>
      <w:pPr>
        <w:pStyle w:val="ListBullet"/>
      </w:pPr>
      <w:r>
        <w:t>Recu</w:t>
      </w:r>
    </w:p>
    <w:p>
      <w:pPr>
        <w:pStyle w:val="ListBullet"/>
      </w:pPr>
      <w:r>
        <w:t>A completer</w:t>
      </w:r>
    </w:p>
    <w:p>
      <w:pPr>
        <w:pStyle w:val="ListBullet"/>
      </w:pPr>
      <w:r>
        <w:t>En qualification</w:t>
      </w:r>
    </w:p>
    <w:p>
      <w:pPr>
        <w:pStyle w:val="ListBullet"/>
      </w:pPr>
      <w:r>
        <w:t>Rendez-vous propose</w:t>
      </w:r>
    </w:p>
    <w:p>
      <w:pPr>
        <w:pStyle w:val="ListBullet"/>
      </w:pPr>
      <w:r>
        <w:t>En attente retour</w:t>
      </w:r>
    </w:p>
    <w:p>
      <w:pPr>
        <w:pStyle w:val="ListBullet"/>
      </w:pPr>
      <w:r>
        <w:t>A instruire</w:t>
      </w:r>
    </w:p>
    <w:p>
      <w:pPr>
        <w:pStyle w:val="ListBullet"/>
      </w:pPr>
      <w:r>
        <w:t>Accepte pour etude</w:t>
      </w:r>
    </w:p>
    <w:p>
      <w:pPr>
        <w:pStyle w:val="ListBullet"/>
      </w:pPr>
      <w:r>
        <w:t>Reoriente</w:t>
      </w:r>
    </w:p>
    <w:p>
      <w:pPr>
        <w:pStyle w:val="ListBullet"/>
      </w:pPr>
      <w:r>
        <w:t>Refuse</w:t>
      </w:r>
    </w:p>
    <w:p>
      <w:pPr>
        <w:pStyle w:val="ListBullet"/>
      </w:pPr>
      <w:r>
        <w:t>Archive</w:t>
      </w:r>
    </w:p>
    <w:p>
      <w:pPr>
        <w:pStyle w:val="Heading1"/>
      </w:pPr>
      <w:r>
        <w:t>Priorites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Priorite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7"/>
              </w:rPr>
              <w:t>Delai cible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strategique : collectivite, financeur, local, vehicule, bien mobilisable, gros volume de materiaux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48 h ouvrees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operationnelle utile : benevolat, materiaux, association, signalement qualifie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5 jours ouvres</w:t>
            </w:r>
          </w:p>
        </w:tc>
      </w:tr>
      <w:tr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 generale, information, sujet non prioritaire</w:t>
            </w:r>
          </w:p>
        </w:tc>
        <w:tc>
          <w:tcPr>
            <w:tcW w:type="dxa" w:w="336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7 a 10 jours ouvres</w:t>
            </w:r>
          </w:p>
        </w:tc>
      </w:tr>
    </w:tbl>
    <w:p>
      <w:pPr>
        <w:pStyle w:val="Heading1"/>
      </w:pPr>
      <w:r>
        <w:t>Regle de prudence</w:t>
      </w:r>
    </w:p>
    <w:p>
      <w:r>
        <w:t>Aucune demande ne doit etre consideree comme acceptee tant qu'elle n'a pas ete qualifiee, instruite et validee par TVF. Toute cooperation doit etre formalisee par un ecrit adapte.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3444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82296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6"/>
      </w:rPr>
      <w:br/>
      <w:t>TERRITOIRES VIVANTS FRANCE - Pilotage interne des demandes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