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TERRITOIRES VIVANTS FRANCE</w:t>
      </w:r>
    </w:p>
    <w:p>
      <w:pPr>
        <w:pStyle w:val="Heading1"/>
      </w:pPr>
      <w:r>
        <w:t>Matrice formulaire vers suite TVF</w:t>
      </w:r>
    </w:p>
    <w:p>
      <w:r>
        <w:t>Ce document indique quelle suite donner a chaque formulaire recu.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Formulaire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Suite immediate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Pieces prioritaires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Document suivant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  <w:shd w:fill="0E2D45"/>
          </w:tcPr>
          <w:p>
            <w:r>
              <w:rPr>
                <w:b/>
                <w:color w:val="FFFFFF"/>
                <w:sz w:val="15"/>
              </w:rPr>
              <w:t>Decision possible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F-01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Contact general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Qualifier et orienter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Message, profil, contact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Formulaire specialise si besoin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Orientation / classement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F-02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Collectivite territoire partenaire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Proposer rendez-vous de cadrage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Note besoin, territoire, service referent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Fiche territoire partenaire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Etude / convention cooperation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F-03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Proprietaire bien vacant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Demander pieces et photos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Propriete, adresse, photos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Fiche bien solidaire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Visite / refus / etude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F-04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Proposition materiaux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Qualifier acceptabilite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Photos, quantite, etat, retrait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Bordereau don materiaux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Acceptation / refus / attente projet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F-05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Entreprise partenariat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Qualifier contribution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Type apport, volume, calendrier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Fiche entreprise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Convention partenariat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F-06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Local stockage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Verifier securite et acces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Photos, surface, duree, mandat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Protocole local stockage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Visite / convention mise a disposition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F-07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Vehicule logistique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Verifier assurance et usage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Fiche vehicule, conditions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Accord logistique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Accord ponctuel / refus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F-08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Benevole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Orienter mission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Disponibilites, competences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Fiche mission benevole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Mission / attente / refus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F-09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Association insertion chantier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Etudier cadre d'action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Assurance, encadrement, public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Cadre chantier insertion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Convention / plan prevention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F-10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Financeur mecene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Preparer note d'opportunite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Criteres, calendrier, montant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Dossier financement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Rendez-vous / depot dossier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F-11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Signalement citoyen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Verifier sans publier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Localisation, photos publiques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Protocole qualification signalement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Qualification / archive</w:t>
            </w:r>
          </w:p>
        </w:tc>
      </w:tr>
      <w:tr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F-12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Presse institutionnel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Repondre avec elements officiels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Sujet, delai, media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Kit media</w:t>
            </w:r>
          </w:p>
        </w:tc>
        <w:tc>
          <w:tcPr>
            <w:tcW w:type="dxa" w:w="168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5"/>
              </w:rPr>
              <w:t>Interview / reponse ecrite</w:t>
            </w:r>
          </w:p>
        </w:tc>
      </w:tr>
    </w:tbl>
    <w:p>
      <w:pPr>
        <w:pStyle w:val="Heading1"/>
      </w:pPr>
      <w:r>
        <w:t>Delais de traitement recommandes</w:t>
      </w:r>
    </w:p>
    <w:p>
      <w:pPr>
        <w:pStyle w:val="ListBullet"/>
      </w:pPr>
      <w:r>
        <w:t>P1 : premiere reponse sous 48 heures ouvrees.</w:t>
      </w:r>
    </w:p>
    <w:p>
      <w:pPr>
        <w:pStyle w:val="ListBullet"/>
      </w:pPr>
      <w:r>
        <w:t>P2 : premiere reponse sous 5 jours ouvres.</w:t>
      </w:r>
    </w:p>
    <w:p>
      <w:pPr>
        <w:pStyle w:val="ListBullet"/>
      </w:pPr>
      <w:r>
        <w:t>P3 : premiere reponse sous 7 a 10 jours ouvres.</w:t>
      </w:r>
    </w:p>
    <w:p>
      <w:pPr>
        <w:pStyle w:val="Heading1"/>
      </w:pPr>
      <w:r>
        <w:t>Regle de decision</w:t>
      </w:r>
    </w:p>
    <w:p>
      <w:r>
        <w:t>La suite d'un formulaire doit toujours etre classee dans une des categories suivantes :</w:t>
      </w:r>
    </w:p>
    <w:p>
      <w:pPr>
        <w:pStyle w:val="ListBullet"/>
      </w:pPr>
      <w:r>
        <w:t>a completer ;</w:t>
      </w:r>
    </w:p>
    <w:p>
      <w:pPr>
        <w:pStyle w:val="ListBullet"/>
      </w:pPr>
      <w:r>
        <w:t>rendez-vous ;</w:t>
      </w:r>
    </w:p>
    <w:p>
      <w:pPr>
        <w:pStyle w:val="ListBullet"/>
      </w:pPr>
      <w:r>
        <w:t>instruction interne ;</w:t>
      </w:r>
    </w:p>
    <w:p>
      <w:pPr>
        <w:pStyle w:val="ListBullet"/>
      </w:pPr>
      <w:r>
        <w:t>reorientation ;</w:t>
      </w:r>
    </w:p>
    <w:p>
      <w:pPr>
        <w:pStyle w:val="ListBullet"/>
      </w:pPr>
      <w:r>
        <w:t>refus motive ;</w:t>
      </w:r>
    </w:p>
    <w:p>
      <w:pPr>
        <w:pStyle w:val="ListBullet"/>
      </w:pPr>
      <w:r>
        <w:t>archivage ;</w:t>
      </w:r>
    </w:p>
    <w:p>
      <w:pPr>
        <w:pStyle w:val="ListBullet"/>
      </w:pPr>
      <w:r>
        <w:t>passage en convention.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23444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82296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6"/>
      </w:rPr>
      <w:br/>
      <w:t>TERRITOIRES VIVANTS FRANCE - Pilotage interne des demandes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