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20"/>
      </w:tblGrid>
      <w:tr>
        <w:tc>
          <w:tcPr>
            <w:tcW w:type="dxa" w:w="532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14400" cy="283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territoires-vivants-france-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83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spacing w:after="0"/>
              <w:jc w:val="right"/>
            </w:pPr>
            <w:r/>
            <w:r>
              <w:rPr>
                <w:rFonts w:ascii="Manrope" w:hAnsi="Manrope"/>
                <w:b/>
                <w:color w:val="18392F"/>
                <w:sz w:val="24"/>
              </w:rPr>
              <w:t>Territoires Vivants France</w:t>
              <w:br/>
            </w:r>
            <w:r>
              <w:rPr>
                <w:rFonts w:ascii="Inter" w:hAnsi="Inter"/>
                <w:color w:val="1F2937"/>
                <w:sz w:val="17"/>
              </w:rPr>
              <w:t>Agence Territoriale de Revitalisation Immobilière</w:t>
              <w:br/>
            </w:r>
            <w:r>
              <w:rPr>
                <w:rFonts w:ascii="Inter" w:hAnsi="Inter"/>
                <w:color w:val="667085"/>
                <w:sz w:val="14"/>
              </w:rPr>
              <w:t>25 rue Élise Gervais, 42000 Saint-Étienne | 04 65 81 54 69 | contact@territoiresvivantsfrance.fr</w:t>
              <w:br/>
              <w:t>RNA W922015538 | SIRET 897 226 138 00018</w:t>
            </w:r>
          </w:p>
        </w:tc>
      </w:tr>
    </w:tbl>
    <w:p>
      <w:pPr>
        <w:spacing w:before="120" w:after="40"/>
        <w:jc w:val="center"/>
      </w:pPr>
      <w:r>
        <w:rPr>
          <w:rFonts w:ascii="Manrope" w:hAnsi="Manrope"/>
          <w:b/>
          <w:color w:val="18392F"/>
          <w:sz w:val="29"/>
        </w:rPr>
        <w:t>FICHE INTERNE TVF — VISITE ET DIAGNOSTIC INITIAL</w:t>
      </w:r>
    </w:p>
    <w:p>
      <w:pPr>
        <w:spacing w:after="80"/>
        <w:jc w:val="center"/>
      </w:pPr>
      <w:r>
        <w:rPr>
          <w:rFonts w:ascii="Inter" w:hAnsi="Inter"/>
          <w:color w:val="667085"/>
          <w:sz w:val="16"/>
        </w:rPr>
        <w:t>Constat interne non réglementaire — usage interne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F8EF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667085"/>
                <w:sz w:val="15"/>
              </w:rPr>
              <w:t>Cette fiche est un outil interne de visite et de diagnostic initial. Elle ne remplace pas un diagnostic technique, immobilier, énergétique, structurel, juridique ou sanitaire réalisé par un professionnel habilité.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1. Référence interne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Numéro dossier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Date de visite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Agent TVF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Bien concerné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Propriétaire / interlocuteur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2. Conditions de visite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Accord propriétaire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Accord mandataire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Depuis voie publique uniquement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Visite extérieure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Visite intérieure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Accès partiel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Accès impossible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Photos autorisées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3. Description générale du bien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Type de bien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Surface estimée si connue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Nombre de niveaux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Usage initial supposé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Environnement proche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4. État apparent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Structure à vérifier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Toiture visible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Façade dégradée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Menuiseries à vérifier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Réseaux à vérifier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Humidité visible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Accès difficile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Parties communes concernées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Extérieurs délaissés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Compteurs visibles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5. Niveau de dégradation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Bon état apparent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Travaux légers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Travaux moyens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Travaux lourds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Très dégradé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Risque visible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Diagnostic professionnel nécessaire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Information insuffisante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6. Photos et pièces relevées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Photos façade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Photos intérieur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Photos accès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Photos dégradations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Photos extérieurs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Plans remis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Documents remis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Aucune pièce transmise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7. Points de vigilance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Sécurité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Insalubrité supposée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Accès dangereux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Copropriété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Succession / indivision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Voisinage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Urbanisme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Occupation inconnue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Humidité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Risque juridique à vérifier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8. Potentiel de remise en usage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Habitat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Commerce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Activité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Stockage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Projet associatif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Usage temporaire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Rénovation locative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Réemploi matériaux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Projet mixte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À déterminer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9. Besoins à confirmer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Diagnostic technique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Devis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Avis architecte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Avis mairie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Relevé cadastral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Étude juridique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Estimation travaux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Aides possibles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Partenaire à mobiliser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Visite complémentaire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10. Conclusion de visite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Poursuivre l’instruction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Informations insuffisantes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Visite complémentaire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Orientation partenaire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Non prioritaire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Classer sans suite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Préparer proposition TVF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  <w:t>☐ Avis responsable nécessaire</w:t>
            </w:r>
          </w:p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11. Compte rendu synthétique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  <w:tr>
        <w:trPr>
          <w:trHeight w:val="490"/>
        </w:trPr>
        <w:tc>
          <w:tcPr>
            <w:tcW w:type="dxa" w:w="10656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/>
        </w:tc>
      </w:tr>
    </w:tbl>
    <w:p>
      <w:pPr>
        <w:spacing w:before="160" w:after="60"/>
      </w:pPr>
      <w:r>
        <w:rPr>
          <w:rFonts w:ascii="Manrope" w:hAnsi="Manrope"/>
          <w:b/>
          <w:color w:val="18392F"/>
          <w:sz w:val="22"/>
        </w:rPr>
        <w:t>12. Suite à donner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Action à réaliser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Responsable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Date limite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328"/>
            <w:shd w:fill="F3F7F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6"/>
              </w:rPr>
              <w:t>Priorité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6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F8EF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667085"/>
                <w:sz w:val="15"/>
              </w:rPr>
              <w:t>Rappel interne : aucune entrée dans une propriété privée ne doit être réalisée sans autorisation. Les constats visuels doivent être confirmés par des professionnels habilités lorsque la situation l’exige.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67085"/>
        <w:sz w:val="14"/>
      </w:rPr>
      <w:t>Territoires Vivants France — document interne confidentiel — visite et diagnostic initial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