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46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46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nrope" w:hAnsi="Manrope"/>
          <w:b/>
          <w:color w:val="18392F"/>
          <w:sz w:val="36"/>
        </w:rPr>
        <w:t>Courriers ministériels personnalisés — Territoires Vivants France</w:t>
      </w:r>
    </w:p>
    <w:p>
      <w:pPr>
        <w:spacing w:after="160" w:line="269" w:lineRule="auto"/>
      </w:pPr>
      <w:r>
        <w:rPr>
          <w:rFonts w:ascii="Inter" w:hAnsi="Inter"/>
          <w:color w:val="1F2937"/>
          <w:sz w:val="20"/>
        </w:rPr>
        <w:t>Ce récapitulatif indique les courriers générés, le ministère ciblé et l’angle de personnalisation retenu. Les courriers ne présentent aucun partenariat comme acquis et ne contiennent aucun chiffre d’impact non consolidé.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8392F"/>
          </w:tcPr>
          <w:p>
            <w:r/>
            <w:r>
              <w:rPr>
                <w:rFonts w:ascii="Inter" w:hAnsi="Inter"/>
                <w:b/>
                <w:color w:val="FFFFFF"/>
                <w:sz w:val="17"/>
              </w:rPr>
              <w:t>N°</w:t>
            </w:r>
          </w:p>
        </w:tc>
        <w:tc>
          <w:tcPr>
            <w:tcW w:type="dxa" w:w="2520"/>
            <w:shd w:fill="18392F"/>
          </w:tcPr>
          <w:p>
            <w:r/>
            <w:r>
              <w:rPr>
                <w:rFonts w:ascii="Inter" w:hAnsi="Inter"/>
                <w:b/>
                <w:color w:val="FFFFFF"/>
                <w:sz w:val="17"/>
              </w:rPr>
              <w:t>Destinataire</w:t>
            </w:r>
          </w:p>
        </w:tc>
        <w:tc>
          <w:tcPr>
            <w:tcW w:type="dxa" w:w="2520"/>
            <w:shd w:fill="18392F"/>
          </w:tcPr>
          <w:p>
            <w:r/>
            <w:r>
              <w:rPr>
                <w:rFonts w:ascii="Inter" w:hAnsi="Inter"/>
                <w:b/>
                <w:color w:val="FFFFFF"/>
                <w:sz w:val="17"/>
              </w:rPr>
              <w:t>Angle TVF</w:t>
            </w:r>
          </w:p>
        </w:tc>
        <w:tc>
          <w:tcPr>
            <w:tcW w:type="dxa" w:w="2520"/>
            <w:shd w:fill="18392F"/>
          </w:tcPr>
          <w:p>
            <w:r/>
            <w:r>
              <w:rPr>
                <w:rFonts w:ascii="Inter" w:hAnsi="Inter"/>
                <w:b/>
                <w:color w:val="FFFFFF"/>
                <w:sz w:val="17"/>
              </w:rPr>
              <w:t>Fichier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Monsieur Vincent Jeanbrun</w:t>
              <w:br/>
              <w:t>Ministre de la Ville et du Logement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autour de la remise en usage des logements vacants et de l’accompagnement des propriétaires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courrier-01-ville-logement-vincent-jeanbrun.docx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Madame Françoise Gatel</w:t>
              <w:br/>
              <w:t>Ministre de l’Aménagement du territoire et de la Décentralisation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une méthode territoriale de repérage, qualification et remise en usage des biens vacants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courrier-02-amenagement-territoire-francoise-gatel.docx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Madame Monique Barbut</w:t>
              <w:br/>
              <w:t>Ministre de la Transition écologique, de la Biodiversité et du Climat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le réemploi, la sobriété foncière et la remise en usage du patrimoine existant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courrier-03-transition-ecologique-monique-barbut.docx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Monsieur Serge Papin</w:t>
              <w:br/>
              <w:t>Ministre des PME, du Commerce, de l’Artisanat, du Tourisme et du Pouvoir d’achat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la revitalisation des locaux commerciaux vacants et la mobilisation des entreprises locales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courrier-04-pme-commerce-serge-papin.docx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Monsieur Roland Lescure</w:t>
              <w:br/>
              <w:t>Ministre de l’Économie, des Finances, de la Souveraineté industrielle, énergétique et numérique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un outil territorial de valorisation immobilière, économique et partenariale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courrier-05-economie-finances-roland-lescure.docx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Monsieur Jean-Pierre Farandou</w:t>
              <w:br/>
              <w:t>Ministre du Travail et des Solidarités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l’utilité sociale des projets de revitalisation immobilière et territoriale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courrier-06-travail-solidarites-jean-pierre-farandou.docx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Madame Marina Ferrari</w:t>
              <w:br/>
              <w:t>Ministre des Sports, de la Jeunesse et de la Vie associative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autour d’une association structurée comme outil territorial d’intérêt général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courrier-07-vie-associative-marina-ferrari.docx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Madame Catherine Pégard</w:t>
              <w:br/>
              <w:t>Ministre de la Culture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la valorisation du patrimoine bâti vacant et des centres anciens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courrier-08-culture-catherine-pegard.docx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Monsieur Gérald Darmanin</w:t>
              <w:br/>
              <w:t>Garde des Sceaux, ministre de la Justice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les situations juridiques complexes liées aux biens vacants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courrier-09-justice-gerald-darmanin.docx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Madame Annie Genevard</w:t>
              <w:br/>
              <w:t>Ministre de l’Agriculture et de la Souveraineté alimentaire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Proposition d’échange sur la vacance, les bâtiments délaissés et la revitalisation des territoires ruraux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6"/>
              </w:rPr>
              <w:t>courrier-10-agriculture-ruralite-annie-genevard.docx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