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Inter" w:hAnsi="Inter"/>
          <w:color w:val="667085"/>
          <w:sz w:val="18"/>
        </w:rPr>
        <w:t>Saint-Étienne, le 1 août 2026</w:t>
      </w:r>
    </w:p>
    <w:tbl>
      <w:tblPr>
        <w:tblW w:type="auto" w:w="0"/>
        <w:jc w:val="center"/>
        <w:tblLayout w:type="fixed"/>
        <w:tblLook w:firstColumn="1" w:firstRow="1" w:lastColumn="0" w:lastRow="0" w:noHBand="0" w:noVBand="1" w:val="04A0"/>
      </w:tblPr>
      <w:tblGrid>
        <w:gridCol w:w="4608"/>
        <w:gridCol w:w="5472"/>
      </w:tblGrid>
      <w:tr>
        <w:tc>
          <w:tcPr>
            <w:tcW w:type="dxa" w:w="5083"/>
            <w:shd w:fill="F3F7F2"/>
          </w:tcPr>
          <w:p>
            <w:r/>
            <w:r>
              <w:rPr>
                <w:rFonts w:ascii="Inter" w:hAnsi="Inter"/>
                <w:b/>
                <w:color w:val="18392F"/>
                <w:sz w:val="20"/>
              </w:rPr>
              <w:t>Courrier institutionnel</w:t>
              <w:br/>
              <w:t>Demande d’échange et de mise en relation</w:t>
            </w:r>
          </w:p>
        </w:tc>
        <w:tc>
          <w:tcPr>
            <w:tcW w:type="dxa" w:w="5083"/>
            <w:shd w:fill="FFFFFF"/>
          </w:tcPr>
          <w:p>
            <w:pPr>
              <w:jc w:val="right"/>
            </w:pPr>
            <w:r>
              <w:rPr>
                <w:rFonts w:ascii="Inter" w:hAnsi="Inter"/>
                <w:b/>
                <w:color w:val="1F2937"/>
                <w:sz w:val="18"/>
              </w:rPr>
              <w:t>Madame Monique Barbut</w:t>
            </w:r>
            <w:r>
              <w:br/>
            </w:r>
            <w:r>
              <w:rPr>
                <w:rFonts w:ascii="Inter" w:hAnsi="Inter"/>
                <w:b w:val="0"/>
                <w:color w:val="667085"/>
                <w:sz w:val="18"/>
              </w:rPr>
              <w:t>Ministre de la Transition écologique, de la Biodiversité et du Climat</w:t>
            </w:r>
            <w:r>
              <w:br/>
            </w:r>
            <w:r>
              <w:rPr>
                <w:rFonts w:ascii="Inter" w:hAnsi="Inter"/>
                <w:b w:val="0"/>
                <w:color w:val="667085"/>
                <w:sz w:val="18"/>
              </w:rPr>
              <w:t>Hôtel de Matignon / ministère compétent</w:t>
            </w:r>
            <w:r>
              <w:br/>
            </w:r>
            <w:r>
              <w:rPr>
                <w:rFonts w:ascii="Inter" w:hAnsi="Inter"/>
                <w:b w:val="0"/>
                <w:color w:val="667085"/>
                <w:sz w:val="18"/>
              </w:rPr>
              <w:t>Paris</w:t>
            </w:r>
            <w:r>
              <w:br/>
            </w:r>
          </w:p>
        </w:tc>
      </w:tr>
    </w:tbl>
    <w:p>
      <w:pPr>
        <w:spacing w:before="100" w:after="100"/>
      </w:pPr>
      <w:r>
        <w:rPr>
          <w:rFonts w:ascii="Manrope" w:hAnsi="Manrope"/>
          <w:b/>
          <w:color w:val="18392F"/>
          <w:sz w:val="25"/>
        </w:rPr>
        <w:t>Objet</w:t>
      </w:r>
    </w:p>
    <w:p>
      <w:pPr>
        <w:spacing w:after="220"/>
      </w:pPr>
      <w:r>
        <w:rPr>
          <w:rFonts w:ascii="Manrope" w:hAnsi="Manrope"/>
          <w:b/>
          <w:color w:val="18392F"/>
          <w:sz w:val="24"/>
        </w:rPr>
        <w:t>Proposition d’échange sur le réemploi, la sobriété foncière et la remise en usage du patrimoine existant</w:t>
      </w:r>
    </w:p>
    <w:p>
      <w:pPr>
        <w:spacing w:after="160" w:line="269" w:lineRule="auto"/>
      </w:pPr>
      <w:r>
        <w:rPr>
          <w:rFonts w:ascii="Inter" w:hAnsi="Inter"/>
          <w:color w:val="1F2937"/>
          <w:sz w:val="20"/>
        </w:rPr>
        <w:t>Madame la Ministre,</w:t>
      </w:r>
    </w:p>
    <w:p>
      <w:pPr>
        <w:spacing w:after="160" w:line="269" w:lineRule="auto"/>
      </w:pPr>
      <w:r>
        <w:rPr>
          <w:rFonts w:ascii="Inter" w:hAnsi="Inter"/>
          <w:color w:val="1F2937"/>
          <w:sz w:val="20"/>
        </w:rPr>
        <w:t>Territoires Vivants France est une association loi 1901 qui structure une Agence Territoriale de Revitalisation Immobilière. Son objet est de repérer, comprendre, qualifier et accompagner la remise en usage de logements, commerces, bâtiments, friches, terrains et ressources aujourd’hui dormants, dans le respect du droit de propriété, des compétences publiques et du rôle des professionnels habilités.</w:t>
      </w:r>
    </w:p>
    <w:p>
      <w:pPr>
        <w:spacing w:after="160" w:line="269" w:lineRule="auto"/>
      </w:pPr>
      <w:r>
        <w:rPr>
          <w:rFonts w:ascii="Inter" w:hAnsi="Inter"/>
          <w:color w:val="1F2937"/>
          <w:sz w:val="20"/>
        </w:rPr>
        <w:t>Si nous nous permettons de nous adresser à vous, c’est parce que remettre en usage un logement, un commerce, un bâtiment ou une friche déjà existants participe à une logique de sobriété foncière, de réemploi et de limitation du gaspillage de ressources.</w:t>
      </w:r>
    </w:p>
    <w:p>
      <w:pPr>
        <w:spacing w:before="160" w:after="100"/>
      </w:pPr>
      <w:r>
        <w:rPr>
          <w:rFonts w:ascii="Manrope" w:hAnsi="Manrope"/>
          <w:b/>
          <w:color w:val="18392F"/>
          <w:sz w:val="30"/>
        </w:rPr>
        <w:t>Une réponse opérationnelle aux situations immobilières dormantes</w:t>
      </w:r>
    </w:p>
    <w:p>
      <w:pPr>
        <w:spacing w:after="160" w:line="269" w:lineRule="auto"/>
      </w:pPr>
      <w:r>
        <w:rPr>
          <w:rFonts w:ascii="Inter" w:hAnsi="Inter"/>
          <w:color w:val="1F2937"/>
          <w:sz w:val="20"/>
        </w:rPr>
        <w:t>TVF part d’un constat simple : les informations relatives aux biens vacants ou délaissés sont souvent dispersées entre propriétaires, habitants, collectivités, entreprises et partenaires techniques. Cette dispersion ralentit la compréhension des situations et retarde la recherche de solutions adaptées.</w:t>
      </w:r>
    </w:p>
    <w:p>
      <w:pPr>
        <w:spacing w:after="160" w:line="269" w:lineRule="auto"/>
      </w:pPr>
      <w:r>
        <w:rPr>
          <w:rFonts w:ascii="Inter" w:hAnsi="Inter"/>
          <w:color w:val="1F2937"/>
          <w:sz w:val="20"/>
        </w:rPr>
        <w:t>Notre méthode vise donc à organiser une chaîne de travail lisible, depuis le signalement jusqu’à l’orientation ou l’ouverture d’un dossier opérationnel. Elle ne se substitue ni aux collectivités, ni aux services de l’État, ni aux professionnels habilités ; elle agit comme un outil de repérage, de qualification, de coordination et de suivi.</w:t>
      </w:r>
    </w:p>
    <w:p>
      <w:pPr>
        <w:spacing w:before="100" w:after="100"/>
      </w:pPr>
      <w:r>
        <w:rPr>
          <w:rFonts w:ascii="Manrope" w:hAnsi="Manrope"/>
          <w:b/>
          <w:color w:val="18392F"/>
          <w:sz w:val="25"/>
        </w:rPr>
        <w:t>Méthode TVF</w:t>
      </w:r>
    </w:p>
    <w:p>
      <w:pPr>
        <w:pStyle w:val="ListBullet"/>
        <w:spacing w:after="60"/>
        <w:ind w:left="403" w:hanging="230"/>
      </w:pPr>
      <w:r>
        <w:rPr>
          <w:rFonts w:ascii="Inter" w:hAnsi="Inter"/>
          <w:color w:val="1F2937"/>
          <w:sz w:val="19"/>
        </w:rPr>
        <w:t>repérer les biens ou situations signalés par les propriétaires, habitants, collectivités, entreprises ou partenaires ;</w:t>
      </w:r>
    </w:p>
    <w:p>
      <w:pPr>
        <w:pStyle w:val="ListBullet"/>
        <w:spacing w:after="60"/>
        <w:ind w:left="403" w:hanging="230"/>
      </w:pPr>
      <w:r>
        <w:rPr>
          <w:rFonts w:ascii="Inter" w:hAnsi="Inter"/>
          <w:color w:val="1F2937"/>
          <w:sz w:val="19"/>
        </w:rPr>
        <w:t>qualifier les informations disponibles sans conclure hâtivement à la vacance, à l’abandon ou à la disponibilité du bien ;</w:t>
      </w:r>
    </w:p>
    <w:p>
      <w:pPr>
        <w:pStyle w:val="ListBullet"/>
        <w:spacing w:after="60"/>
        <w:ind w:left="403" w:hanging="230"/>
      </w:pPr>
      <w:r>
        <w:rPr>
          <w:rFonts w:ascii="Inter" w:hAnsi="Inter"/>
          <w:color w:val="1F2937"/>
          <w:sz w:val="19"/>
        </w:rPr>
        <w:t>ouvrir, lorsque cela est pertinent, un dossier opérationnel avec historique, pièces, photos, interlocuteurs et étapes de suivi ;</w:t>
      </w:r>
    </w:p>
    <w:p>
      <w:pPr>
        <w:pStyle w:val="ListBullet"/>
        <w:spacing w:after="60"/>
        <w:ind w:left="403" w:hanging="230"/>
      </w:pPr>
      <w:r>
        <w:rPr>
          <w:rFonts w:ascii="Inter" w:hAnsi="Inter"/>
          <w:color w:val="1F2937"/>
          <w:sz w:val="19"/>
        </w:rPr>
        <w:t>mettre en relation les acteurs utiles : propriétaires, collectivités, entreprises, associations, professionnels, établissements fonciers ou financeurs ;</w:t>
      </w:r>
    </w:p>
    <w:p>
      <w:pPr>
        <w:pStyle w:val="ListBullet"/>
        <w:spacing w:after="60"/>
        <w:ind w:left="403" w:hanging="230"/>
      </w:pPr>
      <w:r>
        <w:rPr>
          <w:rFonts w:ascii="Inter" w:hAnsi="Inter"/>
          <w:color w:val="1F2937"/>
          <w:sz w:val="19"/>
        </w:rPr>
        <w:t>orienter les projets vers une remise en usage réaliste : rénovation, réemploi, occupation encadrée, projet associatif, activité commerciale ou autre solution adaptée.</w:t>
      </w:r>
    </w:p>
    <w:p>
      <w:pPr>
        <w:spacing w:before="160" w:after="100"/>
      </w:pPr>
      <w:r>
        <w:rPr>
          <w:rFonts w:ascii="Manrope" w:hAnsi="Manrope"/>
          <w:b/>
          <w:color w:val="18392F"/>
          <w:sz w:val="30"/>
        </w:rPr>
        <w:t>Lien avec les politiques publiques nationales</w:t>
      </w:r>
    </w:p>
    <w:p>
      <w:pPr>
        <w:spacing w:after="160" w:line="269" w:lineRule="auto"/>
      </w:pPr>
      <w:r>
        <w:rPr>
          <w:rFonts w:ascii="Inter" w:hAnsi="Inter"/>
          <w:color w:val="1F2937"/>
          <w:sz w:val="20"/>
        </w:rPr>
        <w:t>La démarche TVF s’inscrit dans un cadre national déjà fortement structuré autour de la lutte contre la vacance, de la revitalisation territoriale, de la rénovation de l’habitat, de la sobriété foncière, de l’économie circulaire et du soutien aux centralités. Nous souhaitons nous inscrire dans ces orientations sans revendiquer de compétence qui ne serait pas la nôtre.</w:t>
      </w:r>
    </w:p>
    <w:p>
      <w:pPr>
        <w:spacing w:after="160" w:line="269" w:lineRule="auto"/>
      </w:pPr>
      <w:r>
        <w:rPr>
          <w:rFonts w:ascii="Inter" w:hAnsi="Inter"/>
          <w:color w:val="1F2937"/>
          <w:sz w:val="20"/>
        </w:rPr>
        <w:t>Les axes de convergence avec votre ministère concernent notamment :</w:t>
      </w:r>
    </w:p>
    <w:p>
      <w:pPr>
        <w:pStyle w:val="ListBullet"/>
        <w:spacing w:after="60"/>
        <w:ind w:left="403" w:hanging="230"/>
      </w:pPr>
      <w:r>
        <w:rPr>
          <w:rFonts w:ascii="Inter" w:hAnsi="Inter"/>
          <w:color w:val="1F2937"/>
          <w:sz w:val="19"/>
        </w:rPr>
        <w:t>sobriété foncière.</w:t>
      </w:r>
    </w:p>
    <w:p>
      <w:pPr>
        <w:pStyle w:val="ListBullet"/>
        <w:spacing w:after="60"/>
        <w:ind w:left="403" w:hanging="230"/>
      </w:pPr>
      <w:r>
        <w:rPr>
          <w:rFonts w:ascii="Inter" w:hAnsi="Inter"/>
          <w:color w:val="1F2937"/>
          <w:sz w:val="19"/>
        </w:rPr>
        <w:t>réemploi des matériaux.</w:t>
      </w:r>
    </w:p>
    <w:p>
      <w:pPr>
        <w:pStyle w:val="ListBullet"/>
        <w:spacing w:after="60"/>
        <w:ind w:left="403" w:hanging="230"/>
      </w:pPr>
      <w:r>
        <w:rPr>
          <w:rFonts w:ascii="Inter" w:hAnsi="Inter"/>
          <w:color w:val="1F2937"/>
          <w:sz w:val="19"/>
        </w:rPr>
        <w:t>économie circulaire dans le bâtiment.</w:t>
      </w:r>
    </w:p>
    <w:p>
      <w:pPr>
        <w:pStyle w:val="ListBullet"/>
        <w:spacing w:after="60"/>
        <w:ind w:left="403" w:hanging="230"/>
      </w:pPr>
      <w:r>
        <w:rPr>
          <w:rFonts w:ascii="Inter" w:hAnsi="Inter"/>
          <w:color w:val="1F2937"/>
          <w:sz w:val="19"/>
        </w:rPr>
        <w:t>transformation des friches.</w:t>
      </w:r>
    </w:p>
    <w:p>
      <w:pPr>
        <w:pStyle w:val="ListBullet"/>
        <w:spacing w:after="60"/>
        <w:ind w:left="403" w:hanging="230"/>
      </w:pPr>
      <w:r>
        <w:rPr>
          <w:rFonts w:ascii="Inter" w:hAnsi="Inter"/>
          <w:color w:val="1F2937"/>
          <w:sz w:val="19"/>
        </w:rPr>
        <w:t>réduction du gaspillage et valorisation des ressources inutilisées.</w:t>
      </w:r>
    </w:p>
    <w:p>
      <w:pPr>
        <w:spacing w:before="160" w:after="100"/>
      </w:pPr>
      <w:r>
        <w:rPr>
          <w:rFonts w:ascii="Manrope" w:hAnsi="Manrope"/>
          <w:b/>
          <w:color w:val="18392F"/>
          <w:sz w:val="30"/>
        </w:rPr>
        <w:t>Outils en préparation : TVF OS et TVF Mobile</w:t>
      </w:r>
    </w:p>
    <w:p>
      <w:pPr>
        <w:spacing w:after="160" w:line="269" w:lineRule="auto"/>
      </w:pPr>
      <w:r>
        <w:rPr>
          <w:rFonts w:ascii="Inter" w:hAnsi="Inter"/>
          <w:color w:val="1F2937"/>
          <w:sz w:val="20"/>
        </w:rPr>
        <w:t>Deux outils sont en préparation pour rendre cette méthode plus lisible et plus opérationnelle : TVF OS, système interne de suivi des demandes, dossiers, biens, documents, partenaires et indicateurs ; et TVF Mobile, application de terrain destinée au signalement, à la géolocalisation, aux photographies, aux visites et à la remontée d’informations vers TVF OS.</w:t>
      </w:r>
    </w:p>
    <w:p>
      <w:pPr>
        <w:spacing w:after="160" w:line="269" w:lineRule="auto"/>
      </w:pPr>
      <w:r>
        <w:rPr>
          <w:rFonts w:ascii="Inter" w:hAnsi="Inter"/>
          <w:color w:val="1F2937"/>
          <w:sz w:val="20"/>
        </w:rPr>
        <w:t>Ces outils ont vocation à sécuriser le traitement des demandes : référence unique, historique, pièces jointes, photos, carte, statut, responsable, prochaine étape, documents manquants et indicateurs. L’objectif n’est pas de créer un simple CRM, mais un système opérationnel de revitalisation immobilière et territoriale.</w:t>
      </w:r>
    </w:p>
    <w:p>
      <w:pPr>
        <w:spacing w:before="160" w:after="100"/>
      </w:pPr>
      <w:r>
        <w:rPr>
          <w:rFonts w:ascii="Manrope" w:hAnsi="Manrope"/>
          <w:b/>
          <w:color w:val="18392F"/>
          <w:sz w:val="30"/>
        </w:rPr>
        <w:t>Territoire pilote et impact recherché</w:t>
      </w:r>
    </w:p>
    <w:p>
      <w:pPr>
        <w:spacing w:after="160" w:line="269" w:lineRule="auto"/>
      </w:pPr>
      <w:r>
        <w:rPr>
          <w:rFonts w:ascii="Inter" w:hAnsi="Inter"/>
          <w:color w:val="1F2937"/>
          <w:sz w:val="20"/>
        </w:rPr>
        <w:t>À ce stade, TVF ne souhaite pas afficher de résultats chiffrés non consolidés. L’impact recherché est toutefois clair : réduire les situations dormantes, éviter la dispersion des informations, faciliter le dialogue avec les propriétaires, soutenir les collectivités, mobiliser les ressources locales et contribuer à la revitalisation des territoires à partir d’un premier territoire pilote à Saint-Étienne.</w:t>
      </w:r>
    </w:p>
    <w:p>
      <w:pPr>
        <w:spacing w:after="160" w:line="269" w:lineRule="auto"/>
      </w:pPr>
      <w:r>
        <w:rPr>
          <w:rFonts w:ascii="Inter" w:hAnsi="Inter"/>
          <w:color w:val="1F2937"/>
          <w:sz w:val="20"/>
        </w:rPr>
        <w:t>TVF souhaite avancer avec prudence : les résultats, indicateurs et partenariats ne seront présentés comme acquis qu’après vérification et formalisation. Cette exigence est essentielle pour construire une relation de confiance avec les institutions publiques, les propriétaires, les collectivités et les partenaires privés.</w:t>
      </w:r>
    </w:p>
    <w:p>
      <w:pPr>
        <w:spacing w:before="160" w:after="100"/>
      </w:pPr>
      <w:r>
        <w:rPr>
          <w:rFonts w:ascii="Manrope" w:hAnsi="Manrope"/>
          <w:b/>
          <w:color w:val="18392F"/>
          <w:sz w:val="30"/>
        </w:rPr>
        <w:t>Demande formulée</w:t>
      </w:r>
    </w:p>
    <w:p>
      <w:pPr>
        <w:spacing w:after="160" w:line="269" w:lineRule="auto"/>
      </w:pPr>
      <w:r>
        <w:rPr>
          <w:rFonts w:ascii="Inter" w:hAnsi="Inter"/>
          <w:color w:val="1F2937"/>
          <w:sz w:val="20"/>
        </w:rPr>
        <w:t>Nous souhaitons présenter à vos services la Matériauthèque Solidaire de TVF et la méthode de suivi des biens vacants afin d’identifier les convergences possibles avec les politiques nationales de transition écologique et de réemploi.</w:t>
      </w:r>
    </w:p>
    <w:p>
      <w:pPr>
        <w:spacing w:after="160" w:line="269" w:lineRule="auto"/>
      </w:pPr>
      <w:r>
        <w:rPr>
          <w:rFonts w:ascii="Inter" w:hAnsi="Inter"/>
          <w:color w:val="1F2937"/>
          <w:sz w:val="20"/>
        </w:rPr>
        <w:t>Concrètement, nous souhaiterions pouvoir obtenir un temps d’échange, une orientation vers le service compétent, ou une mise en relation permettant d’identifier le bon cadre de dialogue institutionnel. TVF est disponible pour transmettre un dossier de présentation, présenter son territoire pilote et détailler les garanties méthodologiques prévues.</w:t>
      </w:r>
    </w:p>
    <w:p>
      <w:pPr>
        <w:spacing w:after="160" w:line="269" w:lineRule="auto"/>
      </w:pPr>
      <w:r>
        <w:rPr>
          <w:rFonts w:ascii="Inter" w:hAnsi="Inter"/>
          <w:color w:val="1F2937"/>
          <w:sz w:val="20"/>
        </w:rPr>
        <w:t>Nous vous prions d’agréer, madame la ministre, l’expression de notre haute considération.</w:t>
      </w:r>
    </w:p>
    <w:p>
      <w:pPr>
        <w:spacing w:before="240"/>
        <w:jc w:val="right"/>
      </w:pPr>
      <w:r>
        <w:rPr>
          <w:rFonts w:ascii="Inter" w:hAnsi="Inter"/>
          <w:b w:val="0"/>
          <w:color w:val="667085"/>
          <w:sz w:val="19"/>
        </w:rPr>
        <w:t>Pour Territoires Vivants France</w:t>
      </w:r>
      <w:r>
        <w:br/>
      </w:r>
      <w:r>
        <w:rPr>
          <w:rFonts w:ascii="Inter" w:hAnsi="Inter"/>
          <w:b/>
          <w:color w:val="18392F"/>
          <w:sz w:val="19"/>
        </w:rPr>
        <w:t>Le Président / représentant légal</w:t>
      </w:r>
      <w:r>
        <w:br/>
      </w:r>
      <w:r>
        <w:rPr>
          <w:rFonts w:ascii="Inter" w:hAnsi="Inter"/>
          <w:b w:val="0"/>
          <w:color w:val="667085"/>
          <w:sz w:val="19"/>
        </w:rPr>
        <w:t>Signature</w:t>
      </w:r>
      <w:r>
        <w:br/>
      </w:r>
    </w:p>
    <w:tbl>
      <w:tblPr>
        <w:tblW w:type="auto" w:w="0"/>
        <w:jc w:val="center"/>
        <w:tblLook w:firstColumn="1" w:firstRow="1" w:lastColumn="0" w:lastRow="0" w:noHBand="0" w:noVBand="1" w:val="04A0"/>
      </w:tblPr>
      <w:tblGrid>
        <w:gridCol w:w="10166"/>
      </w:tblGrid>
      <w:tr>
        <w:tc>
          <w:tcPr>
            <w:tcW w:type="dxa" w:w="10166"/>
            <w:shd w:fill="F3F7F2"/>
          </w:tcPr>
          <w:p>
            <w:r/>
            <w:r>
              <w:rPr>
                <w:rFonts w:ascii="Inter" w:hAnsi="Inter"/>
                <w:b/>
                <w:color w:val="18392F"/>
                <w:sz w:val="18"/>
              </w:rPr>
              <w:t>Contact TVF : 04 65 81 54 69 · contact@territoiresvivantsfrance.fr · www.territoiresvivantsfrance.fr</w:t>
            </w:r>
          </w:p>
        </w:tc>
      </w:tr>
    </w:tbl>
    <w:sectPr w:rsidR="00FC693F" w:rsidRPr="0006063C" w:rsidSect="00034616">
      <w:headerReference w:type="default" r:id="rId9"/>
      <w:footerReference w:type="default" r:id="rId10"/>
      <w:pgSz w:w="12240" w:h="15840"/>
      <w:pgMar w:top="835"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67085"/>
        <w:sz w:val="15"/>
      </w:rPr>
      <w:t>Territoires Vivants France — Courrier institutionnel — Document préparé pour transmission ministérielle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672"/>
      <w:gridCol w:w="6408"/>
    </w:tblGrid>
    <w:tr>
      <w:tc>
        <w:tcPr>
          <w:tcW w:type="dxa" w:w="5040"/>
        </w:tcPr>
        <w:p>
          <w:pPr>
            <w:jc w:val="left"/>
          </w:pPr>
          <w:r>
            <w:drawing>
              <wp:inline xmlns:a="http://schemas.openxmlformats.org/drawingml/2006/main" xmlns:pic="http://schemas.openxmlformats.org/drawingml/2006/picture">
                <wp:extent cx="1572768" cy="488287"/>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72768" cy="488287"/>
                        </a:xfrm>
                        <a:prstGeom prst="rect"/>
                      </pic:spPr>
                    </pic:pic>
                  </a:graphicData>
                </a:graphic>
              </wp:inline>
            </w:drawing>
          </w:r>
        </w:p>
      </w:tc>
      <w:tc>
        <w:tcPr>
          <w:tcW w:type="dxa" w:w="5040"/>
        </w:tcPr>
        <w:p>
          <w:pPr>
            <w:jc w:val="right"/>
          </w:pPr>
          <w:r>
            <w:rPr>
              <w:rFonts w:ascii="Inter" w:hAnsi="Inter"/>
              <w:b/>
              <w:color w:val="18392F"/>
              <w:sz w:val="17"/>
            </w:rPr>
            <w:t>Agence Territoriale de Revitalisation Immobilière</w:t>
          </w:r>
          <w:r>
            <w:br/>
          </w:r>
          <w:r>
            <w:rPr>
              <w:rFonts w:ascii="Inter" w:hAnsi="Inter"/>
              <w:b w:val="0"/>
              <w:color w:val="667085"/>
              <w:sz w:val="16"/>
            </w:rPr>
            <w:t>25 rue Élise Gervais, 42000 Saint-Étienne</w:t>
          </w:r>
          <w:r>
            <w:br/>
          </w:r>
          <w:r>
            <w:rPr>
              <w:rFonts w:ascii="Inter" w:hAnsi="Inter"/>
              <w:b w:val="0"/>
              <w:color w:val="667085"/>
              <w:sz w:val="16"/>
            </w:rPr>
            <w:t>04 65 81 54 69 · contact@territoiresvivantsfrance.fr</w:t>
          </w:r>
          <w:r>
            <w:br/>
          </w:r>
          <w:r>
            <w:rPr>
              <w:rFonts w:ascii="Inter" w:hAnsi="Inter"/>
              <w:b w:val="0"/>
              <w:color w:val="667085"/>
              <w:sz w:val="16"/>
            </w:rPr>
            <w:t>RNA W922015538 · SIRET 897 226 138 00018</w:t>
          </w:r>
          <w:r>
            <w:br/>
          </w:r>
          <w:r>
            <w:rPr>
              <w:rFonts w:ascii="Inter" w:hAnsi="Inter"/>
              <w:b w:val="0"/>
              <w:color w:val="667085"/>
              <w:sz w:val="16"/>
            </w:rPr>
            <w:t>www.territoiresvivantsfrance.fr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