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Monsieur Roland Lescure</w:t>
            </w:r>
            <w:r>
              <w:br/>
            </w:r>
            <w:r>
              <w:rPr>
                <w:rFonts w:ascii="Inter" w:hAnsi="Inter"/>
                <w:b w:val="0"/>
                <w:color w:val="667085"/>
                <w:sz w:val="18"/>
              </w:rPr>
              <w:t>Ministre de l’Économie, des Finances, de la Souveraineté industrielle, énergétique et numérique</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un outil territorial de valorisation immobilière, économique et partenariale</w:t>
      </w:r>
    </w:p>
    <w:p>
      <w:pPr>
        <w:spacing w:after="160" w:line="269" w:lineRule="auto"/>
      </w:pPr>
      <w:r>
        <w:rPr>
          <w:rFonts w:ascii="Inter" w:hAnsi="Inter"/>
          <w:color w:val="1F2937"/>
          <w:sz w:val="20"/>
        </w:rPr>
        <w:t>Monsieur le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les biens vacants, stocks dormants et ressources inutilisées représentent à la fois une perte de valeur économique et une opportunité pour les territoires lorsqu’ils sont qualifiés, orientés et mobilisés dans un cadre sérieux.</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valorisation du patrimoine existant.</w:t>
      </w:r>
    </w:p>
    <w:p>
      <w:pPr>
        <w:pStyle w:val="ListBullet"/>
        <w:spacing w:after="60"/>
        <w:ind w:left="403" w:hanging="230"/>
      </w:pPr>
      <w:r>
        <w:rPr>
          <w:rFonts w:ascii="Inter" w:hAnsi="Inter"/>
          <w:color w:val="1F2937"/>
          <w:sz w:val="19"/>
        </w:rPr>
        <w:t>mobilisation des entreprises et fondations.</w:t>
      </w:r>
    </w:p>
    <w:p>
      <w:pPr>
        <w:pStyle w:val="ListBullet"/>
        <w:spacing w:after="60"/>
        <w:ind w:left="403" w:hanging="230"/>
      </w:pPr>
      <w:r>
        <w:rPr>
          <w:rFonts w:ascii="Inter" w:hAnsi="Inter"/>
          <w:color w:val="1F2937"/>
          <w:sz w:val="19"/>
        </w:rPr>
        <w:t>financement de projets territoriaux.</w:t>
      </w:r>
    </w:p>
    <w:p>
      <w:pPr>
        <w:pStyle w:val="ListBullet"/>
        <w:spacing w:after="60"/>
        <w:ind w:left="403" w:hanging="230"/>
      </w:pPr>
      <w:r>
        <w:rPr>
          <w:rFonts w:ascii="Inter" w:hAnsi="Inter"/>
          <w:color w:val="1F2937"/>
          <w:sz w:val="19"/>
        </w:rPr>
        <w:t>économie circulaire et ressources dormantes.</w:t>
      </w:r>
    </w:p>
    <w:p>
      <w:pPr>
        <w:pStyle w:val="ListBullet"/>
        <w:spacing w:after="60"/>
        <w:ind w:left="403" w:hanging="230"/>
      </w:pPr>
      <w:r>
        <w:rPr>
          <w:rFonts w:ascii="Inter" w:hAnsi="Inter"/>
          <w:color w:val="1F2937"/>
          <w:sz w:val="19"/>
        </w:rPr>
        <w:t>outils numériques de suivi et d’observation.</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sollicitons un échange afin d’identifier les dispositifs économiques, numériques ou partenariaux susceptibles d’accompagner la structuration de TVF OS, de TVF Mobile et des premiers parcours territoriaux pilotés par l’association.</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monsieur le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