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Monsieur Jean-Pierre Farandou</w:t>
            </w:r>
            <w:r>
              <w:br/>
            </w:r>
            <w:r>
              <w:rPr>
                <w:rFonts w:ascii="Inter" w:hAnsi="Inter"/>
                <w:b w:val="0"/>
                <w:color w:val="667085"/>
                <w:sz w:val="18"/>
              </w:rPr>
              <w:t>Ministre du Travail et des Solidarités</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l’utilité sociale des projets de revitalisation immobilière et territoriale</w:t>
      </w:r>
    </w:p>
    <w:p>
      <w:pPr>
        <w:spacing w:after="160" w:line="269" w:lineRule="auto"/>
      </w:pPr>
      <w:r>
        <w:rPr>
          <w:rFonts w:ascii="Inter" w:hAnsi="Inter"/>
          <w:color w:val="1F2937"/>
          <w:sz w:val="20"/>
        </w:rPr>
        <w:t>Monsieur le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la remise en usage de biens vacants peut aussi devenir un levier d’insertion, de formation, de transmission de compétences et d’amélioration du cadre de vie lorsque les projets sont correctement encadrés.</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insertion par l’activité.</w:t>
      </w:r>
    </w:p>
    <w:p>
      <w:pPr>
        <w:pStyle w:val="ListBullet"/>
        <w:spacing w:after="60"/>
        <w:ind w:left="403" w:hanging="230"/>
      </w:pPr>
      <w:r>
        <w:rPr>
          <w:rFonts w:ascii="Inter" w:hAnsi="Inter"/>
          <w:color w:val="1F2937"/>
          <w:sz w:val="19"/>
        </w:rPr>
        <w:t>chantiers encadrés.</w:t>
      </w:r>
    </w:p>
    <w:p>
      <w:pPr>
        <w:pStyle w:val="ListBullet"/>
        <w:spacing w:after="60"/>
        <w:ind w:left="403" w:hanging="230"/>
      </w:pPr>
      <w:r>
        <w:rPr>
          <w:rFonts w:ascii="Inter" w:hAnsi="Inter"/>
          <w:color w:val="1F2937"/>
          <w:sz w:val="19"/>
        </w:rPr>
        <w:t>transmission de compétences.</w:t>
      </w:r>
    </w:p>
    <w:p>
      <w:pPr>
        <w:pStyle w:val="ListBullet"/>
        <w:spacing w:after="60"/>
        <w:ind w:left="403" w:hanging="230"/>
      </w:pPr>
      <w:r>
        <w:rPr>
          <w:rFonts w:ascii="Inter" w:hAnsi="Inter"/>
          <w:color w:val="1F2937"/>
          <w:sz w:val="19"/>
        </w:rPr>
        <w:t>mobilisation associative et partenariale.</w:t>
      </w:r>
    </w:p>
    <w:p>
      <w:pPr>
        <w:pStyle w:val="ListBullet"/>
        <w:spacing w:after="60"/>
        <w:ind w:left="403" w:hanging="230"/>
      </w:pPr>
      <w:r>
        <w:rPr>
          <w:rFonts w:ascii="Inter" w:hAnsi="Inter"/>
          <w:color w:val="1F2937"/>
          <w:sz w:val="19"/>
        </w:rPr>
        <w:t>projets utiles aux publics et territoires fragilisés.</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souhaiterions présenter le pôle Solidarité et Insertion de TVF afin d’étudier les conditions dans lesquelles des projets immobiliers ou de réemploi pourraient être articulés avec les acteurs compétents de l’emploi, de l’insertion et des solidarités.</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monsieur le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