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Monsieur Gérald Darmanin</w:t>
            </w:r>
            <w:r>
              <w:br/>
            </w:r>
            <w:r>
              <w:rPr>
                <w:rFonts w:ascii="Inter" w:hAnsi="Inter"/>
                <w:b w:val="0"/>
                <w:color w:val="667085"/>
                <w:sz w:val="18"/>
              </w:rPr>
              <w:t>Garde des Sceaux, ministre de la Justice</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sur les situations juridiques complexes liées aux biens vacants</w:t>
      </w:r>
    </w:p>
    <w:p>
      <w:pPr>
        <w:spacing w:after="160" w:line="269" w:lineRule="auto"/>
      </w:pPr>
      <w:r>
        <w:rPr>
          <w:rFonts w:ascii="Inter" w:hAnsi="Inter"/>
          <w:color w:val="1F2937"/>
          <w:sz w:val="20"/>
        </w:rPr>
        <w:t>Monsieur le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les biens vacants peuvent être liés à des successions, indivisions, propriétaires non identifiés, situations contentieuses ou blocages juridiques qui rendent indispensable une approche prudente et respectueuse du droit de propriété.</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droit de propriété.</w:t>
      </w:r>
    </w:p>
    <w:p>
      <w:pPr>
        <w:pStyle w:val="ListBullet"/>
        <w:spacing w:after="60"/>
        <w:ind w:left="403" w:hanging="230"/>
      </w:pPr>
      <w:r>
        <w:rPr>
          <w:rFonts w:ascii="Inter" w:hAnsi="Inter"/>
          <w:color w:val="1F2937"/>
          <w:sz w:val="19"/>
        </w:rPr>
        <w:t>successions et indivisions.</w:t>
      </w:r>
    </w:p>
    <w:p>
      <w:pPr>
        <w:pStyle w:val="ListBullet"/>
        <w:spacing w:after="60"/>
        <w:ind w:left="403" w:hanging="230"/>
      </w:pPr>
      <w:r>
        <w:rPr>
          <w:rFonts w:ascii="Inter" w:hAnsi="Inter"/>
          <w:color w:val="1F2937"/>
          <w:sz w:val="19"/>
        </w:rPr>
        <w:t>biens présumés sans maître.</w:t>
      </w:r>
    </w:p>
    <w:p>
      <w:pPr>
        <w:pStyle w:val="ListBullet"/>
        <w:spacing w:after="60"/>
        <w:ind w:left="403" w:hanging="230"/>
      </w:pPr>
      <w:r>
        <w:rPr>
          <w:rFonts w:ascii="Inter" w:hAnsi="Inter"/>
          <w:color w:val="1F2937"/>
          <w:sz w:val="19"/>
        </w:rPr>
        <w:t>sécurisation juridique des démarches.</w:t>
      </w:r>
    </w:p>
    <w:p>
      <w:pPr>
        <w:pStyle w:val="ListBullet"/>
        <w:spacing w:after="60"/>
        <w:ind w:left="403" w:hanging="230"/>
      </w:pPr>
      <w:r>
        <w:rPr>
          <w:rFonts w:ascii="Inter" w:hAnsi="Inter"/>
          <w:color w:val="1F2937"/>
          <w:sz w:val="19"/>
        </w:rPr>
        <w:t>orientation vers les professionnels compétents.</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souhaitons échanger avec vos services afin de mieux encadrer la doctrine interne de TVF sur les situations juridiques sensibles et d’identifier les bonnes pratiques permettant d’éviter toute confusion entre signalement, présomption et situation juridiquement établie.</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monsieur le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