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Madame Annie Genevard</w:t>
            </w:r>
            <w:r>
              <w:br/>
            </w:r>
            <w:r>
              <w:rPr>
                <w:rFonts w:ascii="Inter" w:hAnsi="Inter"/>
                <w:b w:val="0"/>
                <w:color w:val="667085"/>
                <w:sz w:val="18"/>
              </w:rPr>
              <w:t>Ministre de l’Agriculture et de la Souveraineté alimentaire</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la vacance, les bâtiments délaissés et la revitalisation des territoires ruraux</w:t>
      </w:r>
    </w:p>
    <w:p>
      <w:pPr>
        <w:spacing w:after="160" w:line="269" w:lineRule="auto"/>
      </w:pPr>
      <w:r>
        <w:rPr>
          <w:rFonts w:ascii="Inter" w:hAnsi="Inter"/>
          <w:color w:val="1F2937"/>
          <w:sz w:val="20"/>
        </w:rPr>
        <w:t>Madame la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la vacance immobilière et foncière concerne aussi les bourgs, villages, bâtiments ruraux, terrains délaissés et espaces dont l’usage doit être étudié avec prudence au regard des besoins locaux.</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revitalisation des bourgs et villages.</w:t>
      </w:r>
    </w:p>
    <w:p>
      <w:pPr>
        <w:pStyle w:val="ListBullet"/>
        <w:spacing w:after="60"/>
        <w:ind w:left="403" w:hanging="230"/>
      </w:pPr>
      <w:r>
        <w:rPr>
          <w:rFonts w:ascii="Inter" w:hAnsi="Inter"/>
          <w:color w:val="1F2937"/>
          <w:sz w:val="19"/>
        </w:rPr>
        <w:t>bâtiments ruraux délaissés.</w:t>
      </w:r>
    </w:p>
    <w:p>
      <w:pPr>
        <w:pStyle w:val="ListBullet"/>
        <w:spacing w:after="60"/>
        <w:ind w:left="403" w:hanging="230"/>
      </w:pPr>
      <w:r>
        <w:rPr>
          <w:rFonts w:ascii="Inter" w:hAnsi="Inter"/>
          <w:color w:val="1F2937"/>
          <w:sz w:val="19"/>
        </w:rPr>
        <w:t>foncier et usages locaux.</w:t>
      </w:r>
    </w:p>
    <w:p>
      <w:pPr>
        <w:pStyle w:val="ListBullet"/>
        <w:spacing w:after="60"/>
        <w:ind w:left="403" w:hanging="230"/>
      </w:pPr>
      <w:r>
        <w:rPr>
          <w:rFonts w:ascii="Inter" w:hAnsi="Inter"/>
          <w:color w:val="1F2937"/>
          <w:sz w:val="19"/>
        </w:rPr>
        <w:t>projets de proximité.</w:t>
      </w:r>
    </w:p>
    <w:p>
      <w:pPr>
        <w:pStyle w:val="ListBullet"/>
        <w:spacing w:after="60"/>
        <w:ind w:left="403" w:hanging="230"/>
      </w:pPr>
      <w:r>
        <w:rPr>
          <w:rFonts w:ascii="Inter" w:hAnsi="Inter"/>
          <w:color w:val="1F2937"/>
          <w:sz w:val="19"/>
        </w:rPr>
        <w:t>coopération avec les collectivités rurales.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souhaiterions présenter l’approche TVF afin d’étudier les conditions dans lesquelles cette méthode pourrait, à terme, être adaptée à des territoires ruraux ou périurbains, en lien avec les collectivités et acteurs compétents.</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madame la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