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800"/>
        <w:gridCol w:w="7920"/>
      </w:tblGrid>
      <w:tr>
        <w:tc>
          <w:tcPr>
            <w:tcW w:type="dxa" w:w="5184"/>
          </w:tcPr>
          <w:p>
            <w:r>
              <w:drawing>
                <wp:inline xmlns:a="http://schemas.openxmlformats.org/drawingml/2006/main" xmlns:pic="http://schemas.openxmlformats.org/drawingml/2006/picture">
                  <wp:extent cx="914400" cy="283888"/>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9"/>
                          <a:stretch>
                            <a:fillRect/>
                          </a:stretch>
                        </pic:blipFill>
                        <pic:spPr>
                          <a:xfrm>
                            <a:off x="0" y="0"/>
                            <a:ext cx="914400" cy="283888"/>
                          </a:xfrm>
                          <a:prstGeom prst="rect"/>
                        </pic:spPr>
                      </pic:pic>
                    </a:graphicData>
                  </a:graphic>
                </wp:inline>
              </w:drawing>
            </w:r>
          </w:p>
        </w:tc>
        <w:tc>
          <w:tcPr>
            <w:tcW w:type="dxa" w:w="5184"/>
          </w:tcPr>
          <w:p>
            <w:pPr>
              <w:jc w:val="right"/>
            </w:pPr>
            <w:r>
              <w:rPr>
                <w:rFonts w:ascii="Manrope" w:hAnsi="Manrope"/>
                <w:b/>
                <w:color w:val="18392F"/>
                <w:sz w:val="24"/>
              </w:rPr>
              <w:t>Territoires Vivants France</w:t>
              <w:br/>
            </w:r>
            <w:r>
              <w:rPr>
                <w:rFonts w:ascii="Inter" w:hAnsi="Inter"/>
                <w:b w:val="0"/>
                <w:color w:val="1F2937"/>
                <w:sz w:val="17"/>
              </w:rPr>
              <w:t>Agence Territoriale de Revitalisation Immobilière</w:t>
              <w:br/>
            </w:r>
            <w:r>
              <w:rPr>
                <w:rFonts w:ascii="Inter" w:hAnsi="Inter"/>
                <w:b w:val="0"/>
                <w:color w:val="667085"/>
                <w:sz w:val="14"/>
              </w:rPr>
              <w:t>25 rue Élise Gervais, 42000 Saint-Étienne | 04 65 81 54 69 | contact@territoiresvivantsfrance.fr</w:t>
              <w:br/>
              <w:t>RNA W922015538 | SIRET 897 226 138 00018</w:t>
            </w:r>
          </w:p>
        </w:tc>
      </w:tr>
    </w:tbl>
    <w:p>
      <w:pPr>
        <w:spacing w:before="200"/>
        <w:jc w:val="center"/>
      </w:pPr>
      <w:r>
        <w:rPr>
          <w:rFonts w:ascii="Manrope" w:hAnsi="Manrope"/>
          <w:b/>
          <w:color w:val="18392F"/>
          <w:sz w:val="36"/>
        </w:rPr>
        <w:t>CONVENTION CADRE ENTREPRISE / PARTENAIRE</w:t>
      </w:r>
    </w:p>
    <w:p>
      <w:pPr>
        <w:jc w:val="center"/>
      </w:pPr>
      <w:r>
        <w:rPr>
          <w:rFonts w:ascii="Inter" w:hAnsi="Inter"/>
          <w:b w:val="0"/>
          <w:color w:val="667085"/>
          <w:sz w:val="20"/>
        </w:rPr>
        <w:t>Expertise, partenariat territorial, mécénat, prestations et actions communes</w:t>
      </w:r>
    </w:p>
    <w:tbl>
      <w:tblPr>
        <w:tblW w:type="auto" w:w="0"/>
        <w:jc w:val="center"/>
        <w:tblLook w:firstColumn="1" w:firstRow="1" w:lastColumn="0" w:lastRow="0" w:noHBand="0" w:noVBand="1" w:val="04A0"/>
      </w:tblPr>
      <w:tblGrid>
        <w:gridCol w:w="10368"/>
      </w:tblGrid>
      <w:tr>
        <w:tc>
          <w:tcPr>
            <w:tcW w:type="dxa" w:w="10368"/>
            <w:shd w:fill="FBF8EF"/>
            <w:vAlign w:val="center"/>
            <w:tcBorders>
              <w:top w:val="single" w:sz="8" w:color="D9E0DC"/>
              <w:left w:val="single" w:sz="8" w:color="D9E0DC"/>
              <w:bottom w:val="single" w:sz="8" w:color="D9E0DC"/>
              <w:right w:val="single" w:sz="8" w:color="D9E0DC"/>
            </w:tcBorders>
          </w:tcPr>
          <w:p>
            <w:pPr>
              <w:spacing w:after="0"/>
            </w:pPr>
            <w:r>
              <w:rPr>
                <w:color w:val="667085"/>
                <w:sz w:val="16"/>
              </w:rPr>
            </w:r>
            <w:r>
              <w:rPr>
                <w:rFonts w:ascii="Inter" w:hAnsi="Inter"/>
                <w:b w:val="0"/>
                <w:color w:val="667085"/>
                <w:sz w:val="16"/>
              </w:rPr>
              <w:t>MODÈLE INTERNE À ADAPTER — Document institutionnel de travail. Toute signature réelle doit être précédée d’une vérification juridique adaptée à la situation, aux parties, aux responsabilités et au cadre réglementaire applicable.</w:t>
            </w:r>
          </w:p>
        </w:tc>
      </w:tr>
    </w:tbl>
    <w:tbl>
      <w:tblPr>
        <w:tblW w:type="auto" w:w="0"/>
        <w:jc w:val="center"/>
        <w:tblLook w:firstColumn="1" w:firstRow="1" w:lastColumn="0" w:lastRow="0" w:noHBand="0" w:noVBand="1" w:val="04A0"/>
      </w:tblPr>
      <w:tblGrid>
        <w:gridCol w:w="3240"/>
        <w:gridCol w:w="6480"/>
      </w:tblGrid>
      <w:tr>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Référence interne TVF</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[à compléter]</w:t>
            </w:r>
          </w:p>
        </w:tc>
      </w:tr>
      <w:tr>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Parties signataires</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[à compléter]</w:t>
            </w:r>
          </w:p>
        </w:tc>
      </w:tr>
      <w:tr>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Date d’effet</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[à compléter]</w:t>
            </w:r>
          </w:p>
        </w:tc>
      </w:tr>
      <w:tr>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Durée</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[à compléter]</w:t>
            </w:r>
          </w:p>
        </w:tc>
      </w:tr>
    </w:tbl>
    <w:p>
      <w:pPr>
        <w:spacing w:before="180"/>
      </w:pPr>
      <w:r>
        <w:rPr>
          <w:rFonts w:ascii="Manrope" w:hAnsi="Manrope"/>
          <w:b/>
          <w:color w:val="18392F"/>
          <w:sz w:val="24"/>
        </w:rPr>
        <w:t>1. Parties et contexte</w:t>
      </w:r>
    </w:p>
    <w:p>
      <w:pPr>
        <w:spacing w:line="269" w:lineRule="auto" w:after="100"/>
      </w:pPr>
      <w:r>
        <w:rPr>
          <w:rFonts w:ascii="Inter" w:hAnsi="Inter"/>
          <w:b w:val="0"/>
          <w:color w:val="1F2937"/>
          <w:sz w:val="19"/>
        </w:rPr>
        <w:t>La convention est conclue entre Territoires Vivants France, association loi 1901 agissant comme Agence Territoriale de Revitalisation Immobilière, et l’entreprise, fondation, association, organisme, professionnel ou partenaire souhaitant contribuer à une action de revitalisation.</w:t>
      </w:r>
    </w:p>
    <w:p>
      <w:pPr>
        <w:spacing w:line="269" w:lineRule="auto" w:after="100"/>
      </w:pPr>
      <w:r>
        <w:rPr>
          <w:rFonts w:ascii="Inter" w:hAnsi="Inter"/>
          <w:b w:val="0"/>
          <w:color w:val="1F2937"/>
          <w:sz w:val="19"/>
        </w:rPr>
        <w:t>Elle s’inscrit dans une logique de coopération territoriale : valoriser les compétences, ressources, expertises ou soutiens disponibles afin de contribuer à la remise en usage de biens, locaux, ressources ou projets utiles aux territoires.</w:t>
      </w:r>
    </w:p>
    <w:p>
      <w:pPr>
        <w:spacing w:before="180"/>
      </w:pPr>
      <w:r>
        <w:rPr>
          <w:rFonts w:ascii="Manrope" w:hAnsi="Manrope"/>
          <w:b/>
          <w:color w:val="18392F"/>
          <w:sz w:val="24"/>
        </w:rPr>
        <w:t>2. Objet de la convention</w:t>
      </w:r>
    </w:p>
    <w:p>
      <w:pPr>
        <w:spacing w:line="269" w:lineRule="auto" w:after="100"/>
      </w:pPr>
      <w:r>
        <w:rPr>
          <w:rFonts w:ascii="Inter" w:hAnsi="Inter"/>
          <w:b w:val="0"/>
          <w:color w:val="1F2937"/>
          <w:sz w:val="19"/>
        </w:rPr>
        <w:t>La convention définit le cadre général dans lequel le partenaire peut intervenir aux côtés de TVF : expertise, conseil, mécénat, mise à disposition de compétences, prestation, accompagnement, participation à une action ou contribution à un programme territorial.</w:t>
      </w:r>
    </w:p>
    <w:p>
      <w:pPr>
        <w:spacing w:line="269" w:lineRule="auto" w:after="100"/>
      </w:pPr>
      <w:r>
        <w:rPr>
          <w:rFonts w:ascii="Inter" w:hAnsi="Inter"/>
          <w:b w:val="0"/>
          <w:color w:val="1F2937"/>
          <w:sz w:val="19"/>
        </w:rPr>
        <w:t>Elle ne crée pas automatiquement une obligation de résultat, une exclusivité, un marché, une commande, une relation commerciale permanente ou une reconnaissance institutionnelle au-delà de ce qui est expressément prévu.</w:t>
      </w:r>
    </w:p>
    <w:p>
      <w:pPr>
        <w:spacing w:before="180"/>
      </w:pPr>
      <w:r>
        <w:rPr>
          <w:rFonts w:ascii="Manrope" w:hAnsi="Manrope"/>
          <w:b/>
          <w:color w:val="18392F"/>
          <w:sz w:val="24"/>
        </w:rPr>
        <w:t>3. Formes possibles de coopération</w:t>
      </w:r>
    </w:p>
    <w:p>
      <w:pPr>
        <w:spacing w:line="269" w:lineRule="auto" w:after="100"/>
      </w:pPr>
      <w:r>
        <w:rPr>
          <w:rFonts w:ascii="Inter" w:hAnsi="Inter"/>
          <w:b w:val="0"/>
          <w:color w:val="1F2937"/>
          <w:sz w:val="19"/>
        </w:rPr>
        <w:t>La coopération peut prendre plusieurs formes : apport d’expertise, participation à un groupe de travail, intervention technique, appui logistique, mécénat financier, mécénat en nature, mécénat de compétences, prestation encadrée, soutien à une action, parrainage ou partenariat opérationnel.</w:t>
      </w:r>
    </w:p>
    <w:p>
      <w:pPr>
        <w:spacing w:line="269" w:lineRule="auto" w:after="100"/>
      </w:pPr>
      <w:r>
        <w:rPr>
          <w:rFonts w:ascii="Inter" w:hAnsi="Inter"/>
          <w:b w:val="0"/>
          <w:color w:val="1F2937"/>
          <w:sz w:val="19"/>
        </w:rPr>
        <w:t>Chaque action concrète peut être précisée par une annexe, un bon de mission, un devis, une convention spécifique ou un programme d’action détaillé selon sa nature, son coût, sa durée et ses responsabilités.</w:t>
      </w:r>
    </w:p>
    <w:p>
      <w:pPr>
        <w:spacing w:before="180"/>
      </w:pPr>
      <w:r>
        <w:rPr>
          <w:rFonts w:ascii="Manrope" w:hAnsi="Manrope"/>
          <w:b/>
          <w:color w:val="18392F"/>
          <w:sz w:val="24"/>
        </w:rPr>
        <w:t>4. Engagements de TVF</w:t>
      </w:r>
    </w:p>
    <w:p>
      <w:pPr>
        <w:spacing w:line="269" w:lineRule="auto" w:after="100"/>
      </w:pPr>
      <w:r>
        <w:rPr>
          <w:rFonts w:ascii="Inter" w:hAnsi="Inter"/>
          <w:b w:val="0"/>
          <w:color w:val="1F2937"/>
          <w:sz w:val="19"/>
        </w:rPr>
        <w:t>TVF s’engage à présenter clairement les objectifs de la coopération, le cadre d’intervention, les projets concernés, les informations utiles et les limites de son rôle.</w:t>
      </w:r>
    </w:p>
    <w:p>
      <w:pPr>
        <w:spacing w:line="269" w:lineRule="auto" w:after="100"/>
      </w:pPr>
      <w:r>
        <w:rPr>
          <w:rFonts w:ascii="Inter" w:hAnsi="Inter"/>
          <w:b w:val="0"/>
          <w:color w:val="1F2937"/>
          <w:sz w:val="19"/>
        </w:rPr>
        <w:t>TVF veille à ne pas accepter de contribution inutile, inadaptée ou contraire à son objet. Elle conserve la faculté d’orienter, de suspendre ou de refuser une action lorsque les conditions de sécurité, de conformité, d’utilité ou de cohérence ne sont pas réunies.</w:t>
      </w:r>
    </w:p>
    <w:p>
      <w:pPr>
        <w:spacing w:before="180"/>
      </w:pPr>
      <w:r>
        <w:rPr>
          <w:rFonts w:ascii="Manrope" w:hAnsi="Manrope"/>
          <w:b/>
          <w:color w:val="18392F"/>
          <w:sz w:val="24"/>
        </w:rPr>
        <w:t>5. Engagements du partenaire</w:t>
      </w:r>
    </w:p>
    <w:p>
      <w:pPr>
        <w:spacing w:line="269" w:lineRule="auto" w:after="100"/>
      </w:pPr>
      <w:r>
        <w:rPr>
          <w:rFonts w:ascii="Inter" w:hAnsi="Inter"/>
          <w:b w:val="0"/>
          <w:color w:val="1F2937"/>
          <w:sz w:val="19"/>
        </w:rPr>
        <w:t>Le partenaire s’engage à intervenir dans le respect de ses compétences, assurances, habilitations, obligations professionnelles et règles de sécurité. Il s’engage à informer TVF de toute limite, incompatibilité, conflit d’intérêts ou contrainte susceptible d’affecter son intervention.</w:t>
      </w:r>
    </w:p>
    <w:p>
      <w:pPr>
        <w:spacing w:line="269" w:lineRule="auto" w:after="100"/>
      </w:pPr>
      <w:r>
        <w:rPr>
          <w:rFonts w:ascii="Inter" w:hAnsi="Inter"/>
          <w:b w:val="0"/>
          <w:color w:val="1F2937"/>
          <w:sz w:val="19"/>
        </w:rPr>
        <w:t>Lorsque le partenaire intervient auprès d’un propriétaire, d’une collectivité ou d’un tiers, les conditions de cette intervention doivent être clarifiées au préalable afin d’éviter toute confusion entre accompagnement TVF, prestation professionnelle, conseil réglementé ou mission indépendante.</w:t>
      </w:r>
    </w:p>
    <w:p>
      <w:pPr>
        <w:spacing w:before="180"/>
      </w:pPr>
      <w:r>
        <w:rPr>
          <w:rFonts w:ascii="Manrope" w:hAnsi="Manrope"/>
          <w:b/>
          <w:color w:val="18392F"/>
          <w:sz w:val="24"/>
        </w:rPr>
        <w:t>6. Mécénat, dons et fiscalité</w:t>
      </w:r>
    </w:p>
    <w:p>
      <w:pPr>
        <w:spacing w:line="269" w:lineRule="auto" w:after="100"/>
      </w:pPr>
      <w:r>
        <w:rPr>
          <w:rFonts w:ascii="Inter" w:hAnsi="Inter"/>
          <w:b w:val="0"/>
          <w:color w:val="1F2937"/>
          <w:sz w:val="19"/>
        </w:rPr>
        <w:t>Lorsque la coopération est présentée comme du mécénat, les parties vérifient préalablement que les conditions applicables sont réunies. Le soutien ne donne pas automatiquement droit à une réduction fiscale ou à un reçu fiscal.</w:t>
      </w:r>
    </w:p>
    <w:p>
      <w:pPr>
        <w:spacing w:line="269" w:lineRule="auto" w:after="100"/>
      </w:pPr>
      <w:r>
        <w:rPr>
          <w:rFonts w:ascii="Inter" w:hAnsi="Inter"/>
          <w:b w:val="0"/>
          <w:color w:val="1F2937"/>
          <w:sz w:val="19"/>
        </w:rPr>
        <w:t>Le partenaire demeure responsable de l’appréciation fiscale et comptable de sa contribution. TVF ne délivre un justificatif fiscal que lorsque le cadre légal, l’objet du soutien et l’absence de contrepartie substantielle le permettent.</w:t>
      </w:r>
    </w:p>
    <w:p>
      <w:pPr>
        <w:spacing w:before="180"/>
      </w:pPr>
      <w:r>
        <w:rPr>
          <w:rFonts w:ascii="Manrope" w:hAnsi="Manrope"/>
          <w:b/>
          <w:color w:val="18392F"/>
          <w:sz w:val="24"/>
        </w:rPr>
        <w:t>7. Prestations et commandes</w:t>
      </w:r>
    </w:p>
    <w:p>
      <w:pPr>
        <w:spacing w:line="269" w:lineRule="auto" w:after="100"/>
      </w:pPr>
      <w:r>
        <w:rPr>
          <w:rFonts w:ascii="Inter" w:hAnsi="Inter"/>
          <w:b w:val="0"/>
          <w:color w:val="1F2937"/>
          <w:sz w:val="19"/>
        </w:rPr>
        <w:t>Si l’intervention du partenaire donne lieu à une rémunération, un devis, une commande, une facture ou une prestation doivent préciser l’objet, le prix, les délais, les livrables, les responsabilités, les assurances et les conditions de validation.</w:t>
      </w:r>
    </w:p>
    <w:p>
      <w:pPr>
        <w:spacing w:line="269" w:lineRule="auto" w:after="100"/>
      </w:pPr>
      <w:r>
        <w:rPr>
          <w:rFonts w:ascii="Inter" w:hAnsi="Inter"/>
          <w:b w:val="0"/>
          <w:color w:val="1F2937"/>
          <w:sz w:val="19"/>
        </w:rPr>
        <w:t>La présente convention cadre ne remplace pas les documents contractuels spécifiques nécessaires à une prestation professionnelle, à des travaux, à une maîtrise d’œuvre, à un diagnostic réglementaire ou à une mission soumise à qualification.</w:t>
      </w:r>
    </w:p>
    <w:p>
      <w:pPr>
        <w:spacing w:before="180"/>
      </w:pPr>
      <w:r>
        <w:rPr>
          <w:rFonts w:ascii="Manrope" w:hAnsi="Manrope"/>
          <w:b/>
          <w:color w:val="18392F"/>
          <w:sz w:val="24"/>
        </w:rPr>
        <w:t>8. Confidentialité et données</w:t>
      </w:r>
    </w:p>
    <w:p>
      <w:pPr>
        <w:spacing w:line="269" w:lineRule="auto" w:after="100"/>
      </w:pPr>
      <w:r>
        <w:rPr>
          <w:rFonts w:ascii="Inter" w:hAnsi="Inter"/>
          <w:b w:val="0"/>
          <w:color w:val="1F2937"/>
          <w:sz w:val="19"/>
        </w:rPr>
        <w:t>Les informations relatives aux propriétaires, biens, documents, stratégies, partenaires, données économiques, projets ou difficultés identifiées sont confidentielles, sauf accord contraire ou nécessité d’exécution.</w:t>
      </w:r>
    </w:p>
    <w:p>
      <w:pPr>
        <w:spacing w:line="269" w:lineRule="auto" w:after="100"/>
      </w:pPr>
      <w:r>
        <w:rPr>
          <w:rFonts w:ascii="Inter" w:hAnsi="Inter"/>
          <w:b w:val="0"/>
          <w:color w:val="1F2937"/>
          <w:sz w:val="19"/>
        </w:rPr>
        <w:t>Lorsque des données personnelles sont échangées, chaque partie s’engage à respecter la réglementation applicable et à limiter l’accès aux seules personnes ayant besoin d’en connaître pour la mission concernée.</w:t>
      </w:r>
    </w:p>
    <w:p>
      <w:pPr>
        <w:spacing w:before="180"/>
      </w:pPr>
      <w:r>
        <w:rPr>
          <w:rFonts w:ascii="Manrope" w:hAnsi="Manrope"/>
          <w:b/>
          <w:color w:val="18392F"/>
          <w:sz w:val="24"/>
        </w:rPr>
        <w:t>9. Communication et image</w:t>
      </w:r>
    </w:p>
    <w:p>
      <w:pPr>
        <w:spacing w:line="269" w:lineRule="auto" w:after="100"/>
      </w:pPr>
      <w:r>
        <w:rPr>
          <w:rFonts w:ascii="Inter" w:hAnsi="Inter"/>
          <w:b w:val="0"/>
          <w:color w:val="1F2937"/>
          <w:sz w:val="19"/>
        </w:rPr>
        <w:t>L’utilisation du nom, logo, image, témoignage ou référence d’une partie nécessite son accord préalable. Toute communication doit rester exacte, proportionnée et ne pas présenter comme acquis un résultat, partenariat ou impact qui ne serait pas vérifié.</w:t>
      </w:r>
    </w:p>
    <w:p>
      <w:pPr>
        <w:spacing w:line="269" w:lineRule="auto" w:after="100"/>
      </w:pPr>
      <w:r>
        <w:rPr>
          <w:rFonts w:ascii="Inter" w:hAnsi="Inter"/>
          <w:b w:val="0"/>
          <w:color w:val="1F2937"/>
          <w:sz w:val="19"/>
        </w:rPr>
        <w:t>Les supports de communication peuvent mentionner l’action commune uniquement dans les conditions validées par les parties.</w:t>
      </w:r>
    </w:p>
    <w:p>
      <w:pPr>
        <w:spacing w:before="180"/>
      </w:pPr>
      <w:r>
        <w:rPr>
          <w:rFonts w:ascii="Manrope" w:hAnsi="Manrope"/>
          <w:b/>
          <w:color w:val="18392F"/>
          <w:sz w:val="24"/>
        </w:rPr>
        <w:t>10. Durée, suivi et fin de coopération</w:t>
      </w:r>
    </w:p>
    <w:p>
      <w:pPr>
        <w:spacing w:line="269" w:lineRule="auto" w:after="100"/>
      </w:pPr>
      <w:r>
        <w:rPr>
          <w:rFonts w:ascii="Inter" w:hAnsi="Inter"/>
          <w:b w:val="0"/>
          <w:color w:val="1F2937"/>
          <w:sz w:val="19"/>
        </w:rPr>
        <w:t>La convention est conclue pour une durée à compléter. Les parties peuvent prévoir des réunions de suivi, comptes rendus, bilans d’action ou indicateurs qualitatifs.</w:t>
      </w:r>
    </w:p>
    <w:p>
      <w:pPr>
        <w:spacing w:line="269" w:lineRule="auto" w:after="100"/>
      </w:pPr>
      <w:r>
        <w:rPr>
          <w:rFonts w:ascii="Inter" w:hAnsi="Inter"/>
          <w:b w:val="0"/>
          <w:color w:val="1F2937"/>
          <w:sz w:val="19"/>
        </w:rPr>
        <w:t>Chaque partie peut mettre fin à la coopération en cas de manquement, impossibilité, changement de contexte, absence de moyens, risque non maîtrisé ou décision commune de réorientation.</w:t>
      </w:r>
    </w:p>
    <w:p>
      <w:r>
        <w:rPr>
          <w:rFonts w:ascii="Manrope" w:hAnsi="Manrope"/>
          <w:b/>
          <w:color w:val="18392F"/>
          <w:sz w:val="24"/>
        </w:rPr>
        <w:t>Annexes recommandées</w:t>
      </w:r>
    </w:p>
    <w:p>
      <w:pPr>
        <w:ind w:left="259"/>
      </w:pPr>
      <w:r>
        <w:rPr>
          <w:rFonts w:ascii="Inter" w:hAnsi="Inter"/>
          <w:b w:val="0"/>
          <w:color w:val="1F2937"/>
          <w:sz w:val="19"/>
        </w:rPr>
        <w:t>□ Fiche partenaire</w:t>
      </w:r>
    </w:p>
    <w:p>
      <w:pPr>
        <w:ind w:left="259"/>
      </w:pPr>
      <w:r>
        <w:rPr>
          <w:rFonts w:ascii="Inter" w:hAnsi="Inter"/>
          <w:b w:val="0"/>
          <w:color w:val="1F2937"/>
          <w:sz w:val="19"/>
        </w:rPr>
        <w:t>□ Programme d’action</w:t>
      </w:r>
    </w:p>
    <w:p>
      <w:pPr>
        <w:ind w:left="259"/>
      </w:pPr>
      <w:r>
        <w:rPr>
          <w:rFonts w:ascii="Inter" w:hAnsi="Inter"/>
          <w:b w:val="0"/>
          <w:color w:val="1F2937"/>
          <w:sz w:val="19"/>
        </w:rPr>
        <w:t>□ Devis ou bon de mission</w:t>
      </w:r>
    </w:p>
    <w:p>
      <w:pPr>
        <w:ind w:left="259"/>
      </w:pPr>
      <w:r>
        <w:rPr>
          <w:rFonts w:ascii="Inter" w:hAnsi="Inter"/>
          <w:b w:val="0"/>
          <w:color w:val="1F2937"/>
          <w:sz w:val="19"/>
        </w:rPr>
        <w:t>□ Règles communication</w:t>
      </w:r>
    </w:p>
    <w:p>
      <w:pPr>
        <w:ind w:left="259"/>
      </w:pPr>
      <w:r>
        <w:rPr>
          <w:rFonts w:ascii="Inter" w:hAnsi="Inter"/>
          <w:b w:val="0"/>
          <w:color w:val="1F2937"/>
          <w:sz w:val="19"/>
        </w:rPr>
        <w:t>□ Engagement confidentialité</w:t>
      </w:r>
    </w:p>
    <w:p>
      <w:r>
        <w:rPr>
          <w:rFonts w:ascii="Manrope" w:hAnsi="Manrope"/>
          <w:b/>
          <w:color w:val="18392F"/>
          <w:sz w:val="24"/>
        </w:rPr>
        <w:t>Signatures</w:t>
      </w:r>
    </w:p>
    <w:tbl>
      <w:tblPr>
        <w:tblW w:type="auto" w:w="0"/>
        <w:jc w:val="center"/>
        <w:tblLook w:firstColumn="1" w:firstRow="1" w:lastColumn="0" w:lastRow="0" w:noHBand="0" w:noVBand="1" w:val="04A0"/>
      </w:tblPr>
      <w:tblGrid>
        <w:gridCol w:w="5184"/>
        <w:gridCol w:w="5184"/>
      </w:tblGrid>
      <w:tr>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Pour Territoires Vivants France</w:t>
            </w:r>
          </w:p>
        </w:tc>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Pour la partie cocontractante</w:t>
            </w:r>
          </w:p>
        </w:tc>
      </w:tr>
      <w:tr>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Nom, qualité, date</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Nom, qualité, date</w:t>
            </w:r>
          </w:p>
        </w:tc>
      </w:tr>
      <w:tr>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Signature</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Signature</w:t>
            </w:r>
          </w:p>
        </w:tc>
      </w:tr>
    </w:tbl>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b w:val="0"/>
        <w:color w:val="667085"/>
        <w:sz w:val="14"/>
      </w:rPr>
      <w:t>Territoires Vivants France — CONVENTION CADRE ENTREPRISE / PARTENAIRE — modèle interne confidentiel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