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00"/>
        <w:gridCol w:w="7920"/>
      </w:tblGrid>
      <w:tr>
        <w:tc>
          <w:tcPr>
            <w:tcW w:type="dxa" w:w="5184"/>
          </w:tcPr>
          <w:p>
            <w:r>
              <w:drawing>
                <wp:inline xmlns:a="http://schemas.openxmlformats.org/drawingml/2006/main" xmlns:pic="http://schemas.openxmlformats.org/drawingml/2006/picture">
                  <wp:extent cx="914400" cy="283888"/>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914400" cy="283888"/>
                          </a:xfrm>
                          <a:prstGeom prst="rect"/>
                        </pic:spPr>
                      </pic:pic>
                    </a:graphicData>
                  </a:graphic>
                </wp:inline>
              </w:drawing>
            </w:r>
          </w:p>
        </w:tc>
        <w:tc>
          <w:tcPr>
            <w:tcW w:type="dxa" w:w="5184"/>
          </w:tcPr>
          <w:p>
            <w:pPr>
              <w:jc w:val="right"/>
            </w:pPr>
            <w:r>
              <w:rPr>
                <w:rFonts w:ascii="Manrope" w:hAnsi="Manrope"/>
                <w:b/>
                <w:color w:val="18392F"/>
                <w:sz w:val="24"/>
              </w:rPr>
              <w:t>Territoires Vivants France</w:t>
              <w:br/>
            </w:r>
            <w:r>
              <w:rPr>
                <w:rFonts w:ascii="Inter" w:hAnsi="Inter"/>
                <w:b w:val="0"/>
                <w:color w:val="1F2937"/>
                <w:sz w:val="17"/>
              </w:rPr>
              <w:t>Agence Territoriale de Revitalisation Immobilière</w:t>
              <w:br/>
            </w:r>
            <w:r>
              <w:rPr>
                <w:rFonts w:ascii="Inter" w:hAnsi="Inter"/>
                <w:b w:val="0"/>
                <w:color w:val="667085"/>
                <w:sz w:val="14"/>
              </w:rPr>
              <w:t>25 rue Élise Gervais, 42000 Saint-Étienne | 04 65 81 54 69 | contact@territoiresvivantsfrance.fr</w:t>
              <w:br/>
              <w:t>RNA W922015538 | SIRET 897 226 138 00018</w:t>
            </w:r>
          </w:p>
        </w:tc>
      </w:tr>
    </w:tbl>
    <w:p>
      <w:pPr>
        <w:spacing w:before="200"/>
        <w:jc w:val="center"/>
      </w:pPr>
      <w:r>
        <w:rPr>
          <w:rFonts w:ascii="Manrope" w:hAnsi="Manrope"/>
          <w:b/>
          <w:color w:val="18392F"/>
          <w:sz w:val="36"/>
        </w:rPr>
        <w:t>CONVENTION DE MISE À DISPOSITION D’UN BIEN</w:t>
      </w:r>
    </w:p>
    <w:p>
      <w:pPr>
        <w:jc w:val="center"/>
      </w:pPr>
      <w:r>
        <w:rPr>
          <w:rFonts w:ascii="Inter" w:hAnsi="Inter"/>
          <w:b w:val="0"/>
          <w:color w:val="667085"/>
          <w:sz w:val="20"/>
        </w:rPr>
        <w:t>Usage encadré, durée, accès, charges, assurance et restitution</w:t>
      </w:r>
    </w:p>
    <w:tbl>
      <w:tblPr>
        <w:tblW w:type="auto" w:w="0"/>
        <w:jc w:val="center"/>
        <w:tblLook w:firstColumn="1" w:firstRow="1" w:lastColumn="0" w:lastRow="0" w:noHBand="0" w:noVBand="1" w:val="04A0"/>
      </w:tblPr>
      <w:tblGrid>
        <w:gridCol w:w="10368"/>
      </w:tblGrid>
      <w:tr>
        <w:tc>
          <w:tcPr>
            <w:tcW w:type="dxa" w:w="10368"/>
            <w:shd w:fill="FBF8EF"/>
            <w:vAlign w:val="center"/>
            <w:tcBorders>
              <w:top w:val="single" w:sz="8" w:color="D9E0DC"/>
              <w:left w:val="single" w:sz="8" w:color="D9E0DC"/>
              <w:bottom w:val="single" w:sz="8" w:color="D9E0DC"/>
              <w:right w:val="single" w:sz="8" w:color="D9E0DC"/>
            </w:tcBorders>
          </w:tcPr>
          <w:p>
            <w:pPr>
              <w:spacing w:after="0"/>
            </w:pPr>
            <w:r>
              <w:rPr>
                <w:color w:val="667085"/>
                <w:sz w:val="16"/>
              </w:rPr>
            </w:r>
            <w:r>
              <w:rPr>
                <w:rFonts w:ascii="Inter" w:hAnsi="Inter"/>
                <w:b w:val="0"/>
                <w:color w:val="667085"/>
                <w:sz w:val="16"/>
              </w:rPr>
              <w:t>MODÈLE INTERNE À ADAPTER — Document institutionnel de travail. Toute signature réelle doit être précédée d’une vérification juridique adaptée à la situation, aux parties, aux responsabilités et au cadre réglementaire applicable.</w:t>
            </w:r>
          </w:p>
        </w:tc>
      </w:tr>
    </w:tbl>
    <w:tbl>
      <w:tblPr>
        <w:tblW w:type="auto" w:w="0"/>
        <w:jc w:val="center"/>
        <w:tblLook w:firstColumn="1" w:firstRow="1" w:lastColumn="0" w:lastRow="0" w:noHBand="0" w:noVBand="1" w:val="04A0"/>
      </w:tblPr>
      <w:tblGrid>
        <w:gridCol w:w="3240"/>
        <w:gridCol w:w="6480"/>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Référence interne TVF</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Parties signataires</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Date d’effet</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Durée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[à compléter]</w:t>
            </w:r>
          </w:p>
        </w:tc>
      </w:tr>
    </w:tbl>
    <w:p>
      <w:pPr>
        <w:spacing w:before="180"/>
      </w:pPr>
      <w:r>
        <w:rPr>
          <w:rFonts w:ascii="Manrope" w:hAnsi="Manrope"/>
          <w:b/>
          <w:color w:val="18392F"/>
          <w:sz w:val="24"/>
        </w:rPr>
        <w:t>1. Parties et désignation du bien</w:t>
      </w:r>
    </w:p>
    <w:p>
      <w:pPr>
        <w:spacing w:line="269" w:lineRule="auto" w:after="100"/>
      </w:pPr>
      <w:r>
        <w:rPr>
          <w:rFonts w:ascii="Inter" w:hAnsi="Inter"/>
          <w:b w:val="0"/>
          <w:color w:val="1F2937"/>
          <w:sz w:val="19"/>
        </w:rPr>
        <w:t>La convention est conclue entre TVF et le propriétaire, représentant ou titulaire habilité du bien mis à disposition. Le bien est décrit précisément : adresse, nature, surface approximative, dépendances, accès, état apparent et limites d’usage.</w:t>
      </w:r>
    </w:p>
    <w:p>
      <w:pPr>
        <w:spacing w:line="269" w:lineRule="auto" w:after="100"/>
      </w:pPr>
      <w:r>
        <w:rPr>
          <w:rFonts w:ascii="Inter" w:hAnsi="Inter"/>
          <w:b w:val="0"/>
          <w:color w:val="1F2937"/>
          <w:sz w:val="19"/>
        </w:rPr>
        <w:t>Une annexe d’état des lieux peut décrire les locaux, équipements, clés, compteurs, accès, photographies, réserves et restrictions connues au jour de la mise à disposition.</w:t>
      </w:r>
    </w:p>
    <w:p>
      <w:pPr>
        <w:spacing w:before="180"/>
      </w:pPr>
      <w:r>
        <w:rPr>
          <w:rFonts w:ascii="Manrope" w:hAnsi="Manrope"/>
          <w:b/>
          <w:color w:val="18392F"/>
          <w:sz w:val="24"/>
        </w:rPr>
        <w:t>2. Objet et nature de la mise à disposition</w:t>
      </w:r>
    </w:p>
    <w:p>
      <w:pPr>
        <w:spacing w:line="269" w:lineRule="auto" w:after="100"/>
      </w:pPr>
      <w:r>
        <w:rPr>
          <w:rFonts w:ascii="Inter" w:hAnsi="Inter"/>
          <w:b w:val="0"/>
          <w:color w:val="1F2937"/>
          <w:sz w:val="19"/>
        </w:rPr>
        <w:t>La convention a pour objet d’autoriser TVF, ou un projet expressément désigné, à utiliser le bien dans un cadre déterminé : stockage, action associative, atelier, occupation temporaire, projet solidaire, préparation de chantier, expérimentation territoriale ou autre usage validé.</w:t>
      </w:r>
    </w:p>
    <w:p>
      <w:pPr>
        <w:spacing w:line="269" w:lineRule="auto" w:after="100"/>
      </w:pPr>
      <w:r>
        <w:rPr>
          <w:rFonts w:ascii="Inter" w:hAnsi="Inter"/>
          <w:b w:val="0"/>
          <w:color w:val="1F2937"/>
          <w:sz w:val="19"/>
        </w:rPr>
        <w:t>Elle ne constitue pas automatiquement un bail d’habitation, bail commercial, bail professionnel, mandat de gestion, prêt illimité ou transfert de propriété. La qualification juridique doit être vérifiée selon la durée, l’usage, les contreparties et les obligations prévues.</w:t>
      </w:r>
    </w:p>
    <w:p>
      <w:pPr>
        <w:spacing w:before="180"/>
      </w:pPr>
      <w:r>
        <w:rPr>
          <w:rFonts w:ascii="Manrope" w:hAnsi="Manrope"/>
          <w:b/>
          <w:color w:val="18392F"/>
          <w:sz w:val="24"/>
        </w:rPr>
        <w:t>3. Durée et conditions d’occupation</w:t>
      </w:r>
    </w:p>
    <w:p>
      <w:pPr>
        <w:spacing w:line="269" w:lineRule="auto" w:after="100"/>
      </w:pPr>
      <w:r>
        <w:rPr>
          <w:rFonts w:ascii="Inter" w:hAnsi="Inter"/>
          <w:b w:val="0"/>
          <w:color w:val="1F2937"/>
          <w:sz w:val="19"/>
        </w:rPr>
        <w:t>La durée est fixée par les parties et peut être ponctuelle, temporaire, expérimentale ou renouvelable. Toute prolongation doit être formalisée par écrit.</w:t>
      </w:r>
    </w:p>
    <w:p>
      <w:pPr>
        <w:spacing w:line="269" w:lineRule="auto" w:after="100"/>
      </w:pPr>
      <w:r>
        <w:rPr>
          <w:rFonts w:ascii="Inter" w:hAnsi="Inter"/>
          <w:b w:val="0"/>
          <w:color w:val="1F2937"/>
          <w:sz w:val="19"/>
        </w:rPr>
        <w:t>Le propriétaire peut prévoir des conditions particulières d’accès, de jours et horaires, de présence, de fermeture, de clés, de stationnement, d’utilisation des parties communes ou d’interdiction de certaines zones.</w:t>
      </w:r>
    </w:p>
    <w:p>
      <w:pPr>
        <w:spacing w:before="180"/>
      </w:pPr>
      <w:r>
        <w:rPr>
          <w:rFonts w:ascii="Manrope" w:hAnsi="Manrope"/>
          <w:b/>
          <w:color w:val="18392F"/>
          <w:sz w:val="24"/>
        </w:rPr>
        <w:t>4. Usage autorisé et interdictions</w:t>
      </w:r>
    </w:p>
    <w:p>
      <w:pPr>
        <w:spacing w:line="269" w:lineRule="auto" w:after="100"/>
      </w:pPr>
      <w:r>
        <w:rPr>
          <w:rFonts w:ascii="Inter" w:hAnsi="Inter"/>
          <w:b w:val="0"/>
          <w:color w:val="1F2937"/>
          <w:sz w:val="19"/>
        </w:rPr>
        <w:t>Le bien ne peut être utilisé que pour l’usage expressément autorisé. Toute modification d’usage, sous-mise à disposition, accueil de public, activité commerciale, stockage sensible, travaux ou occupation par un tiers doit être validé au préalable.</w:t>
      </w:r>
    </w:p>
    <w:p>
      <w:pPr>
        <w:spacing w:line="269" w:lineRule="auto" w:after="100"/>
      </w:pPr>
      <w:r>
        <w:rPr>
          <w:rFonts w:ascii="Inter" w:hAnsi="Inter"/>
          <w:b w:val="0"/>
          <w:color w:val="1F2937"/>
          <w:sz w:val="19"/>
        </w:rPr>
        <w:t>Sont interdits sans accord écrit : transformation du bien, intervention lourde, modification des réseaux, hébergement non prévu, activité dangereuse, dépôt de produits interdits, nuisance anormale ou usage contraire aux règles applicables.</w:t>
      </w:r>
    </w:p>
    <w:p>
      <w:pPr>
        <w:spacing w:before="180"/>
      </w:pPr>
      <w:r>
        <w:rPr>
          <w:rFonts w:ascii="Manrope" w:hAnsi="Manrope"/>
          <w:b/>
          <w:color w:val="18392F"/>
          <w:sz w:val="24"/>
        </w:rPr>
        <w:t>5. Charges, frais et fluides</w:t>
      </w:r>
    </w:p>
    <w:p>
      <w:pPr>
        <w:spacing w:line="269" w:lineRule="auto" w:after="100"/>
      </w:pPr>
      <w:r>
        <w:rPr>
          <w:rFonts w:ascii="Inter" w:hAnsi="Inter"/>
          <w:b w:val="0"/>
          <w:color w:val="1F2937"/>
          <w:sz w:val="19"/>
        </w:rPr>
        <w:t>La convention précise la répartition des charges, consommations, fluides, entretien courant, déchets, nettoyage, abonnements, taxes ou frais liés à l’usage du bien.</w:t>
      </w:r>
    </w:p>
    <w:p>
      <w:pPr>
        <w:spacing w:line="269" w:lineRule="auto" w:after="100"/>
      </w:pPr>
      <w:r>
        <w:rPr>
          <w:rFonts w:ascii="Inter" w:hAnsi="Inter"/>
          <w:b w:val="0"/>
          <w:color w:val="1F2937"/>
          <w:sz w:val="19"/>
        </w:rPr>
        <w:t>Lorsque la mise à disposition est gratuite, une participation aux charges peut être prévue sans transformer automatiquement la nature de la convention. Les modalités doivent être clairement détaillées.</w:t>
      </w:r>
    </w:p>
    <w:p>
      <w:pPr>
        <w:spacing w:before="180"/>
      </w:pPr>
      <w:r>
        <w:rPr>
          <w:rFonts w:ascii="Manrope" w:hAnsi="Manrope"/>
          <w:b/>
          <w:color w:val="18392F"/>
          <w:sz w:val="24"/>
        </w:rPr>
        <w:t>6. Assurance et responsabilité</w:t>
      </w:r>
    </w:p>
    <w:p>
      <w:pPr>
        <w:spacing w:line="269" w:lineRule="auto" w:after="100"/>
      </w:pPr>
      <w:r>
        <w:rPr>
          <w:rFonts w:ascii="Inter" w:hAnsi="Inter"/>
          <w:b w:val="0"/>
          <w:color w:val="1F2937"/>
          <w:sz w:val="19"/>
        </w:rPr>
        <w:t>Le propriétaire conserve les assurances relevant de sa qualité et de son bien. TVF ou l’occupant autorisé doit disposer d’une assurance adaptée à son usage, couvrant notamment responsabilité civile, dommages éventuels et activités prévues.</w:t>
      </w:r>
    </w:p>
    <w:p>
      <w:pPr>
        <w:spacing w:line="269" w:lineRule="auto" w:after="100"/>
      </w:pPr>
      <w:r>
        <w:rPr>
          <w:rFonts w:ascii="Inter" w:hAnsi="Inter"/>
          <w:b w:val="0"/>
          <w:color w:val="1F2937"/>
          <w:sz w:val="19"/>
        </w:rPr>
        <w:t>Chaque partie demeure responsable des dommages causés par sa faute, son usage, ses intervenants ou les personnes placées sous sa responsabilité. Les sinistres doivent être signalés sans délai.</w:t>
      </w:r>
    </w:p>
    <w:p>
      <w:pPr>
        <w:spacing w:before="180"/>
      </w:pPr>
      <w:r>
        <w:rPr>
          <w:rFonts w:ascii="Manrope" w:hAnsi="Manrope"/>
          <w:b/>
          <w:color w:val="18392F"/>
          <w:sz w:val="24"/>
        </w:rPr>
        <w:t>7. Accès, sécurité et état du bien</w:t>
      </w:r>
    </w:p>
    <w:p>
      <w:pPr>
        <w:spacing w:line="269" w:lineRule="auto" w:after="100"/>
      </w:pPr>
      <w:r>
        <w:rPr>
          <w:rFonts w:ascii="Inter" w:hAnsi="Inter"/>
          <w:b w:val="0"/>
          <w:color w:val="1F2937"/>
          <w:sz w:val="19"/>
        </w:rPr>
        <w:t>TVF s’engage à respecter les conditions d’accès, les règles de sécurité et les limites fixées. Le propriétaire doit signaler les risques connus : structure, électricité, humidité, amiante, plomb, accès dangereux, servitudes, litiges ou restrictions.</w:t>
      </w:r>
    </w:p>
    <w:p>
      <w:pPr>
        <w:spacing w:line="269" w:lineRule="auto" w:after="100"/>
      </w:pPr>
      <w:r>
        <w:rPr>
          <w:rFonts w:ascii="Inter" w:hAnsi="Inter"/>
          <w:b w:val="0"/>
          <w:color w:val="1F2937"/>
          <w:sz w:val="19"/>
        </w:rPr>
        <w:t>Si un risque grave apparaît, l’usage peut être suspendu immédiatement jusqu’à clarification ou intervention d’un professionnel compétent.</w:t>
      </w:r>
    </w:p>
    <w:p>
      <w:pPr>
        <w:spacing w:before="180"/>
      </w:pPr>
      <w:r>
        <w:rPr>
          <w:rFonts w:ascii="Manrope" w:hAnsi="Manrope"/>
          <w:b/>
          <w:color w:val="18392F"/>
          <w:sz w:val="24"/>
        </w:rPr>
        <w:t>8. Travaux, aménagements et entretien</w:t>
      </w:r>
    </w:p>
    <w:p>
      <w:pPr>
        <w:spacing w:line="269" w:lineRule="auto" w:after="100"/>
      </w:pPr>
      <w:r>
        <w:rPr>
          <w:rFonts w:ascii="Inter" w:hAnsi="Inter"/>
          <w:b w:val="0"/>
          <w:color w:val="1F2937"/>
          <w:sz w:val="19"/>
        </w:rPr>
        <w:t>Aucun travaux, percement, modification, installation durable ou transformation ne peut être réalisé sans accord écrit du propriétaire. Les petits aménagements autorisés doivent être listés et leur sort à la restitution précisé.</w:t>
      </w:r>
    </w:p>
    <w:p>
      <w:pPr>
        <w:spacing w:line="269" w:lineRule="auto" w:after="100"/>
      </w:pPr>
      <w:r>
        <w:rPr>
          <w:rFonts w:ascii="Inter" w:hAnsi="Inter"/>
          <w:b w:val="0"/>
          <w:color w:val="1F2937"/>
          <w:sz w:val="19"/>
        </w:rPr>
        <w:t>L’entretien courant lié à l’usage peut être mis à la charge de TVF ou de l’occupant autorisé. Les réparations structurelles ou obligations du propriétaire restent à clarifier selon la situation.</w:t>
      </w:r>
    </w:p>
    <w:p>
      <w:pPr>
        <w:spacing w:before="180"/>
      </w:pPr>
      <w:r>
        <w:rPr>
          <w:rFonts w:ascii="Manrope" w:hAnsi="Manrope"/>
          <w:b/>
          <w:color w:val="18392F"/>
          <w:sz w:val="24"/>
        </w:rPr>
        <w:t>9. Restitution du bien</w:t>
      </w:r>
    </w:p>
    <w:p>
      <w:pPr>
        <w:spacing w:line="269" w:lineRule="auto" w:after="100"/>
      </w:pPr>
      <w:r>
        <w:rPr>
          <w:rFonts w:ascii="Inter" w:hAnsi="Inter"/>
          <w:b w:val="0"/>
          <w:color w:val="1F2937"/>
          <w:sz w:val="19"/>
        </w:rPr>
        <w:t>À l’issue de la mise à disposition, le bien est restitué dans l’état convenu, sous réserve de l’usure normale et des éléments expressément acceptés. Un état des lieux de sortie peut être établi.</w:t>
      </w:r>
    </w:p>
    <w:p>
      <w:pPr>
        <w:spacing w:line="269" w:lineRule="auto" w:after="100"/>
      </w:pPr>
      <w:r>
        <w:rPr>
          <w:rFonts w:ascii="Inter" w:hAnsi="Inter"/>
          <w:b w:val="0"/>
          <w:color w:val="1F2937"/>
          <w:sz w:val="19"/>
        </w:rPr>
        <w:t>Les clés, badges, documents, équipements ou accès remis doivent être restitués. Les biens, matériaux ou installations ajoutés sont retirés sauf accord contraire.</w:t>
      </w:r>
    </w:p>
    <w:p>
      <w:pPr>
        <w:spacing w:before="180"/>
      </w:pPr>
      <w:r>
        <w:rPr>
          <w:rFonts w:ascii="Manrope" w:hAnsi="Manrope"/>
          <w:b/>
          <w:color w:val="18392F"/>
          <w:sz w:val="24"/>
        </w:rPr>
        <w:t>10. Fin anticipée et litiges</w:t>
      </w:r>
    </w:p>
    <w:p>
      <w:pPr>
        <w:spacing w:line="269" w:lineRule="auto" w:after="100"/>
      </w:pPr>
      <w:r>
        <w:rPr>
          <w:rFonts w:ascii="Inter" w:hAnsi="Inter"/>
          <w:b w:val="0"/>
          <w:color w:val="1F2937"/>
          <w:sz w:val="19"/>
        </w:rPr>
        <w:t>La convention peut prendre fin par arrivée du terme, accord des parties, non-respect des conditions, danger, impossibilité d’usage, retrait du projet ou nécessité impérieuse du propriétaire.</w:t>
      </w:r>
    </w:p>
    <w:p>
      <w:pPr>
        <w:spacing w:line="269" w:lineRule="auto" w:after="100"/>
      </w:pPr>
      <w:r>
        <w:rPr>
          <w:rFonts w:ascii="Inter" w:hAnsi="Inter"/>
          <w:b w:val="0"/>
          <w:color w:val="1F2937"/>
          <w:sz w:val="19"/>
        </w:rPr>
        <w:t>Les parties recherchent prioritairement une solution amiable. Les clauses particulières peuvent prévoir les modalités de préavis, restitution et traitement des frais engagés.</w:t>
      </w:r>
    </w:p>
    <w:p>
      <w:r>
        <w:rPr>
          <w:rFonts w:ascii="Manrope" w:hAnsi="Manrope"/>
          <w:b/>
          <w:color w:val="18392F"/>
          <w:sz w:val="24"/>
        </w:rPr>
        <w:t>Annexes recommandées</w:t>
      </w:r>
    </w:p>
    <w:p>
      <w:pPr>
        <w:ind w:left="259"/>
      </w:pPr>
      <w:r>
        <w:rPr>
          <w:rFonts w:ascii="Inter" w:hAnsi="Inter"/>
          <w:b w:val="0"/>
          <w:color w:val="1F2937"/>
          <w:sz w:val="19"/>
        </w:rPr>
        <w:t>□ Désignation du bien</w:t>
      </w:r>
    </w:p>
    <w:p>
      <w:pPr>
        <w:ind w:left="259"/>
      </w:pPr>
      <w:r>
        <w:rPr>
          <w:rFonts w:ascii="Inter" w:hAnsi="Inter"/>
          <w:b w:val="0"/>
          <w:color w:val="1F2937"/>
          <w:sz w:val="19"/>
        </w:rPr>
        <w:t>□ État des lieux entrée</w:t>
      </w:r>
    </w:p>
    <w:p>
      <w:pPr>
        <w:ind w:left="259"/>
      </w:pPr>
      <w:r>
        <w:rPr>
          <w:rFonts w:ascii="Inter" w:hAnsi="Inter"/>
          <w:b w:val="0"/>
          <w:color w:val="1F2937"/>
          <w:sz w:val="19"/>
        </w:rPr>
        <w:t>□ Autorisation photos</w:t>
      </w:r>
    </w:p>
    <w:p>
      <w:pPr>
        <w:ind w:left="259"/>
      </w:pPr>
      <w:r>
        <w:rPr>
          <w:rFonts w:ascii="Inter" w:hAnsi="Inter"/>
          <w:b w:val="0"/>
          <w:color w:val="1F2937"/>
          <w:sz w:val="19"/>
        </w:rPr>
        <w:t>□ Attestation assurance</w:t>
      </w:r>
    </w:p>
    <w:p>
      <w:pPr>
        <w:ind w:left="259"/>
      </w:pPr>
      <w:r>
        <w:rPr>
          <w:rFonts w:ascii="Inter" w:hAnsi="Inter"/>
          <w:b w:val="0"/>
          <w:color w:val="1F2937"/>
          <w:sz w:val="19"/>
        </w:rPr>
        <w:t>□ État des lieux sortie</w:t>
      </w:r>
    </w:p>
    <w:p>
      <w:r>
        <w:rPr>
          <w:rFonts w:ascii="Manrope" w:hAnsi="Manrope"/>
          <w:b/>
          <w:color w:val="18392F"/>
          <w:sz w:val="24"/>
        </w:rPr>
        <w:t>Signatures</w:t>
      </w:r>
    </w:p>
    <w:tbl>
      <w:tblPr>
        <w:tblW w:type="auto" w:w="0"/>
        <w:jc w:val="center"/>
        <w:tblLook w:firstColumn="1" w:firstRow="1" w:lastColumn="0" w:lastRow="0" w:noHBand="0" w:noVBand="1" w:val="04A0"/>
      </w:tblPr>
      <w:tblGrid>
        <w:gridCol w:w="5184"/>
        <w:gridCol w:w="5184"/>
      </w:tblGrid>
      <w:tr>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Territoires Vivants France</w:t>
            </w:r>
          </w:p>
        </w:tc>
        <w:tc>
          <w:tcPr>
            <w:tcW w:type="dxa" w:w="5184"/>
            <w:shd w:fill="F3F7F2"/>
            <w:vAlign w:val="center"/>
            <w:tcBorders>
              <w:top w:val="single" w:sz="8" w:color="D9E0DC"/>
              <w:left w:val="single" w:sz="8" w:color="D9E0DC"/>
              <w:bottom w:val="single" w:sz="8" w:color="D9E0DC"/>
              <w:right w:val="single" w:sz="8" w:color="D9E0DC"/>
            </w:tcBorders>
          </w:tcPr>
          <w:p>
            <w:pPr>
              <w:spacing w:after="0"/>
            </w:pPr>
            <w:r/>
            <w:r>
              <w:rPr>
                <w:rFonts w:ascii="Inter" w:hAnsi="Inter"/>
                <w:b/>
                <w:color w:val="18392F"/>
                <w:sz w:val="17"/>
              </w:rPr>
              <w:t>Pour la partie cocontractante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Nom, qualité, date</w:t>
            </w:r>
          </w:p>
        </w:tc>
      </w:tr>
      <w:tr>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c>
          <w:tcPr>
            <w:tcW w:type="dxa" w:w="5184"/>
            <w:vAlign w:val="center"/>
            <w:tcBorders>
              <w:top w:val="single" w:sz="8" w:color="D9E0DC"/>
              <w:left w:val="single" w:sz="8" w:color="D9E0DC"/>
              <w:bottom w:val="single" w:sz="8" w:color="D9E0DC"/>
              <w:right w:val="single" w:sz="8" w:color="D9E0DC"/>
            </w:tcBorders>
          </w:tcPr>
          <w:p>
            <w:pPr>
              <w:spacing w:after="0"/>
            </w:pPr>
            <w:r/>
            <w:r>
              <w:rPr>
                <w:rFonts w:ascii="Inter" w:hAnsi="Inter"/>
                <w:b w:val="0"/>
                <w:color w:val="1F2937"/>
                <w:sz w:val="17"/>
              </w:rPr>
              <w:t>Signature</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667085"/>
        <w:sz w:val="14"/>
      </w:rPr>
      <w:t>Territoires Vivants France — CONVENTION DE MISE À DISPOSITION D’UN BIEN — modèle interne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