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00"/>
        <w:gridCol w:w="7920"/>
      </w:tblGrid>
      <w:tr>
        <w:tc>
          <w:tcPr>
            <w:tcW w:type="dxa" w:w="5184"/>
          </w:tcPr>
          <w:p>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184"/>
          </w:tcPr>
          <w:p>
            <w:pPr>
              <w:jc w:val="right"/>
            </w:pPr>
            <w:r>
              <w:rPr>
                <w:rFonts w:ascii="Manrope" w:hAnsi="Manrope"/>
                <w:b/>
                <w:color w:val="18392F"/>
                <w:sz w:val="24"/>
              </w:rPr>
              <w:t>Territoires Vivants France</w:t>
              <w:br/>
            </w:r>
            <w:r>
              <w:rPr>
                <w:rFonts w:ascii="Inter" w:hAnsi="Inter"/>
                <w:b w:val="0"/>
                <w:color w:val="1F2937"/>
                <w:sz w:val="17"/>
              </w:rPr>
              <w:t>Agence Territoriale de Revitalisation Immobilière</w:t>
              <w:br/>
            </w:r>
            <w:r>
              <w:rPr>
                <w:rFonts w:ascii="Inter" w:hAnsi="Inter"/>
                <w:b w:val="0"/>
                <w:color w:val="667085"/>
                <w:sz w:val="14"/>
              </w:rPr>
              <w:t>25 rue Élise Gervais, 42000 Saint-Étienne | 04 65 81 54 69 | contact@territoiresvivantsfrance.fr</w:t>
              <w:br/>
              <w:t>RNA W922015538 | SIRET 897 226 138 00018</w:t>
            </w:r>
          </w:p>
        </w:tc>
      </w:tr>
    </w:tbl>
    <w:p>
      <w:pPr>
        <w:spacing w:before="200"/>
        <w:jc w:val="center"/>
      </w:pPr>
      <w:r>
        <w:rPr>
          <w:rFonts w:ascii="Manrope" w:hAnsi="Manrope"/>
          <w:b/>
          <w:color w:val="18392F"/>
          <w:sz w:val="36"/>
        </w:rPr>
        <w:t>CONVENTION PROJET SOLIDAIRE / ASSOCIATION</w:t>
      </w:r>
    </w:p>
    <w:p>
      <w:pPr>
        <w:jc w:val="center"/>
      </w:pPr>
      <w:r>
        <w:rPr>
          <w:rFonts w:ascii="Inter" w:hAnsi="Inter"/>
          <w:b w:val="0"/>
          <w:color w:val="667085"/>
          <w:sz w:val="20"/>
        </w:rPr>
        <w:t>Projet commun, utilité sociale, ressources, sécurité, bénévoles et suivi</w:t>
      </w:r>
    </w:p>
    <w:tbl>
      <w:tblPr>
        <w:tblW w:type="auto" w:w="0"/>
        <w:jc w:val="center"/>
        <w:tblLook w:firstColumn="1" w:firstRow="1" w:lastColumn="0" w:lastRow="0" w:noHBand="0" w:noVBand="1" w:val="04A0"/>
      </w:tblPr>
      <w:tblGrid>
        <w:gridCol w:w="10368"/>
      </w:tblGrid>
      <w:tr>
        <w:tc>
          <w:tcPr>
            <w:tcW w:type="dxa" w:w="10368"/>
            <w:shd w:fill="FBF8EF"/>
            <w:vAlign w:val="center"/>
            <w:tcBorders>
              <w:top w:val="single" w:sz="8" w:color="D9E0DC"/>
              <w:left w:val="single" w:sz="8" w:color="D9E0DC"/>
              <w:bottom w:val="single" w:sz="8" w:color="D9E0DC"/>
              <w:right w:val="single" w:sz="8" w:color="D9E0DC"/>
            </w:tcBorders>
          </w:tcPr>
          <w:p>
            <w:pPr>
              <w:spacing w:after="0"/>
            </w:pPr>
            <w:r>
              <w:rPr>
                <w:color w:val="667085"/>
                <w:sz w:val="16"/>
              </w:rPr>
            </w:r>
            <w:r>
              <w:rPr>
                <w:rFonts w:ascii="Inter" w:hAnsi="Inter"/>
                <w:b w:val="0"/>
                <w:color w:val="667085"/>
                <w:sz w:val="16"/>
              </w:rPr>
              <w:t>MODÈLE INTERNE À ADAPTER — Document institutionnel de travail. Toute signature réelle doit être précédée d’une vérification juridique adaptée à la situation, aux parties, aux responsabilités et au cadre réglementaire applicable.</w:t>
            </w:r>
          </w:p>
        </w:tc>
      </w:tr>
    </w:tbl>
    <w:tbl>
      <w:tblPr>
        <w:tblW w:type="auto" w:w="0"/>
        <w:jc w:val="center"/>
        <w:tblLook w:firstColumn="1" w:firstRow="1" w:lastColumn="0" w:lastRow="0" w:noHBand="0" w:noVBand="1" w:val="04A0"/>
      </w:tblPr>
      <w:tblGrid>
        <w:gridCol w:w="3240"/>
        <w:gridCol w:w="6480"/>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Référence interne TVF</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Parties signataires</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Date d’effet</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Durée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bl>
    <w:p>
      <w:pPr>
        <w:spacing w:before="180"/>
      </w:pPr>
      <w:r>
        <w:rPr>
          <w:rFonts w:ascii="Manrope" w:hAnsi="Manrope"/>
          <w:b/>
          <w:color w:val="18392F"/>
          <w:sz w:val="24"/>
        </w:rPr>
        <w:t>1. Parties et finalité du projet</w:t>
      </w:r>
    </w:p>
    <w:p>
      <w:pPr>
        <w:spacing w:line="269" w:lineRule="auto" w:after="100"/>
      </w:pPr>
      <w:r>
        <w:rPr>
          <w:rFonts w:ascii="Inter" w:hAnsi="Inter"/>
          <w:b w:val="0"/>
          <w:color w:val="1F2937"/>
          <w:sz w:val="19"/>
        </w:rPr>
        <w:t>La convention est conclue entre TVF et l’association, structure d’insertion, organisme de formation, porteur de projet ou collectif engagé dans une action sociale, solidaire, éducative, culturelle, environnementale ou territoriale.</w:t>
      </w:r>
    </w:p>
    <w:p>
      <w:pPr>
        <w:spacing w:line="269" w:lineRule="auto" w:after="100"/>
      </w:pPr>
      <w:r>
        <w:rPr>
          <w:rFonts w:ascii="Inter" w:hAnsi="Inter"/>
          <w:b w:val="0"/>
          <w:color w:val="1F2937"/>
          <w:sz w:val="19"/>
        </w:rPr>
        <w:t>Elle vise à encadrer une coopération contribuant à la revitalisation, à l’inclusion, au réemploi, à l’apprentissage, à l’amélioration du cadre de vie ou à l’activation temporaire d’un bien, d’un espace ou d’une ressource.</w:t>
      </w:r>
    </w:p>
    <w:p>
      <w:pPr>
        <w:spacing w:before="180"/>
      </w:pPr>
      <w:r>
        <w:rPr>
          <w:rFonts w:ascii="Manrope" w:hAnsi="Manrope"/>
          <w:b/>
          <w:color w:val="18392F"/>
          <w:sz w:val="24"/>
        </w:rPr>
        <w:t>2. Objet du partenariat</w:t>
      </w:r>
    </w:p>
    <w:p>
      <w:pPr>
        <w:spacing w:line="269" w:lineRule="auto" w:after="100"/>
      </w:pPr>
      <w:r>
        <w:rPr>
          <w:rFonts w:ascii="Inter" w:hAnsi="Inter"/>
          <w:b w:val="0"/>
          <w:color w:val="1F2937"/>
          <w:sz w:val="19"/>
        </w:rPr>
        <w:t>La convention définit le projet, ses objectifs, le public concerné, le territoire, les moyens mobilisés, les responsabilités respectives, les étapes, la durée et les conditions de suivi.</w:t>
      </w:r>
    </w:p>
    <w:p>
      <w:pPr>
        <w:spacing w:line="269" w:lineRule="auto" w:after="100"/>
      </w:pPr>
      <w:r>
        <w:rPr>
          <w:rFonts w:ascii="Inter" w:hAnsi="Inter"/>
          <w:b w:val="0"/>
          <w:color w:val="1F2937"/>
          <w:sz w:val="19"/>
        </w:rPr>
        <w:t>Elle ne crée pas automatiquement de droit d’usage sur un bien, de financement, de mise à disposition de ressources ou d’intervention de TVF au-delà des engagements expressément prévus.</w:t>
      </w:r>
    </w:p>
    <w:p>
      <w:pPr>
        <w:spacing w:before="180"/>
      </w:pPr>
      <w:r>
        <w:rPr>
          <w:rFonts w:ascii="Manrope" w:hAnsi="Manrope"/>
          <w:b/>
          <w:color w:val="18392F"/>
          <w:sz w:val="24"/>
        </w:rPr>
        <w:t>3. Description du projet</w:t>
      </w:r>
    </w:p>
    <w:p>
      <w:pPr>
        <w:spacing w:line="269" w:lineRule="auto" w:after="100"/>
      </w:pPr>
      <w:r>
        <w:rPr>
          <w:rFonts w:ascii="Inter" w:hAnsi="Inter"/>
          <w:b w:val="0"/>
          <w:color w:val="1F2937"/>
          <w:sz w:val="19"/>
        </w:rPr>
        <w:t>Le projet est décrit en annexe : contexte, objectifs, bénéficiaires, lieu, calendrier, besoins matériels, ressources humaines, partenaires, budget prévisionnel, indicateurs de suivi et conditions de réussite.</w:t>
      </w:r>
    </w:p>
    <w:p>
      <w:pPr>
        <w:spacing w:line="269" w:lineRule="auto" w:after="100"/>
      </w:pPr>
      <w:r>
        <w:rPr>
          <w:rFonts w:ascii="Inter" w:hAnsi="Inter"/>
          <w:b w:val="0"/>
          <w:color w:val="1F2937"/>
          <w:sz w:val="19"/>
        </w:rPr>
        <w:t>TVF peut demander des précisions lorsque le projet implique un public vulnérable, des bénévoles, des mineurs, de l’outillage, un chantier, un accueil de public ou l’utilisation d’un bien privé.</w:t>
      </w:r>
    </w:p>
    <w:p>
      <w:pPr>
        <w:spacing w:before="180"/>
      </w:pPr>
      <w:r>
        <w:rPr>
          <w:rFonts w:ascii="Manrope" w:hAnsi="Manrope"/>
          <w:b/>
          <w:color w:val="18392F"/>
          <w:sz w:val="24"/>
        </w:rPr>
        <w:t>4. Rôle de TVF</w:t>
      </w:r>
    </w:p>
    <w:p>
      <w:pPr>
        <w:spacing w:line="269" w:lineRule="auto" w:after="100"/>
      </w:pPr>
      <w:r>
        <w:rPr>
          <w:rFonts w:ascii="Inter" w:hAnsi="Inter"/>
          <w:b w:val="0"/>
          <w:color w:val="1F2937"/>
          <w:sz w:val="19"/>
        </w:rPr>
        <w:t>TVF peut contribuer par la coordination, l’orientation, la mise en relation, l’appui documentaire, la mobilisation de ressources, le lien avec un propriétaire, l’identification d’un lieu, le suivi du dossier ou la valorisation institutionnelle du projet.</w:t>
      </w:r>
    </w:p>
    <w:p>
      <w:pPr>
        <w:spacing w:line="269" w:lineRule="auto" w:after="100"/>
      </w:pPr>
      <w:r>
        <w:rPr>
          <w:rFonts w:ascii="Inter" w:hAnsi="Inter"/>
          <w:b w:val="0"/>
          <w:color w:val="1F2937"/>
          <w:sz w:val="19"/>
        </w:rPr>
        <w:t>TVF ne se substitue pas à l’association porteuse, aux employeurs, aux encadrants techniques, aux organismes de formation, aux professionnels habilités ou aux autorités compétentes.</w:t>
      </w:r>
    </w:p>
    <w:p>
      <w:pPr>
        <w:spacing w:before="180"/>
      </w:pPr>
      <w:r>
        <w:rPr>
          <w:rFonts w:ascii="Manrope" w:hAnsi="Manrope"/>
          <w:b/>
          <w:color w:val="18392F"/>
          <w:sz w:val="24"/>
        </w:rPr>
        <w:t>5. Rôle du partenaire associatif</w:t>
      </w:r>
    </w:p>
    <w:p>
      <w:pPr>
        <w:spacing w:line="269" w:lineRule="auto" w:after="100"/>
      </w:pPr>
      <w:r>
        <w:rPr>
          <w:rFonts w:ascii="Inter" w:hAnsi="Inter"/>
          <w:b w:val="0"/>
          <w:color w:val="1F2937"/>
          <w:sz w:val="19"/>
        </w:rPr>
        <w:t>Le partenaire porte son projet, encadre ses équipes, bénévoles, salariés, bénéficiaires ou participants, respecte ses obligations légales, assure la sécurité des personnes et dispose des assurances nécessaires.</w:t>
      </w:r>
    </w:p>
    <w:p>
      <w:pPr>
        <w:spacing w:line="269" w:lineRule="auto" w:after="100"/>
      </w:pPr>
      <w:r>
        <w:rPr>
          <w:rFonts w:ascii="Inter" w:hAnsi="Inter"/>
          <w:b w:val="0"/>
          <w:color w:val="1F2937"/>
          <w:sz w:val="19"/>
        </w:rPr>
        <w:t>Il s’engage à informer TVF de toute difficulté, incident, modification du projet, changement d’usage, besoin supplémentaire ou risque susceptible d’affecter la coopération.</w:t>
      </w:r>
    </w:p>
    <w:p>
      <w:pPr>
        <w:spacing w:before="180"/>
      </w:pPr>
      <w:r>
        <w:rPr>
          <w:rFonts w:ascii="Manrope" w:hAnsi="Manrope"/>
          <w:b/>
          <w:color w:val="18392F"/>
          <w:sz w:val="24"/>
        </w:rPr>
        <w:t>6. Utilisation d’un bien ou d’un espace</w:t>
      </w:r>
    </w:p>
    <w:p>
      <w:pPr>
        <w:spacing w:line="269" w:lineRule="auto" w:after="100"/>
      </w:pPr>
      <w:r>
        <w:rPr>
          <w:rFonts w:ascii="Inter" w:hAnsi="Inter"/>
          <w:b w:val="0"/>
          <w:color w:val="1F2937"/>
          <w:sz w:val="19"/>
        </w:rPr>
        <w:t>Si le projet nécessite l’usage d’un bien, local, terrain ou espace, cet usage doit être autorisé par le propriétaire ou la personne habilitée et, si nécessaire, faire l’objet d’une convention de mise à disposition distincte ou d’une annexe dédiée.</w:t>
      </w:r>
    </w:p>
    <w:p>
      <w:pPr>
        <w:spacing w:line="269" w:lineRule="auto" w:after="100"/>
      </w:pPr>
      <w:r>
        <w:rPr>
          <w:rFonts w:ascii="Inter" w:hAnsi="Inter"/>
          <w:b w:val="0"/>
          <w:color w:val="1F2937"/>
          <w:sz w:val="19"/>
        </w:rPr>
        <w:t>Aucune occupation, intervention ou activité ne peut être organisée dans un lieu sans autorisation claire, conditions de sécurité suffisantes et assurance adaptée.</w:t>
      </w:r>
    </w:p>
    <w:p>
      <w:pPr>
        <w:spacing w:before="180"/>
      </w:pPr>
      <w:r>
        <w:rPr>
          <w:rFonts w:ascii="Manrope" w:hAnsi="Manrope"/>
          <w:b/>
          <w:color w:val="18392F"/>
          <w:sz w:val="24"/>
        </w:rPr>
        <w:t>7. Ressources, matériaux et équipements</w:t>
      </w:r>
    </w:p>
    <w:p>
      <w:pPr>
        <w:spacing w:line="269" w:lineRule="auto" w:after="100"/>
      </w:pPr>
      <w:r>
        <w:rPr>
          <w:rFonts w:ascii="Inter" w:hAnsi="Inter"/>
          <w:b w:val="0"/>
          <w:color w:val="1F2937"/>
          <w:sz w:val="19"/>
        </w:rPr>
        <w:t>Lorsque TVF met à disposition des matériaux, équipements ou ressources, leur nature, quantité, usage prévu, conditions de transport, stockage, responsabilité et restitution éventuelle sont précisées.</w:t>
      </w:r>
    </w:p>
    <w:p>
      <w:pPr>
        <w:spacing w:line="269" w:lineRule="auto" w:after="100"/>
      </w:pPr>
      <w:r>
        <w:rPr>
          <w:rFonts w:ascii="Inter" w:hAnsi="Inter"/>
          <w:b w:val="0"/>
          <w:color w:val="1F2937"/>
          <w:sz w:val="19"/>
        </w:rPr>
        <w:t>Les ressources ne doivent pas être revendues, détournées de leur objet ou utilisées dans un cadre différent sans accord préalable.</w:t>
      </w:r>
    </w:p>
    <w:p>
      <w:pPr>
        <w:spacing w:before="180"/>
      </w:pPr>
      <w:r>
        <w:rPr>
          <w:rFonts w:ascii="Manrope" w:hAnsi="Manrope"/>
          <w:b/>
          <w:color w:val="18392F"/>
          <w:sz w:val="24"/>
        </w:rPr>
        <w:t>8. Sécurité, encadrement et bénévoles</w:t>
      </w:r>
    </w:p>
    <w:p>
      <w:pPr>
        <w:spacing w:line="269" w:lineRule="auto" w:after="100"/>
      </w:pPr>
      <w:r>
        <w:rPr>
          <w:rFonts w:ascii="Inter" w:hAnsi="Inter"/>
          <w:b w:val="0"/>
          <w:color w:val="1F2937"/>
          <w:sz w:val="19"/>
        </w:rPr>
        <w:t>Les activités impliquant chantier, outillage, manutention, travaux, accueil de public ou participation de bénévoles doivent être encadrées par des personnes compétentes et réalisées dans des conditions de sécurité adaptées.</w:t>
      </w:r>
    </w:p>
    <w:p>
      <w:pPr>
        <w:spacing w:line="269" w:lineRule="auto" w:after="100"/>
      </w:pPr>
      <w:r>
        <w:rPr>
          <w:rFonts w:ascii="Inter" w:hAnsi="Inter"/>
          <w:b w:val="0"/>
          <w:color w:val="1F2937"/>
          <w:sz w:val="19"/>
        </w:rPr>
        <w:t>Les participants doivent être informés des règles applicables. Les missions nécessitant qualification, assurance, autorisation ou compétence professionnelle doivent être confiées à des intervenants habilités.</w:t>
      </w:r>
    </w:p>
    <w:p>
      <w:pPr>
        <w:spacing w:before="180"/>
      </w:pPr>
      <w:r>
        <w:rPr>
          <w:rFonts w:ascii="Manrope" w:hAnsi="Manrope"/>
          <w:b/>
          <w:color w:val="18392F"/>
          <w:sz w:val="24"/>
        </w:rPr>
        <w:t>9. Communication, image et données</w:t>
      </w:r>
    </w:p>
    <w:p>
      <w:pPr>
        <w:spacing w:line="269" w:lineRule="auto" w:after="100"/>
      </w:pPr>
      <w:r>
        <w:rPr>
          <w:rFonts w:ascii="Inter" w:hAnsi="Inter"/>
          <w:b w:val="0"/>
          <w:color w:val="1F2937"/>
          <w:sz w:val="19"/>
        </w:rPr>
        <w:t>Toute communication sur le projet doit respecter l’image des personnes, l’accord des partenaires, la confidentialité des lieux et la protection des données personnelles.</w:t>
      </w:r>
    </w:p>
    <w:p>
      <w:pPr>
        <w:spacing w:line="269" w:lineRule="auto" w:after="100"/>
      </w:pPr>
      <w:r>
        <w:rPr>
          <w:rFonts w:ascii="Inter" w:hAnsi="Inter"/>
          <w:b w:val="0"/>
          <w:color w:val="1F2937"/>
          <w:sz w:val="19"/>
        </w:rPr>
        <w:t>L’utilisation de photos, témoignages, noms, logos ou informations concernant les bénéficiaires nécessite les autorisations adaptées, notamment lorsque des personnes vulnérables ou mineures sont concernées.</w:t>
      </w:r>
    </w:p>
    <w:p>
      <w:pPr>
        <w:spacing w:before="180"/>
      </w:pPr>
      <w:r>
        <w:rPr>
          <w:rFonts w:ascii="Manrope" w:hAnsi="Manrope"/>
          <w:b/>
          <w:color w:val="18392F"/>
          <w:sz w:val="24"/>
        </w:rPr>
        <w:t>10. Suivi, bilan et fin du partenariat</w:t>
      </w:r>
    </w:p>
    <w:p>
      <w:pPr>
        <w:spacing w:line="269" w:lineRule="auto" w:after="100"/>
      </w:pPr>
      <w:r>
        <w:rPr>
          <w:rFonts w:ascii="Inter" w:hAnsi="Inter"/>
          <w:b w:val="0"/>
          <w:color w:val="1F2937"/>
          <w:sz w:val="19"/>
        </w:rPr>
        <w:t>Les parties peuvent prévoir réunions, compte rendu, bilan, photos avant/après, indicateurs qualitatifs, retour d’expérience et perspectives de poursuite.</w:t>
      </w:r>
    </w:p>
    <w:p>
      <w:pPr>
        <w:spacing w:line="269" w:lineRule="auto" w:after="100"/>
      </w:pPr>
      <w:r>
        <w:rPr>
          <w:rFonts w:ascii="Inter" w:hAnsi="Inter"/>
          <w:b w:val="0"/>
          <w:color w:val="1F2937"/>
          <w:sz w:val="19"/>
        </w:rPr>
        <w:t>La convention peut prendre fin en cas de terme, réalisation du projet, accord des parties, impossibilité, risque non maîtrisé, non-respect des engagements ou absence de moyens suffisants.</w:t>
      </w:r>
    </w:p>
    <w:p>
      <w:r>
        <w:rPr>
          <w:rFonts w:ascii="Manrope" w:hAnsi="Manrope"/>
          <w:b/>
          <w:color w:val="18392F"/>
          <w:sz w:val="24"/>
        </w:rPr>
        <w:t>Annexes recommandées</w:t>
      </w:r>
    </w:p>
    <w:p>
      <w:pPr>
        <w:ind w:left="259"/>
      </w:pPr>
      <w:r>
        <w:rPr>
          <w:rFonts w:ascii="Inter" w:hAnsi="Inter"/>
          <w:b w:val="0"/>
          <w:color w:val="1F2937"/>
          <w:sz w:val="19"/>
        </w:rPr>
        <w:t>□ Fiche projet</w:t>
      </w:r>
    </w:p>
    <w:p>
      <w:pPr>
        <w:ind w:left="259"/>
      </w:pPr>
      <w:r>
        <w:rPr>
          <w:rFonts w:ascii="Inter" w:hAnsi="Inter"/>
          <w:b w:val="0"/>
          <w:color w:val="1F2937"/>
          <w:sz w:val="19"/>
        </w:rPr>
        <w:t>□ Calendrier d’action</w:t>
      </w:r>
    </w:p>
    <w:p>
      <w:pPr>
        <w:ind w:left="259"/>
      </w:pPr>
      <w:r>
        <w:rPr>
          <w:rFonts w:ascii="Inter" w:hAnsi="Inter"/>
          <w:b w:val="0"/>
          <w:color w:val="1F2937"/>
          <w:sz w:val="19"/>
        </w:rPr>
        <w:t>□ Liste ressources mobilisées</w:t>
      </w:r>
    </w:p>
    <w:p>
      <w:pPr>
        <w:ind w:left="259"/>
      </w:pPr>
      <w:r>
        <w:rPr>
          <w:rFonts w:ascii="Inter" w:hAnsi="Inter"/>
          <w:b w:val="0"/>
          <w:color w:val="1F2937"/>
          <w:sz w:val="19"/>
        </w:rPr>
        <w:t>□ Attestations assurance</w:t>
      </w:r>
    </w:p>
    <w:p>
      <w:pPr>
        <w:ind w:left="259"/>
      </w:pPr>
      <w:r>
        <w:rPr>
          <w:rFonts w:ascii="Inter" w:hAnsi="Inter"/>
          <w:b w:val="0"/>
          <w:color w:val="1F2937"/>
          <w:sz w:val="19"/>
        </w:rPr>
        <w:t>□ Autorisation image et communication</w:t>
      </w:r>
    </w:p>
    <w:p>
      <w:r>
        <w:rPr>
          <w:rFonts w:ascii="Manrope" w:hAnsi="Manrope"/>
          <w:b/>
          <w:color w:val="18392F"/>
          <w:sz w:val="24"/>
        </w:rPr>
        <w:t>Signatures</w:t>
      </w:r>
    </w:p>
    <w:tbl>
      <w:tblPr>
        <w:tblW w:type="auto" w:w="0"/>
        <w:jc w:val="center"/>
        <w:tblLook w:firstColumn="1" w:firstRow="1" w:lastColumn="0" w:lastRow="0" w:noHBand="0" w:noVBand="1" w:val="04A0"/>
      </w:tblPr>
      <w:tblGrid>
        <w:gridCol w:w="5184"/>
        <w:gridCol w:w="5184"/>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Territoires Vivants France</w:t>
            </w:r>
          </w:p>
        </w:tc>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la partie cocontractante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CONVENTION PROJET SOLIDAIRE / ASSOCIATION — modèle interne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