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TVF-CONV-04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Convention type de partenariat entreprise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Encadrer un partenariat RSE, materiel, logistique, technique ou territorial.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TVF-CONV-04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artisan, bailleur, logisticien, commerce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Definir les contributions d'une entreprise et les modalites de cooperation avec TVF.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Contribution : nature, volume, calendrier et conditions de mobilisation sont decrits.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Responsabilites : chaque partie reste responsable de ses obligations legales, sociales, fiscales et assurantielles.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Visibilite : la mention de l'entreprise partenaire est encadree et ne vaut pas label officiel.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Confidentialite : les informations non publiques transmises pendant l'instruction restent confidentielles.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Reporting : TVF peut fournir une synthese d'utilisation ou d'impact lorsque le projet le permet.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Fin : les conditions de suspension, renouvellement ou fin de partenariat sont prevues.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Fiche contribution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Contacts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Calendrier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Elements de communication valides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Reporting attendu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