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240280" cy="695524"/>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0"/>
                    <a:stretch>
                      <a:fillRect/>
                    </a:stretch>
                  </pic:blipFill>
                  <pic:spPr>
                    <a:xfrm>
                      <a:off x="0" y="0"/>
                      <a:ext cx="2240280" cy="695524"/>
                    </a:xfrm>
                    <a:prstGeom prst="rect"/>
                  </pic:spPr>
                </pic:pic>
              </a:graphicData>
            </a:graphic>
          </wp:inline>
        </w:drawing>
      </w:r>
    </w:p>
    <w:p>
      <w:r>
        <w:rPr>
          <w:b/>
          <w:color w:val="071F18"/>
          <w:sz w:val="52"/>
        </w:rPr>
        <w:t>OPÉRATION EMPIRE IMMO TVF</w:t>
      </w:r>
    </w:p>
    <w:p>
      <w:r>
        <w:rPr>
          <w:b/>
          <w:color w:val="2E7D32"/>
          <w:sz w:val="30"/>
        </w:rPr>
        <w:t>Guide opérationnel de prospection, qualification et conventionnement immobilier</w:t>
      </w:r>
    </w:p>
    <w:tbl>
      <w:tblPr>
        <w:tblW w:type="auto" w:w="0"/>
        <w:jc w:val="center"/>
        <w:tblLook w:firstColumn="1" w:firstRow="1" w:lastColumn="0" w:lastRow="0" w:noHBand="0" w:noVBand="1" w:val="04A0"/>
      </w:tblPr>
      <w:tblGrid>
        <w:gridCol w:w="9749"/>
      </w:tblGrid>
      <w:tr>
        <w:tc>
          <w:tcPr>
            <w:tcW w:type="dxa" w:w="9749"/>
            <w:shd w:fill="EEF6EA"/>
            <w:tcBorders>
              <w:top w:val="single" w:sz="6" w:space="0" w:color="D8E2D4"/>
              <w:left w:val="single" w:sz="6" w:space="0" w:color="D8E2D4"/>
              <w:bottom w:val="single" w:sz="6" w:space="0" w:color="D8E2D4"/>
              <w:right w:val="single" w:sz="6" w:space="0" w:color="D8E2D4"/>
            </w:tcBorders>
            <w:tcMar>
              <w:top w:w="160" w:type="dxa"/>
              <w:start w:w="180" w:type="dxa"/>
              <w:bottom w:w="160" w:type="dxa"/>
              <w:end w:w="180" w:type="dxa"/>
            </w:tcMar>
          </w:tcPr>
          <w:p>
            <w:r>
              <w:rPr>
                <w:b/>
                <w:color w:val="2E7D32"/>
                <w:sz w:val="22"/>
              </w:rPr>
              <w:t>Objet du document</w:t>
            </w:r>
            <w:r>
              <w:br/>
            </w:r>
            <w:r>
              <w:rPr>
                <w:b w:val="0"/>
                <w:color w:val="0E2D45"/>
                <w:sz w:val="20"/>
              </w:rPr>
              <w:t>Cette brochure est une base interne pour aider TVF à repérer des biens vacants ou sous-utilisés, identifier légalement les propriétaires, conduire une approche professionnelle, qualifier les situations, puis proposer un cadre de conventionnement ou d'acquisition amiable lorsque cela est juridiquement possible.</w:t>
            </w:r>
          </w:p>
        </w:tc>
      </w:tr>
    </w:tbl>
    <w:p/>
    <w:p>
      <w:pPr>
        <w:pStyle w:val="Heading3"/>
      </w:pPr>
      <w:r>
        <w:t>Fiche d'identification</w:t>
      </w:r>
    </w:p>
    <w:tbl>
      <w:tblPr>
        <w:tblW w:type="auto" w:w="0"/>
        <w:jc w:val="center"/>
        <w:tblLayout w:type="fixed"/>
        <w:tblLook w:firstColumn="1" w:firstRow="1" w:lastColumn="0" w:lastRow="0" w:noHBand="0" w:noVBand="1" w:val="04A0"/>
      </w:tblPr>
      <w:tblGrid>
        <w:gridCol w:w="4874"/>
        <w:gridCol w:w="4874"/>
      </w:tblGrid>
      <w:tr>
        <w:tc>
          <w:tcPr>
            <w:tcW w:type="dxa" w:w="2592"/>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Élément</w:t>
            </w:r>
          </w:p>
        </w:tc>
        <w:tc>
          <w:tcPr>
            <w:tcW w:type="dxa" w:w="6768"/>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Information</w:t>
            </w:r>
          </w:p>
        </w:tc>
      </w:tr>
      <w:tr>
        <w:tc>
          <w:tcPr>
            <w:tcW w:type="dxa" w:w="259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Structure</w:t>
            </w:r>
          </w:p>
        </w:tc>
        <w:tc>
          <w:tcPr>
            <w:tcW w:type="dxa" w:w="676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Territoires Vivants France</w:t>
            </w:r>
          </w:p>
        </w:tc>
      </w:tr>
      <w:tr>
        <w:tc>
          <w:tcPr>
            <w:tcW w:type="dxa" w:w="259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Positionnement</w:t>
            </w:r>
          </w:p>
        </w:tc>
        <w:tc>
          <w:tcPr>
            <w:tcW w:type="dxa" w:w="676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Agence territoriale de revitalisation immobilière en structuration</w:t>
            </w:r>
          </w:p>
        </w:tc>
      </w:tr>
      <w:tr>
        <w:tc>
          <w:tcPr>
            <w:tcW w:type="dxa" w:w="259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Territoire de départ</w:t>
            </w:r>
          </w:p>
        </w:tc>
        <w:tc>
          <w:tcPr>
            <w:tcW w:type="dxa" w:w="676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Saint-Étienne et Loire, avec méthode duplicable</w:t>
            </w:r>
          </w:p>
        </w:tc>
      </w:tr>
      <w:tr>
        <w:tc>
          <w:tcPr>
            <w:tcW w:type="dxa" w:w="259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Usage</w:t>
            </w:r>
          </w:p>
        </w:tc>
        <w:tc>
          <w:tcPr>
            <w:tcW w:type="dxa" w:w="676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Document interne pour prospection, rendez-vous, instruction et suivi TVF OS</w:t>
            </w:r>
          </w:p>
        </w:tc>
      </w:tr>
      <w:tr>
        <w:tc>
          <w:tcPr>
            <w:tcW w:type="dxa" w:w="259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Prudence</w:t>
            </w:r>
          </w:p>
        </w:tc>
        <w:tc>
          <w:tcPr>
            <w:tcW w:type="dxa" w:w="676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Ne remplace pas un conseil juridique, notarial, fiscal, urbanistique ou technique</w:t>
            </w:r>
          </w:p>
        </w:tc>
      </w:tr>
    </w:tbl>
    <w:p/>
    <w:p>
      <w:r>
        <w:br w:type="page"/>
      </w:r>
    </w:p>
    <w:p>
      <w:pPr>
        <w:pStyle w:val="Heading1"/>
      </w:pPr>
      <w:r>
        <w:t>Sommaire opérationnel</w:t>
      </w:r>
    </w:p>
    <w:p>
      <w:pPr>
        <w:pStyle w:val="TVFLead"/>
      </w:pPr>
      <w:r>
        <w:rPr>
          <w:b w:val="0"/>
        </w:rPr>
        <w:t>Le document suit le parcours complet : trouver, vérifier, contacter, convaincre, conventionner, suivre.</w:t>
      </w:r>
    </w:p>
    <w:p>
      <w:pPr>
        <w:pStyle w:val="TVFNumber"/>
      </w:pPr>
      <w:r>
        <w:rPr>
          <w:b/>
          <w:color w:val="2E7D32"/>
        </w:rPr>
        <w:t xml:space="preserve">1. </w:t>
      </w:r>
      <w:r>
        <w:rPr>
          <w:b/>
          <w:color w:val="0E2D45"/>
        </w:rPr>
        <w:t xml:space="preserve">Positionnement : </w:t>
      </w:r>
      <w:r>
        <w:rPr>
          <w:b w:val="0"/>
        </w:rPr>
        <w:t>ce que TVF fait et ne fait pas dans l'immobilier.</w:t>
      </w:r>
    </w:p>
    <w:p>
      <w:pPr>
        <w:pStyle w:val="TVFNumber"/>
      </w:pPr>
      <w:r>
        <w:rPr>
          <w:b/>
          <w:color w:val="2E7D32"/>
        </w:rPr>
        <w:t xml:space="preserve">2. </w:t>
      </w:r>
      <w:r>
        <w:rPr>
          <w:b/>
          <w:color w:val="0E2D45"/>
        </w:rPr>
        <w:t xml:space="preserve">Repérage : </w:t>
      </w:r>
      <w:r>
        <w:rPr>
          <w:b w:val="0"/>
        </w:rPr>
        <w:t>comment trouver les biens vacants, locaux fermés, friches et parcelles.</w:t>
      </w:r>
    </w:p>
    <w:p>
      <w:pPr>
        <w:pStyle w:val="TVFNumber"/>
      </w:pPr>
      <w:r>
        <w:rPr>
          <w:b/>
          <w:color w:val="2E7D32"/>
        </w:rPr>
        <w:t xml:space="preserve">3. </w:t>
      </w:r>
      <w:r>
        <w:rPr>
          <w:b/>
          <w:color w:val="0E2D45"/>
        </w:rPr>
        <w:t xml:space="preserve">Identification : </w:t>
      </w:r>
      <w:r>
        <w:rPr>
          <w:b w:val="0"/>
        </w:rPr>
        <w:t>comment retrouver légalement les propriétaires et les parcelles.</w:t>
      </w:r>
    </w:p>
    <w:p>
      <w:pPr>
        <w:pStyle w:val="TVFNumber"/>
      </w:pPr>
      <w:r>
        <w:rPr>
          <w:b/>
          <w:color w:val="2E7D32"/>
        </w:rPr>
        <w:t xml:space="preserve">4. </w:t>
      </w:r>
      <w:r>
        <w:rPr>
          <w:b/>
          <w:color w:val="0E2D45"/>
        </w:rPr>
        <w:t xml:space="preserve">Qualification : </w:t>
      </w:r>
      <w:r>
        <w:rPr>
          <w:b w:val="0"/>
        </w:rPr>
        <w:t>comment transformer une adresse en dossier exploitable.</w:t>
      </w:r>
    </w:p>
    <w:p>
      <w:pPr>
        <w:pStyle w:val="TVFNumber"/>
      </w:pPr>
      <w:r>
        <w:rPr>
          <w:b/>
          <w:color w:val="2E7D32"/>
        </w:rPr>
        <w:t xml:space="preserve">5. </w:t>
      </w:r>
      <w:r>
        <w:rPr>
          <w:b/>
          <w:color w:val="0E2D45"/>
        </w:rPr>
        <w:t xml:space="preserve">Approche propriétaire : </w:t>
      </w:r>
      <w:r>
        <w:rPr>
          <w:b w:val="0"/>
        </w:rPr>
        <w:t>comment contacter, rassurer et convaincre sans pression.</w:t>
      </w:r>
    </w:p>
    <w:p>
      <w:pPr>
        <w:pStyle w:val="TVFNumber"/>
      </w:pPr>
      <w:r>
        <w:rPr>
          <w:b/>
          <w:color w:val="2E7D32"/>
        </w:rPr>
        <w:t xml:space="preserve">6. </w:t>
      </w:r>
      <w:r>
        <w:rPr>
          <w:b/>
          <w:color w:val="0E2D45"/>
        </w:rPr>
        <w:t xml:space="preserve">Conventionnement : </w:t>
      </w:r>
      <w:r>
        <w:rPr>
          <w:b w:val="0"/>
        </w:rPr>
        <w:t>quels cadres proposer selon le niveau d'engagement.</w:t>
      </w:r>
    </w:p>
    <w:p>
      <w:pPr>
        <w:pStyle w:val="TVFNumber"/>
      </w:pPr>
      <w:r>
        <w:rPr>
          <w:b/>
          <w:color w:val="2E7D32"/>
        </w:rPr>
        <w:t xml:space="preserve">7. </w:t>
      </w:r>
      <w:r>
        <w:rPr>
          <w:b/>
          <w:color w:val="0E2D45"/>
        </w:rPr>
        <w:t xml:space="preserve">Acquisition ou portage : </w:t>
      </w:r>
      <w:r>
        <w:rPr>
          <w:b w:val="0"/>
        </w:rPr>
        <w:t>quelles voies légales étudier avec notaire, collectivité ou foncier.</w:t>
      </w:r>
    </w:p>
    <w:p>
      <w:pPr>
        <w:pStyle w:val="TVFNumber"/>
      </w:pPr>
      <w:r>
        <w:rPr>
          <w:b/>
          <w:color w:val="2E7D32"/>
        </w:rPr>
        <w:t xml:space="preserve">8. </w:t>
      </w:r>
      <w:r>
        <w:rPr>
          <w:b/>
          <w:color w:val="0E2D45"/>
        </w:rPr>
        <w:t xml:space="preserve">Partenaires : </w:t>
      </w:r>
      <w:r>
        <w:rPr>
          <w:b w:val="0"/>
        </w:rPr>
        <w:t>qui mobiliser : EPORA, mairie, métropole, CCI, notaires, entreprises.</w:t>
      </w:r>
    </w:p>
    <w:p>
      <w:pPr>
        <w:pStyle w:val="TVFNumber"/>
      </w:pPr>
      <w:r>
        <w:rPr>
          <w:b/>
          <w:color w:val="2E7D32"/>
        </w:rPr>
        <w:t xml:space="preserve">9. </w:t>
      </w:r>
      <w:r>
        <w:rPr>
          <w:b/>
          <w:color w:val="0E2D45"/>
        </w:rPr>
        <w:t xml:space="preserve">TVF OS : </w:t>
      </w:r>
      <w:r>
        <w:rPr>
          <w:b w:val="0"/>
        </w:rPr>
        <w:t>comment enregistrer et suivre chaque opportunité.</w:t>
      </w:r>
    </w:p>
    <w:p>
      <w:pPr>
        <w:pStyle w:val="TVFNumber"/>
      </w:pPr>
      <w:r>
        <w:rPr>
          <w:b/>
          <w:color w:val="2E7D32"/>
        </w:rPr>
        <w:t xml:space="preserve">10. </w:t>
      </w:r>
      <w:r>
        <w:rPr>
          <w:b/>
          <w:color w:val="0E2D45"/>
        </w:rPr>
        <w:t xml:space="preserve">Annexes : </w:t>
      </w:r>
      <w:r>
        <w:rPr>
          <w:b w:val="0"/>
        </w:rPr>
        <w:t>checklists, scripts, pièces à demander et sources.</w:t>
      </w:r>
    </w:p>
    <w:p>
      <w:r>
        <w:br w:type="page"/>
      </w:r>
    </w:p>
    <w:p>
      <w:pPr>
        <w:pStyle w:val="Heading1"/>
      </w:pPr>
      <w:r>
        <w:t>1. Vision : transformer la vacance en portefeuille d'opportunités</w:t>
      </w:r>
    </w:p>
    <w:p>
      <w:pPr>
        <w:pStyle w:val="TVFLead"/>
      </w:pPr>
      <w:r>
        <w:rPr>
          <w:b w:val="0"/>
        </w:rPr>
        <w:t>Empire Immo TVF n'est pas une opération spéculative. C'est une méthode de revitalisation territoriale par l'immobilier utile.</w:t>
      </w:r>
    </w:p>
    <w:p>
      <w:r>
        <w:t>L'objectif est de constituer progressivement un portefeuille de biens dormants : logements vacants, immeubles dégradés, cellules commerciales fermées, bâtiments inutilisés, terrains délaissés, friches et ressources associées. Chaque bien doit être regardé comme une situation à qualifier, pas comme une opportunité automatique.</w:t>
      </w:r>
    </w:p>
    <w:p>
      <w:r>
        <w:t>La méthode TVF crée un pont entre un propriétaire qui ne sait pas toujours quoi faire de son bien, un territoire qui a des besoins concrets, et des partenaires capables de contribuer : entreprises de travaux, artisans, collectivités, associations, financeurs, mécènes, bénévoles, organismes fonciers ou acteurs de l'insertion.</w:t>
      </w:r>
    </w:p>
    <w:tbl>
      <w:tblPr>
        <w:tblW w:type="auto" w:w="0"/>
        <w:jc w:val="center"/>
        <w:tblLook w:firstColumn="1" w:firstRow="1" w:lastColumn="0" w:lastRow="0" w:noHBand="0" w:noVBand="1" w:val="04A0"/>
      </w:tblPr>
      <w:tblGrid>
        <w:gridCol w:w="9749"/>
      </w:tblGrid>
      <w:tr>
        <w:tc>
          <w:tcPr>
            <w:tcW w:type="dxa" w:w="9749"/>
            <w:shd w:fill="EEF6EA"/>
            <w:tcBorders>
              <w:top w:val="single" w:sz="6" w:space="0" w:color="D8E2D4"/>
              <w:left w:val="single" w:sz="6" w:space="0" w:color="D8E2D4"/>
              <w:bottom w:val="single" w:sz="6" w:space="0" w:color="D8E2D4"/>
              <w:right w:val="single" w:sz="6" w:space="0" w:color="D8E2D4"/>
            </w:tcBorders>
            <w:tcMar>
              <w:top w:w="160" w:type="dxa"/>
              <w:start w:w="180" w:type="dxa"/>
              <w:bottom w:w="160" w:type="dxa"/>
              <w:end w:w="180" w:type="dxa"/>
            </w:tcMar>
          </w:tcPr>
          <w:p>
            <w:r>
              <w:rPr>
                <w:b/>
                <w:color w:val="2E7D32"/>
                <w:sz w:val="22"/>
              </w:rPr>
              <w:t>Phrase directrice</w:t>
            </w:r>
            <w:r>
              <w:br/>
            </w:r>
            <w:r>
              <w:rPr>
                <w:b w:val="0"/>
                <w:color w:val="0E2D45"/>
                <w:sz w:val="20"/>
              </w:rPr>
              <w:t>Un bien vacant n'est pas seulement un problème privé. Lorsqu'il est qualifié, sécurisé et conventionné, il peut redevenir un logement, un local utile, un atelier, un commerce, un espace de stockage, un lieu associatif ou une ressource territoriale.</w:t>
            </w:r>
          </w:p>
        </w:tc>
      </w:tr>
    </w:tbl>
    <w:p/>
    <w:p>
      <w:pPr>
        <w:pStyle w:val="TVFBullet"/>
      </w:pPr>
      <w:r>
        <w:rPr>
          <w:b/>
          <w:color w:val="0E2D45"/>
        </w:rPr>
        <w:t xml:space="preserve">Pour le propriétaire : </w:t>
      </w:r>
      <w:r>
        <w:rPr>
          <w:b w:val="0"/>
        </w:rPr>
        <w:t>sortir d'une situation bloquée, protéger la valeur du bien, éviter l'aggravation de la dégradation, envisager un usage ou une valorisation.</w:t>
      </w:r>
    </w:p>
    <w:p>
      <w:pPr>
        <w:pStyle w:val="TVFBullet"/>
      </w:pPr>
      <w:r>
        <w:rPr>
          <w:b/>
          <w:color w:val="0E2D45"/>
        </w:rPr>
        <w:t xml:space="preserve">Pour le territoire : </w:t>
      </w:r>
      <w:r>
        <w:rPr>
          <w:b w:val="0"/>
        </w:rPr>
        <w:t>réduire les dents creuses, réactiver les rues, répondre à des besoins locaux, éviter l'abandon visible.</w:t>
      </w:r>
    </w:p>
    <w:p>
      <w:pPr>
        <w:pStyle w:val="TVFBullet"/>
      </w:pPr>
      <w:r>
        <w:rPr>
          <w:b/>
          <w:color w:val="0E2D45"/>
        </w:rPr>
        <w:t xml:space="preserve">Pour TVF : </w:t>
      </w:r>
      <w:r>
        <w:rPr>
          <w:b w:val="0"/>
        </w:rPr>
        <w:t>créer des dossiers structurés, générer des chantiers, organiser la ressource, produire un impact documenté.</w:t>
      </w:r>
    </w:p>
    <w:p>
      <w:pPr>
        <w:pStyle w:val="Heading1"/>
      </w:pPr>
      <w:r>
        <w:t>2. Cadre juridique : agir sans franchir les lignes rouges</w:t>
      </w:r>
    </w:p>
    <w:p>
      <w:pPr>
        <w:pStyle w:val="TVFLead"/>
      </w:pPr>
      <w:r>
        <w:rPr>
          <w:b w:val="0"/>
        </w:rPr>
        <w:t>La crédibilité de TVF repose sur une méthode prudente. Avant toute activité immobilière réglementée, le rôle doit rester clairement cadré.</w:t>
      </w:r>
    </w:p>
    <w:p>
      <w:pPr>
        <w:pStyle w:val="Heading3"/>
      </w:pPr>
      <w:r>
        <w:t>Ce que TVF peut faire immédiatement</w:t>
      </w:r>
    </w:p>
    <w:tbl>
      <w:tblPr>
        <w:tblW w:type="auto" w:w="0"/>
        <w:jc w:val="center"/>
        <w:tblLayout w:type="fixed"/>
        <w:tblLook w:firstColumn="1" w:firstRow="1" w:lastColumn="0" w:lastRow="0" w:noHBand="0" w:noVBand="1" w:val="04A0"/>
      </w:tblPr>
      <w:tblGrid>
        <w:gridCol w:w="3250"/>
        <w:gridCol w:w="3250"/>
        <w:gridCol w:w="3250"/>
      </w:tblGrid>
      <w:tr>
        <w:tc>
          <w:tcPr>
            <w:tcW w:type="dxa" w:w="2520"/>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Action</w:t>
            </w:r>
          </w:p>
        </w:tc>
        <w:tc>
          <w:tcPr>
            <w:tcW w:type="dxa" w:w="1584"/>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Possible</w:t>
            </w:r>
          </w:p>
        </w:tc>
        <w:tc>
          <w:tcPr>
            <w:tcW w:type="dxa" w:w="5256"/>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Condition de prudence</w:t>
            </w:r>
          </w:p>
        </w:tc>
      </w:tr>
      <w:tr>
        <w:tc>
          <w:tcPr>
            <w:tcW w:type="dxa" w:w="25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Repérer un bien depuis la voie publique</w:t>
            </w:r>
          </w:p>
        </w:tc>
        <w:tc>
          <w:tcPr>
            <w:tcW w:type="dxa" w:w="158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Oui</w:t>
            </w:r>
          </w:p>
        </w:tc>
        <w:tc>
          <w:tcPr>
            <w:tcW w:type="dxa" w:w="525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Aucune intrusion, aucune photo intérieure sans accord, respect de la propriété privée.</w:t>
            </w:r>
          </w:p>
        </w:tc>
      </w:tr>
      <w:tr>
        <w:tc>
          <w:tcPr>
            <w:tcW w:type="dxa" w:w="25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Contacter un propriétaire</w:t>
            </w:r>
          </w:p>
        </w:tc>
        <w:tc>
          <w:tcPr>
            <w:tcW w:type="dxa" w:w="158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Oui</w:t>
            </w:r>
          </w:p>
        </w:tc>
        <w:tc>
          <w:tcPr>
            <w:tcW w:type="dxa" w:w="525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Message sobre, finalité claire, possibilité de refus, données suivies de manière limitée.</w:t>
            </w:r>
          </w:p>
        </w:tc>
      </w:tr>
      <w:tr>
        <w:tc>
          <w:tcPr>
            <w:tcW w:type="dxa" w:w="25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Qualifier un besoin</w:t>
            </w:r>
          </w:p>
        </w:tc>
        <w:tc>
          <w:tcPr>
            <w:tcW w:type="dxa" w:w="158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Oui</w:t>
            </w:r>
          </w:p>
        </w:tc>
        <w:tc>
          <w:tcPr>
            <w:tcW w:type="dxa" w:w="525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Diagnostic apparent, non réglementaire, avec orientation vers professionnel si nécessaire.</w:t>
            </w:r>
          </w:p>
        </w:tc>
      </w:tr>
      <w:tr>
        <w:tc>
          <w:tcPr>
            <w:tcW w:type="dxa" w:w="25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Proposer une convention d'usage</w:t>
            </w:r>
          </w:p>
        </w:tc>
        <w:tc>
          <w:tcPr>
            <w:tcW w:type="dxa" w:w="158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Oui</w:t>
            </w:r>
          </w:p>
        </w:tc>
        <w:tc>
          <w:tcPr>
            <w:tcW w:type="dxa" w:w="525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Convention écrite, relue si besoin par conseil ou notaire, sans mandat déguisé.</w:t>
            </w:r>
          </w:p>
        </w:tc>
      </w:tr>
      <w:tr>
        <w:tc>
          <w:tcPr>
            <w:tcW w:type="dxa" w:w="25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Mettre en relation</w:t>
            </w:r>
          </w:p>
        </w:tc>
        <w:tc>
          <w:tcPr>
            <w:tcW w:type="dxa" w:w="158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Oui avec prudence</w:t>
            </w:r>
          </w:p>
        </w:tc>
        <w:tc>
          <w:tcPr>
            <w:tcW w:type="dxa" w:w="525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Pas de rémunération liée à une transaction tant que la carte professionnelle n'est pas obtenue.</w:t>
            </w:r>
          </w:p>
        </w:tc>
      </w:tr>
    </w:tbl>
    <w:p/>
    <w:p>
      <w:pPr>
        <w:pStyle w:val="Heading3"/>
      </w:pPr>
      <w:r>
        <w:t>Ce qui doit être encadré ou évité sans carte professionnelle</w:t>
      </w:r>
    </w:p>
    <w:tbl>
      <w:tblPr>
        <w:tblW w:type="auto" w:w="0"/>
        <w:jc w:val="center"/>
        <w:tblLayout w:type="fixed"/>
        <w:tblLook w:firstColumn="1" w:firstRow="1" w:lastColumn="0" w:lastRow="0" w:noHBand="0" w:noVBand="1" w:val="04A0"/>
      </w:tblPr>
      <w:tblGrid>
        <w:gridCol w:w="3250"/>
        <w:gridCol w:w="3250"/>
        <w:gridCol w:w="3250"/>
      </w:tblGrid>
      <w:tr>
        <w:tc>
          <w:tcPr>
            <w:tcW w:type="dxa" w:w="2376"/>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Sujet</w:t>
            </w:r>
          </w:p>
        </w:tc>
        <w:tc>
          <w:tcPr>
            <w:tcW w:type="dxa" w:w="3096"/>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Risque</w:t>
            </w:r>
          </w:p>
        </w:tc>
        <w:tc>
          <w:tcPr>
            <w:tcW w:type="dxa" w:w="3888"/>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Bonne pratique TVF</w:t>
            </w:r>
          </w:p>
        </w:tc>
      </w:tr>
      <w:tr>
        <w:tc>
          <w:tcPr>
            <w:tcW w:type="dxa" w:w="237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Transaction immobilière</w:t>
            </w:r>
          </w:p>
        </w:tc>
        <w:tc>
          <w:tcPr>
            <w:tcW w:type="dxa" w:w="309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La négociation ou l'entremise rémunérée relève de la loi Hoguet.</w:t>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Orienter vers notaire, agent immobilier habilité ou attendre la carte professionnelle.</w:t>
            </w:r>
          </w:p>
        </w:tc>
      </w:tr>
      <w:tr>
        <w:tc>
          <w:tcPr>
            <w:tcW w:type="dxa" w:w="237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Gestion locative pour autrui</w:t>
            </w:r>
          </w:p>
        </w:tc>
        <w:tc>
          <w:tcPr>
            <w:tcW w:type="dxa" w:w="309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Encaissement de loyers, gestion de bail et mandat peuvent relever d'une activité réglementée.</w:t>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Ne pas gérer pour compte d'autrui sans habilitation.</w:t>
            </w:r>
          </w:p>
        </w:tc>
      </w:tr>
      <w:tr>
        <w:tc>
          <w:tcPr>
            <w:tcW w:type="dxa" w:w="237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Promesse de rendement</w:t>
            </w:r>
          </w:p>
        </w:tc>
        <w:tc>
          <w:tcPr>
            <w:tcW w:type="dxa" w:w="309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Risque juridique, fiscal et réputationnel.</w:t>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Parler de scénarios possibles, jamais de rendement garanti.</w:t>
            </w:r>
          </w:p>
        </w:tc>
      </w:tr>
      <w:tr>
        <w:tc>
          <w:tcPr>
            <w:tcW w:type="dxa" w:w="237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Travaux lourds</w:t>
            </w:r>
          </w:p>
        </w:tc>
        <w:tc>
          <w:tcPr>
            <w:tcW w:type="dxa" w:w="309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Responsabilité technique, assurance, sécurité, urbanisme.</w:t>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Orienter vers maître d'oeuvre, architecte, bureau de contrôle, artisans assurés.</w:t>
            </w:r>
          </w:p>
        </w:tc>
      </w:tr>
      <w:tr>
        <w:tc>
          <w:tcPr>
            <w:tcW w:type="dxa" w:w="237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Occupation d'un bien</w:t>
            </w:r>
          </w:p>
        </w:tc>
        <w:tc>
          <w:tcPr>
            <w:tcW w:type="dxa" w:w="309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Responsabilité, assurance, autorisations, sécurité.</w:t>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Convention, assurance, état des lieux, règles d'usage, durée et sortie.</w:t>
            </w:r>
          </w:p>
        </w:tc>
      </w:tr>
    </w:tbl>
    <w:p/>
    <w:tbl>
      <w:tblPr>
        <w:tblW w:type="auto" w:w="0"/>
        <w:jc w:val="center"/>
        <w:tblLook w:firstColumn="1" w:firstRow="1" w:lastColumn="0" w:lastRow="0" w:noHBand="0" w:noVBand="1" w:val="04A0"/>
      </w:tblPr>
      <w:tblGrid>
        <w:gridCol w:w="9749"/>
      </w:tblGrid>
      <w:tr>
        <w:tc>
          <w:tcPr>
            <w:tcW w:type="dxa" w:w="9749"/>
            <w:shd w:fill="FFF7E6"/>
            <w:tcBorders>
              <w:top w:val="single" w:sz="6" w:space="0" w:color="D8E2D4"/>
              <w:left w:val="single" w:sz="6" w:space="0" w:color="D8E2D4"/>
              <w:bottom w:val="single" w:sz="6" w:space="0" w:color="D8E2D4"/>
              <w:right w:val="single" w:sz="6" w:space="0" w:color="D8E2D4"/>
            </w:tcBorders>
            <w:tcMar>
              <w:top w:w="160" w:type="dxa"/>
              <w:start w:w="180" w:type="dxa"/>
              <w:bottom w:w="160" w:type="dxa"/>
              <w:end w:w="180" w:type="dxa"/>
            </w:tcMar>
          </w:tcPr>
          <w:p>
            <w:r>
              <w:rPr>
                <w:b/>
                <w:color w:val="2E7D32"/>
                <w:sz w:val="22"/>
              </w:rPr>
              <w:t>Règle de sécurité</w:t>
            </w:r>
            <w:r>
              <w:br/>
            </w:r>
            <w:r>
              <w:rPr>
                <w:b w:val="0"/>
                <w:color w:val="0E2D45"/>
                <w:sz w:val="20"/>
              </w:rPr>
              <w:t>Toute promesse commerciale doit être remplacée par une formulation de méthode : TVF étudie, qualifie, propose un cadre et oriente. L'acceptation d'un dossier ne vaut jamais acceptation de travaux, d'acquisition ou de conventionnement.</w:t>
            </w:r>
          </w:p>
        </w:tc>
      </w:tr>
    </w:tbl>
    <w:p/>
    <w:p>
      <w:pPr>
        <w:pStyle w:val="Heading1"/>
      </w:pPr>
      <w:r>
        <w:t>3. Sources de repérage des biens</w:t>
      </w:r>
    </w:p>
    <w:p>
      <w:pPr>
        <w:pStyle w:val="TVFLead"/>
      </w:pPr>
      <w:r>
        <w:rPr>
          <w:b w:val="0"/>
        </w:rPr>
        <w:t>Un agent TVF doit multiplier les sources, mais chaque information doit être vérifiée avant contact ou action.</w:t>
      </w:r>
    </w:p>
    <w:p>
      <w:pPr>
        <w:pStyle w:val="Heading3"/>
      </w:pPr>
      <w:r>
        <w:t>Canaux de repérage</w:t>
      </w:r>
    </w:p>
    <w:tbl>
      <w:tblPr>
        <w:tblW w:type="auto" w:w="0"/>
        <w:jc w:val="center"/>
        <w:tblLayout w:type="fixed"/>
        <w:tblLook w:firstColumn="1" w:firstRow="1" w:lastColumn="0" w:lastRow="0" w:noHBand="0" w:noVBand="1" w:val="04A0"/>
      </w:tblPr>
      <w:tblGrid>
        <w:gridCol w:w="3250"/>
        <w:gridCol w:w="3250"/>
        <w:gridCol w:w="3250"/>
      </w:tblGrid>
      <w:tr>
        <w:tc>
          <w:tcPr>
            <w:tcW w:type="dxa" w:w="2088"/>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Source</w:t>
            </w:r>
          </w:p>
        </w:tc>
        <w:tc>
          <w:tcPr>
            <w:tcW w:type="dxa" w:w="3528"/>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Ce qu'elle permet</w:t>
            </w:r>
          </w:p>
        </w:tc>
        <w:tc>
          <w:tcPr>
            <w:tcW w:type="dxa" w:w="3744"/>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Preuve à conserver</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Tournées terrain</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Identifier façades fermées, locaux vacants, bâtiments dégradés, terrains non entretenus.</w:t>
            </w:r>
          </w:p>
        </w:tc>
        <w:tc>
          <w:tcPr>
            <w:tcW w:type="dxa" w:w="37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Adresse, photo depuis voie publique, date, observation.</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Signalements citoyens</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Repérer des lieux connus localement mais invisibles dans les bases.</w:t>
            </w:r>
          </w:p>
        </w:tc>
        <w:tc>
          <w:tcPr>
            <w:tcW w:type="dxa" w:w="37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Formulaire, coordonnées facultatives, description.</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Commerçants et voisins</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Comprendre l'historique du local ou de l'immeuble.</w:t>
            </w:r>
          </w:p>
        </w:tc>
        <w:tc>
          <w:tcPr>
            <w:tcW w:type="dxa" w:w="37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Compte rendu d'échange, sans rumeur non vérifiée.</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Collectivités</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Identifier priorités, périmètres, politiques publiques et biens publics.</w:t>
            </w:r>
          </w:p>
        </w:tc>
        <w:tc>
          <w:tcPr>
            <w:tcW w:type="dxa" w:w="37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Compte rendu, service contacté, périmètre.</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Données publiques</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Croiser cadastre, parcelles, zonage, politiques urbaines, friches, PLH, OPAH-RU.</w:t>
            </w:r>
          </w:p>
        </w:tc>
        <w:tc>
          <w:tcPr>
            <w:tcW w:type="dxa" w:w="37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Source, date de consultation, lien.</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Partenaires fonciers</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Approcher des dossiers lourds : friches, recyclage foncier, acquisition ou portage.</w:t>
            </w:r>
          </w:p>
        </w:tc>
        <w:tc>
          <w:tcPr>
            <w:tcW w:type="dxa" w:w="37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Contact EPF/EPORA, note d'opportunité.</w:t>
            </w:r>
          </w:p>
        </w:tc>
      </w:tr>
    </w:tbl>
    <w:p/>
    <w:p>
      <w:pPr>
        <w:pStyle w:val="TVFBullet"/>
      </w:pPr>
      <w:r>
        <w:rPr>
          <w:b/>
          <w:color w:val="0E2D45"/>
        </w:rPr>
        <w:t xml:space="preserve">Priorité 1 : </w:t>
      </w:r>
      <w:r>
        <w:rPr>
          <w:b w:val="0"/>
        </w:rPr>
        <w:t>biens visibles, dégradés ou vacants dans les secteurs où un besoin public ou local existe déjà.</w:t>
      </w:r>
    </w:p>
    <w:p>
      <w:pPr>
        <w:pStyle w:val="TVFBullet"/>
      </w:pPr>
      <w:r>
        <w:rPr>
          <w:b/>
          <w:color w:val="0E2D45"/>
        </w:rPr>
        <w:t xml:space="preserve">Priorité 2 : </w:t>
      </w:r>
      <w:r>
        <w:rPr>
          <w:b w:val="0"/>
        </w:rPr>
        <w:t>propriétaires qui se manifestent eux-mêmes ou acceptent un échange.</w:t>
      </w:r>
    </w:p>
    <w:p>
      <w:pPr>
        <w:pStyle w:val="TVFBullet"/>
      </w:pPr>
      <w:r>
        <w:rPr>
          <w:b/>
          <w:color w:val="0E2D45"/>
        </w:rPr>
        <w:t xml:space="preserve">Priorité 3 : </w:t>
      </w:r>
      <w:r>
        <w:rPr>
          <w:b w:val="0"/>
        </w:rPr>
        <w:t>biens pouvant accueillir un usage léger, temporaire ou progressif sans travaux lourds immédiats.</w:t>
      </w:r>
    </w:p>
    <w:p>
      <w:pPr>
        <w:pStyle w:val="Heading1"/>
      </w:pPr>
      <w:r>
        <w:t>4. Identifier la parcelle et le propriétaire</w:t>
      </w:r>
    </w:p>
    <w:p>
      <w:pPr>
        <w:pStyle w:val="TVFLead"/>
      </w:pPr>
      <w:r>
        <w:rPr>
          <w:b w:val="0"/>
        </w:rPr>
        <w:t>La recherche d'un propriétaire doit rester légale, traçable et proportionnée.</w:t>
      </w:r>
    </w:p>
    <w:p>
      <w:pPr>
        <w:pStyle w:val="TVFNumber"/>
      </w:pPr>
      <w:r>
        <w:rPr>
          <w:b/>
          <w:color w:val="2E7D32"/>
        </w:rPr>
        <w:t xml:space="preserve">1. </w:t>
      </w:r>
      <w:r>
        <w:rPr>
          <w:b/>
          <w:color w:val="0E2D45"/>
        </w:rPr>
        <w:t xml:space="preserve">Relever l'adresse : </w:t>
      </w:r>
      <w:r>
        <w:rPr>
          <w:b w:val="0"/>
        </w:rPr>
        <w:t>numéro de rue, nom de voie, commune, repères visibles, photo depuis voie publique.</w:t>
      </w:r>
    </w:p>
    <w:p>
      <w:pPr>
        <w:pStyle w:val="TVFNumber"/>
      </w:pPr>
      <w:r>
        <w:rPr>
          <w:b/>
          <w:color w:val="2E7D32"/>
        </w:rPr>
        <w:t xml:space="preserve">2. </w:t>
      </w:r>
      <w:r>
        <w:rPr>
          <w:b/>
          <w:color w:val="0E2D45"/>
        </w:rPr>
        <w:t xml:space="preserve">Identifier la parcelle : </w:t>
      </w:r>
      <w:r>
        <w:rPr>
          <w:b w:val="0"/>
        </w:rPr>
        <w:t>utiliser le cadastre ou demander les informations cadastrales disponibles auprès de la commune.</w:t>
      </w:r>
    </w:p>
    <w:p>
      <w:pPr>
        <w:pStyle w:val="TVFNumber"/>
      </w:pPr>
      <w:r>
        <w:rPr>
          <w:b/>
          <w:color w:val="2E7D32"/>
        </w:rPr>
        <w:t xml:space="preserve">3. </w:t>
      </w:r>
      <w:r>
        <w:rPr>
          <w:b/>
          <w:color w:val="0E2D45"/>
        </w:rPr>
        <w:t xml:space="preserve">Demander l'information propriétaire : </w:t>
      </w:r>
      <w:r>
        <w:rPr>
          <w:b w:val="0"/>
        </w:rPr>
        <w:t>selon les cas, solliciter la mairie ou le service de publicité foncière compétent.</w:t>
      </w:r>
    </w:p>
    <w:p>
      <w:pPr>
        <w:pStyle w:val="TVFNumber"/>
      </w:pPr>
      <w:r>
        <w:rPr>
          <w:b/>
          <w:color w:val="2E7D32"/>
        </w:rPr>
        <w:t xml:space="preserve">4. </w:t>
      </w:r>
      <w:r>
        <w:rPr>
          <w:b/>
          <w:color w:val="0E2D45"/>
        </w:rPr>
        <w:t xml:space="preserve">Créer une fiche propriétaire : </w:t>
      </w:r>
      <w:r>
        <w:rPr>
          <w:b w:val="0"/>
        </w:rPr>
        <w:t>nom connu, qualité, source de l'information, date, niveau de fiabilité, modalités de contact.</w:t>
      </w:r>
    </w:p>
    <w:p>
      <w:pPr>
        <w:pStyle w:val="TVFNumber"/>
      </w:pPr>
      <w:r>
        <w:rPr>
          <w:b/>
          <w:color w:val="2E7D32"/>
        </w:rPr>
        <w:t xml:space="preserve">5. </w:t>
      </w:r>
      <w:r>
        <w:rPr>
          <w:b/>
          <w:color w:val="0E2D45"/>
        </w:rPr>
        <w:t xml:space="preserve">Éviter toute collecte excessive : </w:t>
      </w:r>
      <w:r>
        <w:rPr>
          <w:b w:val="0"/>
        </w:rPr>
        <w:t>ne conserver que les données nécessaires à la finalité TVF et respecter les demandes d'opposition ou suppression.</w:t>
      </w:r>
    </w:p>
    <w:p>
      <w:pPr>
        <w:pStyle w:val="Heading3"/>
      </w:pPr>
      <w:r>
        <w:t>Niveaux de preuve</w:t>
      </w:r>
    </w:p>
    <w:tbl>
      <w:tblPr>
        <w:tblW w:type="auto" w:w="0"/>
        <w:jc w:val="center"/>
        <w:tblLayout w:type="fixed"/>
        <w:tblLook w:firstColumn="1" w:firstRow="1" w:lastColumn="0" w:lastRow="0" w:noHBand="0" w:noVBand="1" w:val="04A0"/>
      </w:tblPr>
      <w:tblGrid>
        <w:gridCol w:w="3250"/>
        <w:gridCol w:w="3250"/>
        <w:gridCol w:w="3250"/>
      </w:tblGrid>
      <w:tr>
        <w:tc>
          <w:tcPr>
            <w:tcW w:type="dxa" w:w="1584"/>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Niveau</w:t>
            </w:r>
          </w:p>
        </w:tc>
        <w:tc>
          <w:tcPr>
            <w:tcW w:type="dxa" w:w="3888"/>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Information</w:t>
            </w:r>
          </w:p>
        </w:tc>
        <w:tc>
          <w:tcPr>
            <w:tcW w:type="dxa" w:w="3888"/>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Usage</w:t>
            </w:r>
          </w:p>
        </w:tc>
      </w:tr>
      <w:tr>
        <w:tc>
          <w:tcPr>
            <w:tcW w:type="dxa" w:w="158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Niveau 0</w:t>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Bien repéré sans propriétaire identifié</w:t>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Aucune démarche personnalisée, simple fiche de veille.</w:t>
            </w:r>
          </w:p>
        </w:tc>
      </w:tr>
      <w:tr>
        <w:tc>
          <w:tcPr>
            <w:tcW w:type="dxa" w:w="158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Niveau 1</w:t>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Parcelle identifiée</w:t>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Préparer une demande officielle ou un échange collectivité.</w:t>
            </w:r>
          </w:p>
        </w:tc>
      </w:tr>
      <w:tr>
        <w:tc>
          <w:tcPr>
            <w:tcW w:type="dxa" w:w="158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Niveau 2</w:t>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Propriétaire identifié</w:t>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Envoi d'un courrier neutre de prise de contact.</w:t>
            </w:r>
          </w:p>
        </w:tc>
      </w:tr>
      <w:tr>
        <w:tc>
          <w:tcPr>
            <w:tcW w:type="dxa" w:w="158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Niveau 3</w:t>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Propriétaire volontaire</w:t>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Ouverture d'un dossier TVF avec pièces et rendez-vous.</w:t>
            </w:r>
          </w:p>
        </w:tc>
      </w:tr>
      <w:tr>
        <w:tc>
          <w:tcPr>
            <w:tcW w:type="dxa" w:w="158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Niveau 4</w:t>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Accord de principe</w:t>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Diagnostic, scénario d'usage, convention ou orientation.</w:t>
            </w:r>
          </w:p>
        </w:tc>
      </w:tr>
    </w:tbl>
    <w:p/>
    <w:tbl>
      <w:tblPr>
        <w:tblW w:type="auto" w:w="0"/>
        <w:jc w:val="center"/>
        <w:tblLook w:firstColumn="1" w:firstRow="1" w:lastColumn="0" w:lastRow="0" w:noHBand="0" w:noVBand="1" w:val="04A0"/>
      </w:tblPr>
      <w:tblGrid>
        <w:gridCol w:w="9749"/>
      </w:tblGrid>
      <w:tr>
        <w:tc>
          <w:tcPr>
            <w:tcW w:type="dxa" w:w="9749"/>
            <w:shd w:fill="FFF7E6"/>
            <w:tcBorders>
              <w:top w:val="single" w:sz="6" w:space="0" w:color="D8E2D4"/>
              <w:left w:val="single" w:sz="6" w:space="0" w:color="D8E2D4"/>
              <w:bottom w:val="single" w:sz="6" w:space="0" w:color="D8E2D4"/>
              <w:right w:val="single" w:sz="6" w:space="0" w:color="D8E2D4"/>
            </w:tcBorders>
            <w:tcMar>
              <w:top w:w="160" w:type="dxa"/>
              <w:start w:w="180" w:type="dxa"/>
              <w:bottom w:w="160" w:type="dxa"/>
              <w:end w:w="180" w:type="dxa"/>
            </w:tcMar>
          </w:tcPr>
          <w:p>
            <w:r>
              <w:rPr>
                <w:b/>
                <w:color w:val="2E7D32"/>
                <w:sz w:val="22"/>
              </w:rPr>
              <w:t>À ne jamais faire</w:t>
            </w:r>
            <w:r>
              <w:br/>
            </w:r>
            <w:r>
              <w:rPr>
                <w:b w:val="0"/>
                <w:color w:val="0E2D45"/>
                <w:sz w:val="20"/>
              </w:rPr>
              <w:t>Entrer dans une propriété sans autorisation, afficher publiquement le nom d'un propriétaire, promettre une vente ou un rendement, exercer une pression, ou présenter une rumeur comme un fait.</w:t>
            </w:r>
          </w:p>
        </w:tc>
      </w:tr>
    </w:tbl>
    <w:p/>
    <w:p>
      <w:pPr>
        <w:pStyle w:val="Heading1"/>
      </w:pPr>
      <w:r>
        <w:t>5. Qualification d'un bien : transformer une adresse en dossier</w:t>
      </w:r>
    </w:p>
    <w:p>
      <w:pPr>
        <w:pStyle w:val="TVFLead"/>
      </w:pPr>
      <w:r>
        <w:rPr>
          <w:b w:val="0"/>
        </w:rPr>
        <w:t>Un bien ne devient un dossier TVF que lorsqu'il est suffisamment renseigné pour décider d'une suite.</w:t>
      </w:r>
    </w:p>
    <w:p>
      <w:pPr>
        <w:pStyle w:val="Heading3"/>
      </w:pPr>
      <w:r>
        <w:t>Fiche bien - informations minimales</w:t>
      </w:r>
    </w:p>
    <w:tbl>
      <w:tblPr>
        <w:tblW w:type="auto" w:w="0"/>
        <w:jc w:val="center"/>
        <w:tblLayout w:type="fixed"/>
        <w:tblLook w:firstColumn="1" w:firstRow="1" w:lastColumn="0" w:lastRow="0" w:noHBand="0" w:noVBand="1" w:val="04A0"/>
      </w:tblPr>
      <w:tblGrid>
        <w:gridCol w:w="3250"/>
        <w:gridCol w:w="3250"/>
        <w:gridCol w:w="3250"/>
      </w:tblGrid>
      <w:tr>
        <w:tc>
          <w:tcPr>
            <w:tcW w:type="dxa" w:w="1944"/>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Rubrique</w:t>
            </w:r>
          </w:p>
        </w:tc>
        <w:tc>
          <w:tcPr>
            <w:tcW w:type="dxa" w:w="4320"/>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Questions à traiter</w:t>
            </w:r>
          </w:p>
        </w:tc>
        <w:tc>
          <w:tcPr>
            <w:tcW w:type="dxa" w:w="3096"/>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Document ou preuve</w:t>
            </w:r>
          </w:p>
        </w:tc>
      </w:tr>
      <w:tr>
        <w:tc>
          <w:tcPr>
            <w:tcW w:type="dxa" w:w="19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Identification</w:t>
            </w:r>
          </w:p>
        </w:tc>
        <w:tc>
          <w:tcPr>
            <w:tcW w:type="dxa" w:w="43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Adresse, parcelle, propriétaire, typologie, surface approximative.</w:t>
            </w:r>
          </w:p>
        </w:tc>
        <w:tc>
          <w:tcPr>
            <w:tcW w:type="dxa" w:w="309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Fiche bien, extrait cadastral si disponible.</w:t>
            </w:r>
          </w:p>
        </w:tc>
      </w:tr>
      <w:tr>
        <w:tc>
          <w:tcPr>
            <w:tcW w:type="dxa" w:w="19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État apparent</w:t>
            </w:r>
          </w:p>
        </w:tc>
        <w:tc>
          <w:tcPr>
            <w:tcW w:type="dxa" w:w="43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Vacant, fermé, dégradé, occupé, sécurisé, accessible, dangereux ?</w:t>
            </w:r>
          </w:p>
        </w:tc>
        <w:tc>
          <w:tcPr>
            <w:tcW w:type="dxa" w:w="309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Photos, observation, visite autorisée.</w:t>
            </w:r>
          </w:p>
        </w:tc>
      </w:tr>
      <w:tr>
        <w:tc>
          <w:tcPr>
            <w:tcW w:type="dxa" w:w="19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Contexte</w:t>
            </w:r>
          </w:p>
        </w:tc>
        <w:tc>
          <w:tcPr>
            <w:tcW w:type="dxa" w:w="43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Centre-ville, quartier résidentiel, zone d'activité, proximité services, transports ?</w:t>
            </w:r>
          </w:p>
        </w:tc>
        <w:tc>
          <w:tcPr>
            <w:tcW w:type="dxa" w:w="309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Carte, note secteur.</w:t>
            </w:r>
          </w:p>
        </w:tc>
      </w:tr>
      <w:tr>
        <w:tc>
          <w:tcPr>
            <w:tcW w:type="dxa" w:w="19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Usage possible</w:t>
            </w:r>
          </w:p>
        </w:tc>
        <w:tc>
          <w:tcPr>
            <w:tcW w:type="dxa" w:w="43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Logement, atelier, commerce, stockage, association, formation, occupation temporaire ?</w:t>
            </w:r>
          </w:p>
        </w:tc>
        <w:tc>
          <w:tcPr>
            <w:tcW w:type="dxa" w:w="309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Scénarios d'usage.</w:t>
            </w:r>
          </w:p>
        </w:tc>
      </w:tr>
      <w:tr>
        <w:tc>
          <w:tcPr>
            <w:tcW w:type="dxa" w:w="19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Contraintes</w:t>
            </w:r>
          </w:p>
        </w:tc>
        <w:tc>
          <w:tcPr>
            <w:tcW w:type="dxa" w:w="43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Travaux, sécurité, copropriété, urbanisme, assurance, réseaux, humidité, accessibilité ?</w:t>
            </w:r>
          </w:p>
        </w:tc>
        <w:tc>
          <w:tcPr>
            <w:tcW w:type="dxa" w:w="309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Liste des risques.</w:t>
            </w:r>
          </w:p>
        </w:tc>
      </w:tr>
      <w:tr>
        <w:tc>
          <w:tcPr>
            <w:tcW w:type="dxa" w:w="19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Pièces</w:t>
            </w:r>
          </w:p>
        </w:tc>
        <w:tc>
          <w:tcPr>
            <w:tcW w:type="dxa" w:w="43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Titre, taxe foncière, diagnostics, plans, photos, factures, règlement copropriété.</w:t>
            </w:r>
          </w:p>
        </w:tc>
        <w:tc>
          <w:tcPr>
            <w:tcW w:type="dxa" w:w="309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Liste pièces à fournir.</w:t>
            </w:r>
          </w:p>
        </w:tc>
      </w:tr>
    </w:tbl>
    <w:p/>
    <w:p>
      <w:r>
        <w:t>La qualification ne doit pas se limiter à l'état technique. Elle doit aussi répondre à une question stratégique : pourquoi ce bien serait-il utile au territoire et quel acteur pourrait réellement l'utiliser ?</w:t>
      </w:r>
    </w:p>
    <w:p>
      <w:pPr>
        <w:pStyle w:val="Heading1"/>
      </w:pPr>
      <w:r>
        <w:t>6. Approche propriétaire : convaincre sans vendre du rêve</w:t>
      </w:r>
    </w:p>
    <w:p>
      <w:pPr>
        <w:pStyle w:val="TVFLead"/>
      </w:pPr>
      <w:r>
        <w:rPr>
          <w:b w:val="0"/>
        </w:rPr>
        <w:t>Le propriétaire doit comprendre que TVF propose une méthode sécurisante, pas une promesse automatique.</w:t>
      </w:r>
    </w:p>
    <w:p>
      <w:pPr>
        <w:pStyle w:val="Heading3"/>
      </w:pPr>
      <w:r>
        <w:t>Arguments selon la situation du propriétaire</w:t>
      </w:r>
    </w:p>
    <w:tbl>
      <w:tblPr>
        <w:tblW w:type="auto" w:w="0"/>
        <w:jc w:val="center"/>
        <w:tblLayout w:type="fixed"/>
        <w:tblLook w:firstColumn="1" w:firstRow="1" w:lastColumn="0" w:lastRow="0" w:noHBand="0" w:noVBand="1" w:val="04A0"/>
      </w:tblPr>
      <w:tblGrid>
        <w:gridCol w:w="3250"/>
        <w:gridCol w:w="3250"/>
        <w:gridCol w:w="3250"/>
      </w:tblGrid>
      <w:tr>
        <w:tc>
          <w:tcPr>
            <w:tcW w:type="dxa" w:w="2448"/>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Situation</w:t>
            </w:r>
          </w:p>
        </w:tc>
        <w:tc>
          <w:tcPr>
            <w:tcW w:type="dxa" w:w="2952"/>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Frein probable</w:t>
            </w:r>
          </w:p>
        </w:tc>
        <w:tc>
          <w:tcPr>
            <w:tcW w:type="dxa" w:w="3960"/>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Argument TVF</w:t>
            </w:r>
          </w:p>
        </w:tc>
      </w:tr>
      <w:tr>
        <w:tc>
          <w:tcPr>
            <w:tcW w:type="dxa" w:w="244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Bien vacant depuis longtemps</w:t>
            </w:r>
          </w:p>
        </w:tc>
        <w:tc>
          <w:tcPr>
            <w:tcW w:type="dxa" w:w="295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Travaux, peur des impayés, manque de temps.</w:t>
            </w:r>
          </w:p>
        </w:tc>
        <w:tc>
          <w:tcPr>
            <w:tcW w:type="dxa" w:w="396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TVF aide à clarifier les options et à construire un scénario progressif.</w:t>
            </w:r>
          </w:p>
        </w:tc>
      </w:tr>
      <w:tr>
        <w:tc>
          <w:tcPr>
            <w:tcW w:type="dxa" w:w="244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Commerce fermé</w:t>
            </w:r>
          </w:p>
        </w:tc>
        <w:tc>
          <w:tcPr>
            <w:tcW w:type="dxa" w:w="295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Activité incertaine, local mal adapté, absence de porteur.</w:t>
            </w:r>
          </w:p>
        </w:tc>
        <w:tc>
          <w:tcPr>
            <w:tcW w:type="dxa" w:w="396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TVF peut étudier un usage temporaire ou utile, sans engagement immédiat.</w:t>
            </w:r>
          </w:p>
        </w:tc>
      </w:tr>
      <w:tr>
        <w:tc>
          <w:tcPr>
            <w:tcW w:type="dxa" w:w="244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Immeuble dégradé</w:t>
            </w:r>
          </w:p>
        </w:tc>
        <w:tc>
          <w:tcPr>
            <w:tcW w:type="dxa" w:w="295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Coût des travaux, complexité, copropriété.</w:t>
            </w:r>
          </w:p>
        </w:tc>
        <w:tc>
          <w:tcPr>
            <w:tcW w:type="dxa" w:w="396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TVF peut orienter vers les bons professionnels et prioriser les étapes.</w:t>
            </w:r>
          </w:p>
        </w:tc>
      </w:tr>
      <w:tr>
        <w:tc>
          <w:tcPr>
            <w:tcW w:type="dxa" w:w="244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Terrain inutilisé</w:t>
            </w:r>
          </w:p>
        </w:tc>
        <w:tc>
          <w:tcPr>
            <w:tcW w:type="dxa" w:w="295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Pas d'idée d'usage, entretien, risque d'occupation sauvage.</w:t>
            </w:r>
          </w:p>
        </w:tc>
        <w:tc>
          <w:tcPr>
            <w:tcW w:type="dxa" w:w="396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TVF peut étudier un usage léger, vert, temporaire ou associatif.</w:t>
            </w:r>
          </w:p>
        </w:tc>
      </w:tr>
      <w:tr>
        <w:tc>
          <w:tcPr>
            <w:tcW w:type="dxa" w:w="244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Propriétaire âgé ou éloigné</w:t>
            </w:r>
          </w:p>
        </w:tc>
        <w:tc>
          <w:tcPr>
            <w:tcW w:type="dxa" w:w="295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Distance, fatigue administrative, méfiance.</w:t>
            </w:r>
          </w:p>
        </w:tc>
        <w:tc>
          <w:tcPr>
            <w:tcW w:type="dxa" w:w="396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TVF formalise les échanges par écrit, avec un seul interlocuteur et des pièces claires.</w:t>
            </w:r>
          </w:p>
        </w:tc>
      </w:tr>
    </w:tbl>
    <w:p/>
    <w:tbl>
      <w:tblPr>
        <w:tblW w:type="auto" w:w="0"/>
        <w:jc w:val="center"/>
        <w:tblLook w:firstColumn="1" w:firstRow="1" w:lastColumn="0" w:lastRow="0" w:noHBand="0" w:noVBand="1" w:val="04A0"/>
      </w:tblPr>
      <w:tblGrid>
        <w:gridCol w:w="9749"/>
      </w:tblGrid>
      <w:tr>
        <w:tc>
          <w:tcPr>
            <w:tcW w:type="dxa" w:w="9749"/>
            <w:shd w:fill="EEF6EA"/>
            <w:tcBorders>
              <w:top w:val="single" w:sz="6" w:space="0" w:color="D8E2D4"/>
              <w:left w:val="single" w:sz="6" w:space="0" w:color="D8E2D4"/>
              <w:bottom w:val="single" w:sz="6" w:space="0" w:color="D8E2D4"/>
              <w:right w:val="single" w:sz="6" w:space="0" w:color="D8E2D4"/>
            </w:tcBorders>
            <w:tcMar>
              <w:top w:w="160" w:type="dxa"/>
              <w:start w:w="180" w:type="dxa"/>
              <w:bottom w:w="160" w:type="dxa"/>
              <w:end w:w="180" w:type="dxa"/>
            </w:tcMar>
          </w:tcPr>
          <w:p>
            <w:r>
              <w:rPr>
                <w:b/>
                <w:color w:val="2E7D32"/>
                <w:sz w:val="22"/>
              </w:rPr>
              <w:t>Script d'ouverture</w:t>
            </w:r>
            <w:r>
              <w:br/>
            </w:r>
            <w:r>
              <w:rPr>
                <w:b w:val="0"/>
                <w:color w:val="0E2D45"/>
                <w:sz w:val="20"/>
              </w:rPr>
              <w:t>Bonjour, Territoires Vivants France est une association basée à Saint-Étienne qui travaille sur la remise en usage de biens vacants ou sous-utilisés. Nous ne venons pas vous imposer un projet. Nous souhaitons comprendre votre situation, vérifier si votre bien peut retrouver un usage utile, et vous présenter des options encadrées par écrit.</w:t>
            </w:r>
          </w:p>
        </w:tc>
      </w:tr>
    </w:tbl>
    <w:p/>
    <w:p>
      <w:pPr>
        <w:pStyle w:val="TVFBullet"/>
      </w:pPr>
      <w:r>
        <w:rPr>
          <w:b/>
          <w:color w:val="0E2D45"/>
        </w:rPr>
        <w:t xml:space="preserve">Ton : </w:t>
      </w:r>
      <w:r>
        <w:rPr>
          <w:b w:val="0"/>
        </w:rPr>
        <w:t>calme, factuel, respectueux, jamais insistant.</w:t>
      </w:r>
    </w:p>
    <w:p>
      <w:pPr>
        <w:pStyle w:val="TVFBullet"/>
      </w:pPr>
      <w:r>
        <w:rPr>
          <w:b/>
          <w:color w:val="0E2D45"/>
        </w:rPr>
        <w:t xml:space="preserve">Objectif du premier contact : </w:t>
      </w:r>
      <w:r>
        <w:rPr>
          <w:b w:val="0"/>
        </w:rPr>
        <w:t>obtenir un accord pour échanger, pas signer une convention.</w:t>
      </w:r>
    </w:p>
    <w:p>
      <w:pPr>
        <w:pStyle w:val="TVFBullet"/>
      </w:pPr>
      <w:r>
        <w:rPr>
          <w:b/>
          <w:color w:val="0E2D45"/>
        </w:rPr>
        <w:t xml:space="preserve">Preuve à conserver : </w:t>
      </w:r>
      <w:r>
        <w:rPr>
          <w:b w:val="0"/>
        </w:rPr>
        <w:t>date, canal, réponse, refus éventuel, prochaine action.</w:t>
      </w:r>
    </w:p>
    <w:p>
      <w:pPr>
        <w:pStyle w:val="Heading1"/>
      </w:pPr>
      <w:r>
        <w:t>7. Conventions possibles</w:t>
      </w:r>
    </w:p>
    <w:p>
      <w:pPr>
        <w:pStyle w:val="TVFLead"/>
      </w:pPr>
      <w:r>
        <w:rPr>
          <w:b w:val="0"/>
        </w:rPr>
        <w:t>La convention doit être choisie selon le niveau de confiance, l'état du bien, l'usage envisagé et les responsabilités acceptées.</w:t>
      </w:r>
    </w:p>
    <w:p>
      <w:pPr>
        <w:pStyle w:val="Heading3"/>
      </w:pPr>
      <w:r>
        <w:t>Familles de conventions</w:t>
      </w:r>
    </w:p>
    <w:tbl>
      <w:tblPr>
        <w:tblW w:type="auto" w:w="0"/>
        <w:jc w:val="center"/>
        <w:tblLayout w:type="fixed"/>
        <w:tblLook w:firstColumn="1" w:firstRow="1" w:lastColumn="0" w:lastRow="0" w:noHBand="0" w:noVBand="1" w:val="04A0"/>
      </w:tblPr>
      <w:tblGrid>
        <w:gridCol w:w="3250"/>
        <w:gridCol w:w="3250"/>
        <w:gridCol w:w="3250"/>
      </w:tblGrid>
      <w:tr>
        <w:tc>
          <w:tcPr>
            <w:tcW w:type="dxa" w:w="2448"/>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Convention</w:t>
            </w:r>
          </w:p>
        </w:tc>
        <w:tc>
          <w:tcPr>
            <w:tcW w:type="dxa" w:w="3240"/>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Usage</w:t>
            </w:r>
          </w:p>
        </w:tc>
        <w:tc>
          <w:tcPr>
            <w:tcW w:type="dxa" w:w="3672"/>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Points à verrouiller</w:t>
            </w:r>
          </w:p>
        </w:tc>
      </w:tr>
      <w:tr>
        <w:tc>
          <w:tcPr>
            <w:tcW w:type="dxa" w:w="244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Convention de diagnostic</w:t>
            </w:r>
          </w:p>
        </w:tc>
        <w:tc>
          <w:tcPr>
            <w:tcW w:type="dxa" w:w="32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Autoriser TVF à étudier le bien, visiter, demander des pièces et proposer des scénarios.</w:t>
            </w:r>
          </w:p>
        </w:tc>
        <w:tc>
          <w:tcPr>
            <w:tcW w:type="dxa" w:w="367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Durée, accès, confidentialité, absence d'engagement de travaux.</w:t>
            </w:r>
          </w:p>
        </w:tc>
      </w:tr>
      <w:tr>
        <w:tc>
          <w:tcPr>
            <w:tcW w:type="dxa" w:w="244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Convention de mise à disposition</w:t>
            </w:r>
          </w:p>
        </w:tc>
        <w:tc>
          <w:tcPr>
            <w:tcW w:type="dxa" w:w="32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Utilisation temporaire d'un local ou terrain pour un usage utile.</w:t>
            </w:r>
          </w:p>
        </w:tc>
        <w:tc>
          <w:tcPr>
            <w:tcW w:type="dxa" w:w="367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Durée, assurance, charges, état des lieux, sortie.</w:t>
            </w:r>
          </w:p>
        </w:tc>
      </w:tr>
      <w:tr>
        <w:tc>
          <w:tcPr>
            <w:tcW w:type="dxa" w:w="244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Convention rénovation légère contre usage</w:t>
            </w:r>
          </w:p>
        </w:tc>
        <w:tc>
          <w:tcPr>
            <w:tcW w:type="dxa" w:w="32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Petite remise en état avec matériaux, bénévoles ou partenaires en échange d'un droit d'usage limité.</w:t>
            </w:r>
          </w:p>
        </w:tc>
        <w:tc>
          <w:tcPr>
            <w:tcW w:type="dxa" w:w="367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Nature des travaux, limites, responsabilités, contrôle, restitution.</w:t>
            </w:r>
          </w:p>
        </w:tc>
      </w:tr>
      <w:tr>
        <w:tc>
          <w:tcPr>
            <w:tcW w:type="dxa" w:w="244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Convention de valorisation partagée</w:t>
            </w:r>
          </w:p>
        </w:tc>
        <w:tc>
          <w:tcPr>
            <w:tcW w:type="dxa" w:w="32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Usage générant éventuellement des recettes ou économies, avec partage défini.</w:t>
            </w:r>
          </w:p>
        </w:tc>
        <w:tc>
          <w:tcPr>
            <w:tcW w:type="dxa" w:w="367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Fiscalité, comptabilité, absence de rendement garanti, durée, reporting.</w:t>
            </w:r>
          </w:p>
        </w:tc>
      </w:tr>
      <w:tr>
        <w:tc>
          <w:tcPr>
            <w:tcW w:type="dxa" w:w="244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Convention d'orientation</w:t>
            </w:r>
          </w:p>
        </w:tc>
        <w:tc>
          <w:tcPr>
            <w:tcW w:type="dxa" w:w="32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Projet nécessitant notaire, agence habilitée, architecte ou opérateur public.</w:t>
            </w:r>
          </w:p>
        </w:tc>
        <w:tc>
          <w:tcPr>
            <w:tcW w:type="dxa" w:w="367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Rôle limité TVF, transmission autorisée, suivi.</w:t>
            </w:r>
          </w:p>
        </w:tc>
      </w:tr>
    </w:tbl>
    <w:p/>
    <w:p>
      <w:r>
        <w:t>Les conventions doivent toujours être adaptées au dossier. Une convention type ne suffit jamais si le bien présente un risque technique, juridique, fiscal, assurantiel ou urbanistique.</w:t>
      </w:r>
    </w:p>
    <w:p>
      <w:pPr>
        <w:pStyle w:val="Heading1"/>
      </w:pPr>
      <w:r>
        <w:t>8. Acquisition, portage ou mobilisation foncière</w:t>
      </w:r>
    </w:p>
    <w:p>
      <w:pPr>
        <w:pStyle w:val="TVFLead"/>
      </w:pPr>
      <w:r>
        <w:rPr>
          <w:b w:val="0"/>
        </w:rPr>
        <w:t>TVF peut étudier des voies légales, mais l'acquisition d'un bien doit passer par un cadre notarial, financier et décisionnel solide.</w:t>
      </w:r>
    </w:p>
    <w:p>
      <w:pPr>
        <w:pStyle w:val="Heading3"/>
      </w:pPr>
      <w:r>
        <w:t>Voies à étudier</w:t>
      </w:r>
    </w:p>
    <w:tbl>
      <w:tblPr>
        <w:tblW w:type="auto" w:w="0"/>
        <w:jc w:val="center"/>
        <w:tblLayout w:type="fixed"/>
        <w:tblLook w:firstColumn="1" w:firstRow="1" w:lastColumn="0" w:lastRow="0" w:noHBand="0" w:noVBand="1" w:val="04A0"/>
      </w:tblPr>
      <w:tblGrid>
        <w:gridCol w:w="3250"/>
        <w:gridCol w:w="3250"/>
        <w:gridCol w:w="3250"/>
      </w:tblGrid>
      <w:tr>
        <w:tc>
          <w:tcPr>
            <w:tcW w:type="dxa" w:w="2232"/>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Voie</w:t>
            </w:r>
          </w:p>
        </w:tc>
        <w:tc>
          <w:tcPr>
            <w:tcW w:type="dxa" w:w="3528"/>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Quand l'envisager</w:t>
            </w:r>
          </w:p>
        </w:tc>
        <w:tc>
          <w:tcPr>
            <w:tcW w:type="dxa" w:w="3600"/>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Acteurs nécessaires</w:t>
            </w:r>
          </w:p>
        </w:tc>
      </w:tr>
      <w:tr>
        <w:tc>
          <w:tcPr>
            <w:tcW w:type="dxa" w:w="22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Acquisition amiable</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Propriétaire vendeur, prix réaliste, usage TVF clairement défini.</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Notaire, conseil, financeur, décision interne.</w:t>
            </w:r>
          </w:p>
        </w:tc>
      </w:tr>
      <w:tr>
        <w:tc>
          <w:tcPr>
            <w:tcW w:type="dxa" w:w="22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Donation ou cession symbolique</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Propriétaire souhaitant transmettre un bien utile, avec accord clair.</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Notaire, fiscaliste si nécessaire, validation TVF.</w:t>
            </w:r>
          </w:p>
        </w:tc>
      </w:tr>
      <w:tr>
        <w:tc>
          <w:tcPr>
            <w:tcW w:type="dxa" w:w="22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Bail ou convention longue durée</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Propriétaire conserve le bien mais accepte un usage encadré.</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Conseil juridique, assurance, éventuellement notaire.</w:t>
            </w:r>
          </w:p>
        </w:tc>
      </w:tr>
      <w:tr>
        <w:tc>
          <w:tcPr>
            <w:tcW w:type="dxa" w:w="22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Portage par établissement foncier</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Friche, bien stratégique, opération lourde ou intérêt public.</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Collectivité, EPORA/EPF, financeurs, notaire.</w:t>
            </w:r>
          </w:p>
        </w:tc>
      </w:tr>
      <w:tr>
        <w:tc>
          <w:tcPr>
            <w:tcW w:type="dxa" w:w="22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Procédure publique</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Bien sans maître, abandon manifeste, préemption, expropriation.</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Commune, EPCI, État, notaire, services compétents. TVF ne décide pas seul.</w:t>
            </w:r>
          </w:p>
        </w:tc>
      </w:tr>
    </w:tbl>
    <w:p/>
    <w:tbl>
      <w:tblPr>
        <w:tblW w:type="auto" w:w="0"/>
        <w:jc w:val="center"/>
        <w:tblLook w:firstColumn="1" w:firstRow="1" w:lastColumn="0" w:lastRow="0" w:noHBand="0" w:noVBand="1" w:val="04A0"/>
      </w:tblPr>
      <w:tblGrid>
        <w:gridCol w:w="9749"/>
      </w:tblGrid>
      <w:tr>
        <w:tc>
          <w:tcPr>
            <w:tcW w:type="dxa" w:w="9749"/>
            <w:shd w:fill="EEF4F7"/>
            <w:tcBorders>
              <w:top w:val="single" w:sz="6" w:space="0" w:color="D8E2D4"/>
              <w:left w:val="single" w:sz="6" w:space="0" w:color="D8E2D4"/>
              <w:bottom w:val="single" w:sz="6" w:space="0" w:color="D8E2D4"/>
              <w:right w:val="single" w:sz="6" w:space="0" w:color="D8E2D4"/>
            </w:tcBorders>
            <w:tcMar>
              <w:top w:w="160" w:type="dxa"/>
              <w:start w:w="180" w:type="dxa"/>
              <w:bottom w:w="160" w:type="dxa"/>
              <w:end w:w="180" w:type="dxa"/>
            </w:tcMar>
          </w:tcPr>
          <w:p>
            <w:r>
              <w:rPr>
                <w:b/>
                <w:color w:val="2E7D32"/>
                <w:sz w:val="22"/>
              </w:rPr>
              <w:t>Principe</w:t>
            </w:r>
            <w:r>
              <w:br/>
            </w:r>
            <w:r>
              <w:rPr>
                <w:b w:val="0"/>
                <w:color w:val="0E2D45"/>
                <w:sz w:val="20"/>
              </w:rPr>
              <w:t>TVF ne doit pas chercher à contourner les propriétaires ou les procédures publiques. Le rôle de TVF est de repérer, documenter, proposer et mettre autour de la table les acteurs compétents.</w:t>
            </w:r>
          </w:p>
        </w:tc>
      </w:tr>
    </w:tbl>
    <w:p/>
    <w:p>
      <w:pPr>
        <w:pStyle w:val="Heading1"/>
      </w:pPr>
      <w:r>
        <w:t>9. Rôle des partenaires fonciers et institutionnels</w:t>
      </w:r>
    </w:p>
    <w:p>
      <w:pPr>
        <w:pStyle w:val="TVFLead"/>
      </w:pPr>
      <w:r>
        <w:rPr>
          <w:b w:val="0"/>
        </w:rPr>
        <w:t>Les biens complexes ne se traitent pas seul. TVF doit savoir à quel moment associer les bons acteurs.</w:t>
      </w:r>
    </w:p>
    <w:p>
      <w:pPr>
        <w:pStyle w:val="Heading3"/>
      </w:pPr>
      <w:r>
        <w:t>Partenaires à mobiliser</w:t>
      </w:r>
    </w:p>
    <w:tbl>
      <w:tblPr>
        <w:tblW w:type="auto" w:w="0"/>
        <w:jc w:val="center"/>
        <w:tblLayout w:type="fixed"/>
        <w:tblLook w:firstColumn="1" w:firstRow="1" w:lastColumn="0" w:lastRow="0" w:noHBand="0" w:noVBand="1" w:val="04A0"/>
      </w:tblPr>
      <w:tblGrid>
        <w:gridCol w:w="3250"/>
        <w:gridCol w:w="3250"/>
        <w:gridCol w:w="3250"/>
      </w:tblGrid>
      <w:tr>
        <w:tc>
          <w:tcPr>
            <w:tcW w:type="dxa" w:w="2232"/>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Acteur</w:t>
            </w:r>
          </w:p>
        </w:tc>
        <w:tc>
          <w:tcPr>
            <w:tcW w:type="dxa" w:w="3600"/>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Rôle possible</w:t>
            </w:r>
          </w:p>
        </w:tc>
        <w:tc>
          <w:tcPr>
            <w:tcW w:type="dxa" w:w="3528"/>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Quand le contacter</w:t>
            </w:r>
          </w:p>
        </w:tc>
      </w:tr>
      <w:tr>
        <w:tc>
          <w:tcPr>
            <w:tcW w:type="dxa" w:w="22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Ville de Saint-Étienne</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Priorités locales, biens publics, services habitat/commerce/urbanisme.</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Dès qu'un dossier concerne un enjeu public ou un secteur prioritaire.</w:t>
            </w:r>
          </w:p>
        </w:tc>
      </w:tr>
      <w:tr>
        <w:tc>
          <w:tcPr>
            <w:tcW w:type="dxa" w:w="22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Saint-Étienne Métropole</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Habitat, foncier, économie, déchets, transition, politique territoriale.</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Pour les projets structurants ou intercommunaux.</w:t>
            </w:r>
          </w:p>
        </w:tc>
      </w:tr>
      <w:tr>
        <w:tc>
          <w:tcPr>
            <w:tcW w:type="dxa" w:w="22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EPORA</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Recyclage foncier, friches, portage, foncier stratégique.</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Pour friches, immeubles lourds, acquisition ou restructuration complexe.</w:t>
            </w:r>
          </w:p>
        </w:tc>
      </w:tr>
      <w:tr>
        <w:tc>
          <w:tcPr>
            <w:tcW w:type="dxa" w:w="22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Notaires</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Sécurisation actes, propriété, vente, donation, bail long, servitudes.</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Dès qu'une mutation, convention complexe ou sûreté est envisagée.</w:t>
            </w:r>
          </w:p>
        </w:tc>
      </w:tr>
      <w:tr>
        <w:tc>
          <w:tcPr>
            <w:tcW w:type="dxa" w:w="22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CCI/CMA/CAPEB</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Commerces, artisans, entreprises, travaux, porteurs d'activité.</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Pour réactivation commerciale, chantiers, compétences.</w:t>
            </w:r>
          </w:p>
        </w:tc>
      </w:tr>
      <w:tr>
        <w:tc>
          <w:tcPr>
            <w:tcW w:type="dxa" w:w="22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Opérateurs habitat</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OPAH, rénovation, lutte habitat indigne, accompagnement propriétaires.</w:t>
            </w:r>
          </w:p>
        </w:tc>
        <w:tc>
          <w:tcPr>
            <w:tcW w:type="dxa" w:w="352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Pour logement dégradé, aides, énergie, copropriété.</w:t>
            </w:r>
          </w:p>
        </w:tc>
      </w:tr>
    </w:tbl>
    <w:p/>
    <w:p>
      <w:pPr>
        <w:pStyle w:val="Heading1"/>
      </w:pPr>
      <w:r>
        <w:t>10. Processus TVF OS : du repérage au dossier client</w:t>
      </w:r>
    </w:p>
    <w:p>
      <w:pPr>
        <w:pStyle w:val="TVFLead"/>
      </w:pPr>
      <w:r>
        <w:rPr>
          <w:b w:val="0"/>
        </w:rPr>
        <w:t>Chaque opportunité doit exister dans TVF OS avec un numéro, un statut et une trace de décision.</w:t>
      </w:r>
    </w:p>
    <w:p>
      <w:pPr>
        <w:pStyle w:val="TVFNumber"/>
      </w:pPr>
      <w:r>
        <w:rPr>
          <w:b/>
          <w:color w:val="2E7D32"/>
        </w:rPr>
        <w:t xml:space="preserve">1. </w:t>
      </w:r>
      <w:r>
        <w:rPr>
          <w:b/>
          <w:color w:val="0E2D45"/>
        </w:rPr>
        <w:t xml:space="preserve">Créer une demande : </w:t>
      </w:r>
      <w:r>
        <w:rPr>
          <w:b w:val="0"/>
        </w:rPr>
        <w:t>source, date, adresse, type de bien, photos, motif.</w:t>
      </w:r>
    </w:p>
    <w:p>
      <w:pPr>
        <w:pStyle w:val="TVFNumber"/>
      </w:pPr>
      <w:r>
        <w:rPr>
          <w:b/>
          <w:color w:val="2E7D32"/>
        </w:rPr>
        <w:t xml:space="preserve">2. </w:t>
      </w:r>
      <w:r>
        <w:rPr>
          <w:b/>
          <w:color w:val="0E2D45"/>
        </w:rPr>
        <w:t xml:space="preserve">Créer ou rattacher un contact : </w:t>
      </w:r>
      <w:r>
        <w:rPr>
          <w:b w:val="0"/>
        </w:rPr>
        <w:t>propriétaire, voisin, collectivité, entreprise, notaire ou partenaire.</w:t>
      </w:r>
    </w:p>
    <w:p>
      <w:pPr>
        <w:pStyle w:val="TVFNumber"/>
      </w:pPr>
      <w:r>
        <w:rPr>
          <w:b/>
          <w:color w:val="2E7D32"/>
        </w:rPr>
        <w:t xml:space="preserve">3. </w:t>
      </w:r>
      <w:r>
        <w:rPr>
          <w:b/>
          <w:color w:val="0E2D45"/>
        </w:rPr>
        <w:t xml:space="preserve">Générer un numéro de dossier : </w:t>
      </w:r>
      <w:r>
        <w:rPr>
          <w:b w:val="0"/>
        </w:rPr>
        <w:t>format interne, statut initial, responsable.</w:t>
      </w:r>
    </w:p>
    <w:p>
      <w:pPr>
        <w:pStyle w:val="TVFNumber"/>
      </w:pPr>
      <w:r>
        <w:rPr>
          <w:b/>
          <w:color w:val="2E7D32"/>
        </w:rPr>
        <w:t xml:space="preserve">4. </w:t>
      </w:r>
      <w:r>
        <w:rPr>
          <w:b/>
          <w:color w:val="0E2D45"/>
        </w:rPr>
        <w:t xml:space="preserve">Classer le dossier : </w:t>
      </w:r>
      <w:r>
        <w:rPr>
          <w:b w:val="0"/>
        </w:rPr>
        <w:t>logement, commerce, terrain, friche, matériaux, propriétaire, collectivité.</w:t>
      </w:r>
    </w:p>
    <w:p>
      <w:pPr>
        <w:pStyle w:val="TVFNumber"/>
      </w:pPr>
      <w:r>
        <w:rPr>
          <w:b/>
          <w:color w:val="2E7D32"/>
        </w:rPr>
        <w:t xml:space="preserve">5. </w:t>
      </w:r>
      <w:r>
        <w:rPr>
          <w:b/>
          <w:color w:val="0E2D45"/>
        </w:rPr>
        <w:t xml:space="preserve">Ajouter les pièces : </w:t>
      </w:r>
      <w:r>
        <w:rPr>
          <w:b w:val="0"/>
        </w:rPr>
        <w:t>photos, courrier, extrait cadastral, titre, diagnostics, notes, devis.</w:t>
      </w:r>
    </w:p>
    <w:p>
      <w:pPr>
        <w:pStyle w:val="TVFNumber"/>
      </w:pPr>
      <w:r>
        <w:rPr>
          <w:b/>
          <w:color w:val="2E7D32"/>
        </w:rPr>
        <w:t xml:space="preserve">6. </w:t>
      </w:r>
      <w:r>
        <w:rPr>
          <w:b/>
          <w:color w:val="0E2D45"/>
        </w:rPr>
        <w:t xml:space="preserve">Instruction : </w:t>
      </w:r>
      <w:r>
        <w:rPr>
          <w:b w:val="0"/>
        </w:rPr>
        <w:t>étapes : qualification, pièces manquantes, visite, scénario, convention, décision.</w:t>
      </w:r>
    </w:p>
    <w:p>
      <w:pPr>
        <w:pStyle w:val="TVFNumber"/>
      </w:pPr>
      <w:r>
        <w:rPr>
          <w:b/>
          <w:color w:val="2E7D32"/>
        </w:rPr>
        <w:t xml:space="preserve">7. </w:t>
      </w:r>
      <w:r>
        <w:rPr>
          <w:b/>
          <w:color w:val="0E2D45"/>
        </w:rPr>
        <w:t xml:space="preserve">Décision : </w:t>
      </w:r>
      <w:r>
        <w:rPr>
          <w:b w:val="0"/>
        </w:rPr>
        <w:t>poursuivre, compléter, orienter, classer, refuser, conventionner.</w:t>
      </w:r>
    </w:p>
    <w:p>
      <w:pPr>
        <w:pStyle w:val="TVFNumber"/>
      </w:pPr>
      <w:r>
        <w:rPr>
          <w:b/>
          <w:color w:val="2E7D32"/>
        </w:rPr>
        <w:t xml:space="preserve">8. </w:t>
      </w:r>
      <w:r>
        <w:rPr>
          <w:b/>
          <w:color w:val="0E2D45"/>
        </w:rPr>
        <w:t xml:space="preserve">Suivi : </w:t>
      </w:r>
      <w:r>
        <w:rPr>
          <w:b w:val="0"/>
        </w:rPr>
        <w:t>historique, relances, documents envoyés, réponses, échéances.</w:t>
      </w:r>
    </w:p>
    <w:p>
      <w:pPr>
        <w:pStyle w:val="Heading3"/>
      </w:pPr>
      <w:r>
        <w:t>Statuts recommandés</w:t>
      </w:r>
    </w:p>
    <w:tbl>
      <w:tblPr>
        <w:tblW w:type="auto" w:w="0"/>
        <w:jc w:val="center"/>
        <w:tblLayout w:type="fixed"/>
        <w:tblLook w:firstColumn="1" w:firstRow="1" w:lastColumn="0" w:lastRow="0" w:noHBand="0" w:noVBand="1" w:val="04A0"/>
      </w:tblPr>
      <w:tblGrid>
        <w:gridCol w:w="3250"/>
        <w:gridCol w:w="3250"/>
        <w:gridCol w:w="3250"/>
      </w:tblGrid>
      <w:tr>
        <w:tc>
          <w:tcPr>
            <w:tcW w:type="dxa" w:w="2088"/>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Statut</w:t>
            </w:r>
          </w:p>
        </w:tc>
        <w:tc>
          <w:tcPr>
            <w:tcW w:type="dxa" w:w="3816"/>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Signification</w:t>
            </w:r>
          </w:p>
        </w:tc>
        <w:tc>
          <w:tcPr>
            <w:tcW w:type="dxa" w:w="3456"/>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Action suivante</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Signalé</w:t>
            </w:r>
          </w:p>
        </w:tc>
        <w:tc>
          <w:tcPr>
            <w:tcW w:type="dxa" w:w="381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Bien ou opportunité identifié sans vérification complète.</w:t>
            </w:r>
          </w:p>
        </w:tc>
        <w:tc>
          <w:tcPr>
            <w:tcW w:type="dxa" w:w="345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Vérifier adresse et source.</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À qualifier</w:t>
            </w:r>
          </w:p>
        </w:tc>
        <w:tc>
          <w:tcPr>
            <w:tcW w:type="dxa" w:w="381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Le dossier existe mais manque d'informations.</w:t>
            </w:r>
          </w:p>
        </w:tc>
        <w:tc>
          <w:tcPr>
            <w:tcW w:type="dxa" w:w="345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Demander pièces ou rechercher propriétaire.</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Propriétaire identifié</w:t>
            </w:r>
          </w:p>
        </w:tc>
        <w:tc>
          <w:tcPr>
            <w:tcW w:type="dxa" w:w="381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Une personne ou structure est reliée au bien.</w:t>
            </w:r>
          </w:p>
        </w:tc>
        <w:tc>
          <w:tcPr>
            <w:tcW w:type="dxa" w:w="345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Envoyer courrier ou demander rendez-vous.</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En instruction</w:t>
            </w:r>
          </w:p>
        </w:tc>
        <w:tc>
          <w:tcPr>
            <w:tcW w:type="dxa" w:w="381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TVF étudie le potentiel et les contraintes.</w:t>
            </w:r>
          </w:p>
        </w:tc>
        <w:tc>
          <w:tcPr>
            <w:tcW w:type="dxa" w:w="345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Préparer note d'opportunité.</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Convention possible</w:t>
            </w:r>
          </w:p>
        </w:tc>
        <w:tc>
          <w:tcPr>
            <w:tcW w:type="dxa" w:w="381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Un scénario juridiquement cadrable existe.</w:t>
            </w:r>
          </w:p>
        </w:tc>
        <w:tc>
          <w:tcPr>
            <w:tcW w:type="dxa" w:w="345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Préparer projet de convention.</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Orienté</w:t>
            </w:r>
          </w:p>
        </w:tc>
        <w:tc>
          <w:tcPr>
            <w:tcW w:type="dxa" w:w="381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Le dossier doit passer par un acteur habilité.</w:t>
            </w:r>
          </w:p>
        </w:tc>
        <w:tc>
          <w:tcPr>
            <w:tcW w:type="dxa" w:w="345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Suivre la transmission.</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Classé</w:t>
            </w:r>
          </w:p>
        </w:tc>
        <w:tc>
          <w:tcPr>
            <w:tcW w:type="dxa" w:w="381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Aucune suite utile ou possible à ce stade.</w:t>
            </w:r>
          </w:p>
        </w:tc>
        <w:tc>
          <w:tcPr>
            <w:tcW w:type="dxa" w:w="345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Archiver avec motif.</w:t>
            </w:r>
          </w:p>
        </w:tc>
      </w:tr>
    </w:tbl>
    <w:p/>
    <w:p>
      <w:pPr>
        <w:pStyle w:val="Heading1"/>
      </w:pPr>
      <w:r>
        <w:t>11. Grille de décision : accepter, ajourner ou refuser</w:t>
      </w:r>
    </w:p>
    <w:p>
      <w:pPr>
        <w:pStyle w:val="TVFLead"/>
      </w:pPr>
      <w:r>
        <w:rPr>
          <w:b w:val="0"/>
        </w:rPr>
        <w:t>Chaque opportunité doit être triée avec des critères homogènes pour éviter les dossiers ingérables.</w:t>
      </w:r>
    </w:p>
    <w:p>
      <w:pPr>
        <w:pStyle w:val="Heading3"/>
      </w:pPr>
      <w:r>
        <w:t>Critères de priorité</w:t>
      </w:r>
    </w:p>
    <w:tbl>
      <w:tblPr>
        <w:tblW w:type="auto" w:w="0"/>
        <w:jc w:val="center"/>
        <w:tblLayout w:type="fixed"/>
        <w:tblLook w:firstColumn="1" w:firstRow="1" w:lastColumn="0" w:lastRow="0" w:noHBand="0" w:noVBand="1" w:val="04A0"/>
      </w:tblPr>
      <w:tblGrid>
        <w:gridCol w:w="3250"/>
        <w:gridCol w:w="3250"/>
        <w:gridCol w:w="3250"/>
      </w:tblGrid>
      <w:tr>
        <w:tc>
          <w:tcPr>
            <w:tcW w:type="dxa" w:w="2088"/>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Critère</w:t>
            </w:r>
          </w:p>
        </w:tc>
        <w:tc>
          <w:tcPr>
            <w:tcW w:type="dxa" w:w="3672"/>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À vérifier</w:t>
            </w:r>
          </w:p>
        </w:tc>
        <w:tc>
          <w:tcPr>
            <w:tcW w:type="dxa" w:w="3600"/>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Impact sur la décision</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Intérêt territorial</w:t>
            </w:r>
          </w:p>
        </w:tc>
        <w:tc>
          <w:tcPr>
            <w:tcW w:type="dxa" w:w="367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Le bien répond-il à un besoin local réel ?</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Plus le besoin est clair, plus le dossier est prioritaire.</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Volonté propriétaire</w:t>
            </w:r>
          </w:p>
        </w:tc>
        <w:tc>
          <w:tcPr>
            <w:tcW w:type="dxa" w:w="367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Le propriétaire accepte-t-il un échange et des pièces ?</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Sans accord, pas d'instruction active.</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Niveau de travaux</w:t>
            </w:r>
          </w:p>
        </w:tc>
        <w:tc>
          <w:tcPr>
            <w:tcW w:type="dxa" w:w="367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Rénovation légère, moyenne ou lourde ?</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Travaux lourds : orientation professionnelle ou partenaire habilité.</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Sécurité</w:t>
            </w:r>
          </w:p>
        </w:tc>
        <w:tc>
          <w:tcPr>
            <w:tcW w:type="dxa" w:w="367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Risque structurel, amiante, incendie, accès, insalubrité ?</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Risque élevé : pas de chantier bénévole.</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Usage possible</w:t>
            </w:r>
          </w:p>
        </w:tc>
        <w:tc>
          <w:tcPr>
            <w:tcW w:type="dxa" w:w="367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Existe-t-il un bénéficiaire ou porteur d'usage ?</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Sans usage, dossier à travailler ou ajourner.</w:t>
            </w:r>
          </w:p>
        </w:tc>
      </w:tr>
      <w:tr>
        <w:tc>
          <w:tcPr>
            <w:tcW w:type="dxa" w:w="20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Ressources</w:t>
            </w:r>
          </w:p>
        </w:tc>
        <w:tc>
          <w:tcPr>
            <w:tcW w:type="dxa" w:w="367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Matériaux, financement, local, compétence disponibles ?</w:t>
            </w:r>
          </w:p>
        </w:tc>
        <w:tc>
          <w:tcPr>
            <w:tcW w:type="dxa" w:w="360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Détermine la faisabilité réelle.</w:t>
            </w:r>
          </w:p>
        </w:tc>
      </w:tr>
    </w:tbl>
    <w:p/>
    <w:tbl>
      <w:tblPr>
        <w:tblW w:type="auto" w:w="0"/>
        <w:jc w:val="center"/>
        <w:tblLook w:firstColumn="1" w:firstRow="1" w:lastColumn="0" w:lastRow="0" w:noHBand="0" w:noVBand="1" w:val="04A0"/>
      </w:tblPr>
      <w:tblGrid>
        <w:gridCol w:w="9749"/>
      </w:tblGrid>
      <w:tr>
        <w:tc>
          <w:tcPr>
            <w:tcW w:type="dxa" w:w="9749"/>
            <w:shd w:fill="FFF7E6"/>
            <w:tcBorders>
              <w:top w:val="single" w:sz="6" w:space="0" w:color="D8E2D4"/>
              <w:left w:val="single" w:sz="6" w:space="0" w:color="D8E2D4"/>
              <w:bottom w:val="single" w:sz="6" w:space="0" w:color="D8E2D4"/>
              <w:right w:val="single" w:sz="6" w:space="0" w:color="D8E2D4"/>
            </w:tcBorders>
            <w:tcMar>
              <w:top w:w="160" w:type="dxa"/>
              <w:start w:w="180" w:type="dxa"/>
              <w:bottom w:w="160" w:type="dxa"/>
              <w:end w:w="180" w:type="dxa"/>
            </w:tcMar>
          </w:tcPr>
          <w:p>
            <w:r>
              <w:rPr>
                <w:b/>
                <w:color w:val="2E7D32"/>
                <w:sz w:val="22"/>
              </w:rPr>
              <w:t>Décision type</w:t>
            </w:r>
            <w:r>
              <w:br/>
            </w:r>
            <w:r>
              <w:rPr>
                <w:b w:val="0"/>
                <w:color w:val="0E2D45"/>
                <w:sz w:val="20"/>
              </w:rPr>
              <w:t>Un dossier peut être prometteur mais non prioritaire. TVF doit savoir dire : à compléter, à réorienter, à mettre en veille ou à refuser, avec un motif écrit.</w:t>
            </w:r>
          </w:p>
        </w:tc>
      </w:tr>
    </w:tbl>
    <w:p/>
    <w:p>
      <w:pPr>
        <w:pStyle w:val="Heading1"/>
      </w:pPr>
      <w:r>
        <w:t>12. Argumentaire de rendez-vous</w:t>
      </w:r>
    </w:p>
    <w:p>
      <w:pPr>
        <w:pStyle w:val="TVFLead"/>
      </w:pPr>
      <w:r>
        <w:rPr>
          <w:b w:val="0"/>
        </w:rPr>
        <w:t>Le chargé de prospection doit pouvoir expliquer TVF en moins de deux minutes, puis adapter selon l'interlocuteur.</w:t>
      </w:r>
    </w:p>
    <w:tbl>
      <w:tblPr>
        <w:tblW w:type="auto" w:w="0"/>
        <w:jc w:val="center"/>
        <w:tblLook w:firstColumn="1" w:firstRow="1" w:lastColumn="0" w:lastRow="0" w:noHBand="0" w:noVBand="1" w:val="04A0"/>
      </w:tblPr>
      <w:tblGrid>
        <w:gridCol w:w="9749"/>
      </w:tblGrid>
      <w:tr>
        <w:tc>
          <w:tcPr>
            <w:tcW w:type="dxa" w:w="9749"/>
            <w:shd w:fill="EEF6EA"/>
            <w:tcBorders>
              <w:top w:val="single" w:sz="6" w:space="0" w:color="D8E2D4"/>
              <w:left w:val="single" w:sz="6" w:space="0" w:color="D8E2D4"/>
              <w:bottom w:val="single" w:sz="6" w:space="0" w:color="D8E2D4"/>
              <w:right w:val="single" w:sz="6" w:space="0" w:color="D8E2D4"/>
            </w:tcBorders>
            <w:tcMar>
              <w:top w:w="160" w:type="dxa"/>
              <w:start w:w="180" w:type="dxa"/>
              <w:bottom w:w="160" w:type="dxa"/>
              <w:end w:w="180" w:type="dxa"/>
            </w:tcMar>
          </w:tcPr>
          <w:p>
            <w:r>
              <w:rPr>
                <w:b/>
                <w:color w:val="2E7D32"/>
                <w:sz w:val="22"/>
              </w:rPr>
              <w:t>Pitch court</w:t>
            </w:r>
            <w:r>
              <w:br/>
            </w:r>
            <w:r>
              <w:rPr>
                <w:b w:val="0"/>
                <w:color w:val="0E2D45"/>
                <w:sz w:val="20"/>
              </w:rPr>
              <w:t>TVF aide à remettre en mouvement des biens et ressources inutilisés. Nous repérons les situations, qualifions les contraintes, identifions les usages possibles, préparons les pièces et proposons un cadre de conventionnement lorsque le projet est réaliste. L'objectif est de protéger le propriétaire, rendre le projet utile au territoire et éviter les démarches improvisées.</w:t>
            </w:r>
          </w:p>
        </w:tc>
      </w:tr>
    </w:tbl>
    <w:p/>
    <w:p>
      <w:pPr>
        <w:pStyle w:val="Heading3"/>
      </w:pPr>
      <w:r>
        <w:t>Objections fréquentes</w:t>
      </w:r>
    </w:p>
    <w:tbl>
      <w:tblPr>
        <w:tblW w:type="auto" w:w="0"/>
        <w:jc w:val="center"/>
        <w:tblLayout w:type="fixed"/>
        <w:tblLook w:firstColumn="1" w:firstRow="1" w:lastColumn="0" w:lastRow="0" w:noHBand="0" w:noVBand="1" w:val="04A0"/>
      </w:tblPr>
      <w:tblGrid>
        <w:gridCol w:w="4874"/>
        <w:gridCol w:w="4874"/>
      </w:tblGrid>
      <w:tr>
        <w:tc>
          <w:tcPr>
            <w:tcW w:type="dxa" w:w="2664"/>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Objection</w:t>
            </w:r>
          </w:p>
        </w:tc>
        <w:tc>
          <w:tcPr>
            <w:tcW w:type="dxa" w:w="6696"/>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Réponse recommandée</w:t>
            </w:r>
          </w:p>
        </w:tc>
      </w:tr>
      <w:tr>
        <w:tc>
          <w:tcPr>
            <w:tcW w:type="dxa" w:w="266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Je ne veux pas perdre mon bien.</w:t>
            </w:r>
          </w:p>
        </w:tc>
        <w:tc>
          <w:tcPr>
            <w:tcW w:type="dxa" w:w="669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La propriété reste votre propriété. Une convention peut limiter l'usage dans le temps, préciser les responsabilités et organiser la restitution.</w:t>
            </w:r>
          </w:p>
        </w:tc>
      </w:tr>
      <w:tr>
        <w:tc>
          <w:tcPr>
            <w:tcW w:type="dxa" w:w="266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Je n'ai pas d'argent pour les travaux.</w:t>
            </w:r>
          </w:p>
        </w:tc>
        <w:tc>
          <w:tcPr>
            <w:tcW w:type="dxa" w:w="669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TVF peut étudier des ressources : matériaux, partenaires, financements, mécénat, intervention progressive ou orientation vers aides existantes.</w:t>
            </w:r>
          </w:p>
        </w:tc>
      </w:tr>
      <w:tr>
        <w:tc>
          <w:tcPr>
            <w:tcW w:type="dxa" w:w="266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Je ne veux pas de problème avec des occupants.</w:t>
            </w:r>
          </w:p>
        </w:tc>
        <w:tc>
          <w:tcPr>
            <w:tcW w:type="dxa" w:w="669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Aucun usage ne doit être proposé sans convention, assurance, règles d'usage, durée, sortie et responsable identifié.</w:t>
            </w:r>
          </w:p>
        </w:tc>
      </w:tr>
      <w:tr>
        <w:tc>
          <w:tcPr>
            <w:tcW w:type="dxa" w:w="266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Je veux vendre.</w:t>
            </w:r>
          </w:p>
        </w:tc>
        <w:tc>
          <w:tcPr>
            <w:tcW w:type="dxa" w:w="669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TVF peut comprendre votre objectif, mais toute vente ou entremise doit être traitée par un notaire ou professionnel habilité.</w:t>
            </w:r>
          </w:p>
        </w:tc>
      </w:tr>
      <w:tr>
        <w:tc>
          <w:tcPr>
            <w:tcW w:type="dxa" w:w="266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Je veux un revenu.</w:t>
            </w:r>
          </w:p>
        </w:tc>
        <w:tc>
          <w:tcPr>
            <w:tcW w:type="dxa" w:w="669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Un scénario de valorisation peut être étudié, mais aucun rendement ne doit être garanti. Le cadre dépend du bien, du projet et du droit applicable.</w:t>
            </w:r>
          </w:p>
        </w:tc>
      </w:tr>
    </w:tbl>
    <w:p/>
    <w:p>
      <w:pPr>
        <w:pStyle w:val="Heading1"/>
      </w:pPr>
      <w:r>
        <w:t>13. Pièces à demander selon le dossier</w:t>
      </w:r>
    </w:p>
    <w:p>
      <w:pPr>
        <w:pStyle w:val="TVFLead"/>
      </w:pPr>
      <w:r>
        <w:rPr>
          <w:b w:val="0"/>
        </w:rPr>
        <w:t>La demande de pièces doit rester proportionnée. On ne demande pas tout dès le premier contact.</w:t>
      </w:r>
    </w:p>
    <w:p>
      <w:pPr>
        <w:pStyle w:val="Heading3"/>
      </w:pPr>
      <w:r>
        <w:t>Liste progressive</w:t>
      </w:r>
    </w:p>
    <w:tbl>
      <w:tblPr>
        <w:tblW w:type="auto" w:w="0"/>
        <w:jc w:val="center"/>
        <w:tblLayout w:type="fixed"/>
        <w:tblLook w:firstColumn="1" w:firstRow="1" w:lastColumn="0" w:lastRow="0" w:noHBand="0" w:noVBand="1" w:val="04A0"/>
      </w:tblPr>
      <w:tblGrid>
        <w:gridCol w:w="3250"/>
        <w:gridCol w:w="3250"/>
        <w:gridCol w:w="3250"/>
      </w:tblGrid>
      <w:tr>
        <w:tc>
          <w:tcPr>
            <w:tcW w:type="dxa" w:w="1944"/>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Moment</w:t>
            </w:r>
          </w:p>
        </w:tc>
        <w:tc>
          <w:tcPr>
            <w:tcW w:type="dxa" w:w="4536"/>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Pièces ou informations</w:t>
            </w:r>
          </w:p>
        </w:tc>
        <w:tc>
          <w:tcPr>
            <w:tcW w:type="dxa" w:w="2880"/>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Objectif</w:t>
            </w:r>
          </w:p>
        </w:tc>
      </w:tr>
      <w:tr>
        <w:tc>
          <w:tcPr>
            <w:tcW w:type="dxa" w:w="19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Premier contact</w:t>
            </w:r>
          </w:p>
        </w:tc>
        <w:tc>
          <w:tcPr>
            <w:tcW w:type="dxa" w:w="453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Adresse, photos autorisées, description, objectif du propriétaire.</w:t>
            </w:r>
          </w:p>
        </w:tc>
        <w:tc>
          <w:tcPr>
            <w:tcW w:type="dxa" w:w="288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Comprendre sans alourdir.</w:t>
            </w:r>
          </w:p>
        </w:tc>
      </w:tr>
      <w:tr>
        <w:tc>
          <w:tcPr>
            <w:tcW w:type="dxa" w:w="19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Ouverture dossier</w:t>
            </w:r>
          </w:p>
        </w:tc>
        <w:tc>
          <w:tcPr>
            <w:tcW w:type="dxa" w:w="453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Identité, qualité de propriétaire, taxe foncière ou justificatif, coordonnées.</w:t>
            </w:r>
          </w:p>
        </w:tc>
        <w:tc>
          <w:tcPr>
            <w:tcW w:type="dxa" w:w="288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Vérifier le lien avec le bien.</w:t>
            </w:r>
          </w:p>
        </w:tc>
      </w:tr>
      <w:tr>
        <w:tc>
          <w:tcPr>
            <w:tcW w:type="dxa" w:w="19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Pré-diagnostic</w:t>
            </w:r>
          </w:p>
        </w:tc>
        <w:tc>
          <w:tcPr>
            <w:tcW w:type="dxa" w:w="453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Plans si disponibles, diagnostics, ancien devis, factures, règlement de copropriété.</w:t>
            </w:r>
          </w:p>
        </w:tc>
        <w:tc>
          <w:tcPr>
            <w:tcW w:type="dxa" w:w="288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Évaluer contraintes et coûts.</w:t>
            </w:r>
          </w:p>
        </w:tc>
      </w:tr>
      <w:tr>
        <w:tc>
          <w:tcPr>
            <w:tcW w:type="dxa" w:w="19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Convention</w:t>
            </w:r>
          </w:p>
        </w:tc>
        <w:tc>
          <w:tcPr>
            <w:tcW w:type="dxa" w:w="453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Titre ou attestation, assurance, état des lieux, autorisations, décision interne si personne morale.</w:t>
            </w:r>
          </w:p>
        </w:tc>
        <w:tc>
          <w:tcPr>
            <w:tcW w:type="dxa" w:w="288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Sécuriser l'engagement.</w:t>
            </w:r>
          </w:p>
        </w:tc>
      </w:tr>
      <w:tr>
        <w:tc>
          <w:tcPr>
            <w:tcW w:type="dxa" w:w="1944"/>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Travaux ou usage</w:t>
            </w:r>
          </w:p>
        </w:tc>
        <w:tc>
          <w:tcPr>
            <w:tcW w:type="dxa" w:w="4536"/>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Devis, attestations assurance, autorisations urbanisme, règles sécurité, calendrier.</w:t>
            </w:r>
          </w:p>
        </w:tc>
        <w:tc>
          <w:tcPr>
            <w:tcW w:type="dxa" w:w="288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Éviter les risques opérationnels.</w:t>
            </w:r>
          </w:p>
        </w:tc>
      </w:tr>
    </w:tbl>
    <w:p/>
    <w:p>
      <w:pPr>
        <w:pStyle w:val="Heading1"/>
      </w:pPr>
      <w:r>
        <w:t>14. Documents types à préparer</w:t>
      </w:r>
    </w:p>
    <w:p>
      <w:pPr>
        <w:pStyle w:val="TVFLead"/>
      </w:pPr>
      <w:r>
        <w:rPr>
          <w:b w:val="0"/>
        </w:rPr>
        <w:t>Empire Immo TVF doit fonctionner avec une bibliothèque documentaire stable.</w:t>
      </w:r>
    </w:p>
    <w:p>
      <w:pPr>
        <w:pStyle w:val="TVFBullet"/>
      </w:pPr>
      <w:r>
        <w:rPr>
          <w:b/>
          <w:color w:val="0E2D45"/>
        </w:rPr>
        <w:t xml:space="preserve">Courrier propriétaire : </w:t>
      </w:r>
      <w:r>
        <w:rPr>
          <w:b w:val="0"/>
        </w:rPr>
        <w:t>prise de contact neutre après identification légale du bien.</w:t>
      </w:r>
    </w:p>
    <w:p>
      <w:pPr>
        <w:pStyle w:val="TVFBullet"/>
      </w:pPr>
      <w:r>
        <w:rPr>
          <w:b/>
          <w:color w:val="0E2D45"/>
        </w:rPr>
        <w:t xml:space="preserve">Fiche bien vacant : </w:t>
      </w:r>
      <w:r>
        <w:rPr>
          <w:b w:val="0"/>
        </w:rPr>
        <w:t>adresse, parcelle, état apparent, photos, contexte, usage possible.</w:t>
      </w:r>
    </w:p>
    <w:p>
      <w:pPr>
        <w:pStyle w:val="TVFBullet"/>
      </w:pPr>
      <w:r>
        <w:rPr>
          <w:b/>
          <w:color w:val="0E2D45"/>
        </w:rPr>
        <w:t xml:space="preserve">Fiche propriétaire : </w:t>
      </w:r>
      <w:r>
        <w:rPr>
          <w:b w:val="0"/>
        </w:rPr>
        <w:t>coordonnées, objectif, contraintes, niveau d'accord, pièces reçues.</w:t>
      </w:r>
    </w:p>
    <w:p>
      <w:pPr>
        <w:pStyle w:val="TVFBullet"/>
      </w:pPr>
      <w:r>
        <w:rPr>
          <w:b/>
          <w:color w:val="0E2D45"/>
        </w:rPr>
        <w:t xml:space="preserve">Autorisation de visite : </w:t>
      </w:r>
      <w:r>
        <w:rPr>
          <w:b w:val="0"/>
        </w:rPr>
        <w:t>accès, date, personnes présentes, limites, photos autorisées.</w:t>
      </w:r>
    </w:p>
    <w:p>
      <w:pPr>
        <w:pStyle w:val="TVFBullet"/>
      </w:pPr>
      <w:r>
        <w:rPr>
          <w:b/>
          <w:color w:val="0E2D45"/>
        </w:rPr>
        <w:t xml:space="preserve">Grille de pré-diagnostic : </w:t>
      </w:r>
      <w:r>
        <w:rPr>
          <w:b w:val="0"/>
        </w:rPr>
        <w:t>sécurité, état, usage, travaux, risques, orientation.</w:t>
      </w:r>
    </w:p>
    <w:p>
      <w:pPr>
        <w:pStyle w:val="TVFBullet"/>
      </w:pPr>
      <w:r>
        <w:rPr>
          <w:b/>
          <w:color w:val="0E2D45"/>
        </w:rPr>
        <w:t xml:space="preserve">Note d'opportunité : </w:t>
      </w:r>
      <w:r>
        <w:rPr>
          <w:b w:val="0"/>
        </w:rPr>
        <w:t>résumé décisionnel, intérêt territorial, scénarios, prochaines étapes.</w:t>
      </w:r>
    </w:p>
    <w:p>
      <w:pPr>
        <w:pStyle w:val="TVFBullet"/>
      </w:pPr>
      <w:r>
        <w:rPr>
          <w:b/>
          <w:color w:val="0E2D45"/>
        </w:rPr>
        <w:t xml:space="preserve">Convention de diagnostic : </w:t>
      </w:r>
      <w:r>
        <w:rPr>
          <w:b w:val="0"/>
        </w:rPr>
        <w:t>cadre minimal avant étude approfondie.</w:t>
      </w:r>
    </w:p>
    <w:p>
      <w:pPr>
        <w:pStyle w:val="TVFBullet"/>
      </w:pPr>
      <w:r>
        <w:rPr>
          <w:b/>
          <w:color w:val="0E2D45"/>
        </w:rPr>
        <w:t xml:space="preserve">Convention de mise à disposition : </w:t>
      </w:r>
      <w:r>
        <w:rPr>
          <w:b w:val="0"/>
        </w:rPr>
        <w:t>usage temporaire avec durée, assurances, état des lieux.</w:t>
      </w:r>
    </w:p>
    <w:p>
      <w:pPr>
        <w:pStyle w:val="TVFBullet"/>
      </w:pPr>
      <w:r>
        <w:rPr>
          <w:b/>
          <w:color w:val="0E2D45"/>
        </w:rPr>
        <w:t xml:space="preserve">Convention de valorisation partagée : </w:t>
      </w:r>
      <w:r>
        <w:rPr>
          <w:b w:val="0"/>
        </w:rPr>
        <w:t>uniquement après analyse juridique, fiscale et comptable.</w:t>
      </w:r>
    </w:p>
    <w:p>
      <w:pPr>
        <w:pStyle w:val="TVFBullet"/>
      </w:pPr>
      <w:r>
        <w:rPr>
          <w:b/>
          <w:color w:val="0E2D45"/>
        </w:rPr>
        <w:t xml:space="preserve">Registre de suivi : </w:t>
      </w:r>
      <w:r>
        <w:rPr>
          <w:b w:val="0"/>
        </w:rPr>
        <w:t>courriers envoyés, réponses, décisions, documents, échéances.</w:t>
      </w:r>
    </w:p>
    <w:p>
      <w:pPr>
        <w:pStyle w:val="Heading1"/>
      </w:pPr>
      <w:r>
        <w:t>15. Règles de conduite terrain</w:t>
      </w:r>
    </w:p>
    <w:p>
      <w:pPr>
        <w:pStyle w:val="TVFLead"/>
      </w:pPr>
      <w:r>
        <w:rPr>
          <w:b w:val="0"/>
        </w:rPr>
        <w:t>Le professionnalisme se voit dans les détails : respect, trace, prudence, clarté.</w:t>
      </w:r>
    </w:p>
    <w:p>
      <w:pPr>
        <w:pStyle w:val="Heading3"/>
      </w:pPr>
      <w:r>
        <w:t>Code de conduite</w:t>
      </w:r>
    </w:p>
    <w:tbl>
      <w:tblPr>
        <w:tblW w:type="auto" w:w="0"/>
        <w:jc w:val="center"/>
        <w:tblLayout w:type="fixed"/>
        <w:tblLook w:firstColumn="1" w:firstRow="1" w:lastColumn="0" w:lastRow="0" w:noHBand="0" w:noVBand="1" w:val="04A0"/>
      </w:tblPr>
      <w:tblGrid>
        <w:gridCol w:w="4874"/>
        <w:gridCol w:w="4874"/>
      </w:tblGrid>
      <w:tr>
        <w:tc>
          <w:tcPr>
            <w:tcW w:type="dxa" w:w="2520"/>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Règle</w:t>
            </w:r>
          </w:p>
        </w:tc>
        <w:tc>
          <w:tcPr>
            <w:tcW w:type="dxa" w:w="6840"/>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Application</w:t>
            </w:r>
          </w:p>
        </w:tc>
      </w:tr>
      <w:tr>
        <w:tc>
          <w:tcPr>
            <w:tcW w:type="dxa" w:w="25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Respect de la propriété privée</w:t>
            </w:r>
          </w:p>
        </w:tc>
        <w:tc>
          <w:tcPr>
            <w:tcW w:type="dxa" w:w="68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Aucune entrée, aucune photo intérieure, aucune visite sans accord.</w:t>
            </w:r>
          </w:p>
        </w:tc>
      </w:tr>
      <w:tr>
        <w:tc>
          <w:tcPr>
            <w:tcW w:type="dxa" w:w="25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Transparence</w:t>
            </w:r>
          </w:p>
        </w:tc>
        <w:tc>
          <w:tcPr>
            <w:tcW w:type="dxa" w:w="68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Dire qui est TVF, pourquoi le contact est fait, comment les données sont utilisées.</w:t>
            </w:r>
          </w:p>
        </w:tc>
      </w:tr>
      <w:tr>
        <w:tc>
          <w:tcPr>
            <w:tcW w:type="dxa" w:w="25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Traçabilité</w:t>
            </w:r>
          </w:p>
        </w:tc>
        <w:tc>
          <w:tcPr>
            <w:tcW w:type="dxa" w:w="68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Chaque appel, courrier, rendez-vous et décision doit être enregistré dans TVF OS.</w:t>
            </w:r>
          </w:p>
        </w:tc>
      </w:tr>
      <w:tr>
        <w:tc>
          <w:tcPr>
            <w:tcW w:type="dxa" w:w="25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Neutralité</w:t>
            </w:r>
          </w:p>
        </w:tc>
        <w:tc>
          <w:tcPr>
            <w:tcW w:type="dxa" w:w="68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Ne jamais promettre financement, travaux, client, location ou acquisition.</w:t>
            </w:r>
          </w:p>
        </w:tc>
      </w:tr>
      <w:tr>
        <w:tc>
          <w:tcPr>
            <w:tcW w:type="dxa" w:w="25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Orientation</w:t>
            </w:r>
          </w:p>
        </w:tc>
        <w:tc>
          <w:tcPr>
            <w:tcW w:type="dxa" w:w="68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Si le sujet dépasse TVF, orienter vers notaire, avocat, agent habilité, collectivité ou opérateur compétent.</w:t>
            </w:r>
          </w:p>
        </w:tc>
      </w:tr>
      <w:tr>
        <w:tc>
          <w:tcPr>
            <w:tcW w:type="dxa" w:w="252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Confidentialité</w:t>
            </w:r>
          </w:p>
        </w:tc>
        <w:tc>
          <w:tcPr>
            <w:tcW w:type="dxa" w:w="68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Ne pas diffuser l'adresse sensible, l'état du bien ou l'identité du propriétaire sans base légitime.</w:t>
            </w:r>
          </w:p>
        </w:tc>
      </w:tr>
    </w:tbl>
    <w:p/>
    <w:p>
      <w:pPr>
        <w:pStyle w:val="Heading1"/>
      </w:pPr>
      <w:r>
        <w:t>Sources et références à vérifier</w:t>
      </w:r>
    </w:p>
    <w:p>
      <w:pPr>
        <w:pStyle w:val="TVFLead"/>
      </w:pPr>
      <w:r>
        <w:rPr>
          <w:b w:val="0"/>
        </w:rPr>
        <w:t>Ces sources doivent être consultées régulièrement car le droit et les procédures peuvent évoluer.</w:t>
      </w:r>
    </w:p>
    <w:p>
      <w:pPr>
        <w:pStyle w:val="TVFBullet"/>
      </w:pPr>
      <w:r>
        <w:rPr>
          <w:b/>
          <w:color w:val="0E2D45"/>
        </w:rPr>
        <w:t xml:space="preserve">Cadastre : </w:t>
      </w:r>
      <w:r>
        <w:rPr>
          <w:b w:val="0"/>
        </w:rPr>
        <w:t>cadastre.gouv.fr - consultation du plan cadastral et références de parcelles.</w:t>
      </w:r>
    </w:p>
    <w:p>
      <w:pPr>
        <w:pStyle w:val="TVFBullet"/>
      </w:pPr>
      <w:r>
        <w:rPr>
          <w:b/>
          <w:color w:val="0E2D45"/>
        </w:rPr>
        <w:t xml:space="preserve">Impôts / publicité foncière : </w:t>
      </w:r>
      <w:r>
        <w:rPr>
          <w:b w:val="0"/>
        </w:rPr>
        <w:t>impots.gouv.fr - recherche du propriétaire d'un bien et services de publicité foncière.</w:t>
      </w:r>
    </w:p>
    <w:p>
      <w:pPr>
        <w:pStyle w:val="TVFBullet"/>
      </w:pPr>
      <w:r>
        <w:rPr>
          <w:b/>
          <w:color w:val="0E2D45"/>
        </w:rPr>
        <w:t xml:space="preserve">Loi Hoguet : </w:t>
      </w:r>
      <w:r>
        <w:rPr>
          <w:b w:val="0"/>
        </w:rPr>
        <w:t>Loi n°70-9 du 2 janvier 1970 et décret d'application : activités de transaction et gestion immobilière.</w:t>
      </w:r>
    </w:p>
    <w:p>
      <w:pPr>
        <w:pStyle w:val="TVFBullet"/>
      </w:pPr>
      <w:r>
        <w:rPr>
          <w:b/>
          <w:color w:val="0E2D45"/>
        </w:rPr>
        <w:t xml:space="preserve">Carte professionnelle : </w:t>
      </w:r>
      <w:r>
        <w:rPr>
          <w:b w:val="0"/>
        </w:rPr>
        <w:t>entreprendre.service-public.fr - activités immobilières réglementées et carte professionnelle CCI.</w:t>
      </w:r>
    </w:p>
    <w:p>
      <w:pPr>
        <w:pStyle w:val="TVFBullet"/>
      </w:pPr>
      <w:r>
        <w:rPr>
          <w:b/>
          <w:color w:val="0E2D45"/>
        </w:rPr>
        <w:t xml:space="preserve">EPORA : </w:t>
      </w:r>
      <w:r>
        <w:rPr>
          <w:b w:val="0"/>
        </w:rPr>
        <w:t>epora.fr - missions de recyclage foncier, friches, portage et intervention foncière.</w:t>
      </w:r>
    </w:p>
    <w:p>
      <w:pPr>
        <w:pStyle w:val="TVFBullet"/>
      </w:pPr>
      <w:r>
        <w:rPr>
          <w:b/>
          <w:color w:val="0E2D45"/>
        </w:rPr>
        <w:t xml:space="preserve">CNIL : </w:t>
      </w:r>
      <w:r>
        <w:rPr>
          <w:b w:val="0"/>
        </w:rPr>
        <w:t>cnil.fr - principes RGPD : finalité, minimisation, durée de conservation et droits des personnes.</w:t>
      </w:r>
    </w:p>
    <w:p>
      <w:pPr>
        <w:pStyle w:val="TVFBullet"/>
      </w:pPr>
      <w:r>
        <w:rPr>
          <w:b/>
          <w:color w:val="0E2D45"/>
        </w:rPr>
        <w:t xml:space="preserve">Collectivités : </w:t>
      </w:r>
      <w:r>
        <w:rPr>
          <w:b w:val="0"/>
        </w:rPr>
        <w:t>Ville, métropole, département et services urbanisme/habitat pour documents locaux, PLU, OPAH, Action Coeur de Ville, politiques publiques.</w:t>
      </w:r>
    </w:p>
    <w:tbl>
      <w:tblPr>
        <w:tblW w:type="auto" w:w="0"/>
        <w:jc w:val="center"/>
        <w:tblLook w:firstColumn="1" w:firstRow="1" w:lastColumn="0" w:lastRow="0" w:noHBand="0" w:noVBand="1" w:val="04A0"/>
      </w:tblPr>
      <w:tblGrid>
        <w:gridCol w:w="9749"/>
      </w:tblGrid>
      <w:tr>
        <w:tc>
          <w:tcPr>
            <w:tcW w:type="dxa" w:w="9749"/>
            <w:shd w:fill="FFF7E6"/>
            <w:tcBorders>
              <w:top w:val="single" w:sz="6" w:space="0" w:color="D8E2D4"/>
              <w:left w:val="single" w:sz="6" w:space="0" w:color="D8E2D4"/>
              <w:bottom w:val="single" w:sz="6" w:space="0" w:color="D8E2D4"/>
              <w:right w:val="single" w:sz="6" w:space="0" w:color="D8E2D4"/>
            </w:tcBorders>
            <w:tcMar>
              <w:top w:w="160" w:type="dxa"/>
              <w:start w:w="180" w:type="dxa"/>
              <w:bottom w:w="160" w:type="dxa"/>
              <w:end w:w="180" w:type="dxa"/>
            </w:tcMar>
          </w:tcPr>
          <w:p>
            <w:r>
              <w:rPr>
                <w:b/>
                <w:color w:val="2E7D32"/>
                <w:sz w:val="22"/>
              </w:rPr>
              <w:t>Mention de prudence</w:t>
            </w:r>
            <w:r>
              <w:br/>
            </w:r>
            <w:r>
              <w:rPr>
                <w:b w:val="0"/>
                <w:color w:val="0E2D45"/>
                <w:sz w:val="20"/>
              </w:rPr>
              <w:t>Ce document est un guide interne TVF. Il ne remplace pas une consultation juridique, notariale, fiscale, urbanistique ou assurantielle. Toute convention engageante doit être adaptée au cas concret et relue si nécessaire par une personne compétente.</w:t>
            </w:r>
          </w:p>
        </w:tc>
      </w:tr>
    </w:tbl>
    <w:p/>
    <w:p>
      <w:pPr>
        <w:pStyle w:val="Heading1"/>
      </w:pPr>
      <w:r>
        <w:t>Annexe - Fiche réflexe agent TVF</w:t>
      </w:r>
    </w:p>
    <w:p>
      <w:pPr>
        <w:pStyle w:val="TVFLead"/>
      </w:pPr>
      <w:r>
        <w:rPr>
          <w:b w:val="0"/>
        </w:rPr>
        <w:t>À utiliser avant tout premier rendez-vous propriétaire.</w:t>
      </w:r>
    </w:p>
    <w:p>
      <w:pPr>
        <w:pStyle w:val="Heading3"/>
      </w:pPr>
      <w:r>
        <w:t>Checklist avant contact</w:t>
      </w:r>
    </w:p>
    <w:tbl>
      <w:tblPr>
        <w:tblW w:type="auto" w:w="0"/>
        <w:jc w:val="center"/>
        <w:tblLayout w:type="fixed"/>
        <w:tblLook w:firstColumn="1" w:firstRow="1" w:lastColumn="0" w:lastRow="0" w:noHBand="0" w:noVBand="1" w:val="04A0"/>
      </w:tblPr>
      <w:tblGrid>
        <w:gridCol w:w="3250"/>
        <w:gridCol w:w="3250"/>
        <w:gridCol w:w="3250"/>
      </w:tblGrid>
      <w:tr>
        <w:tc>
          <w:tcPr>
            <w:tcW w:type="dxa" w:w="4032"/>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Point</w:t>
            </w:r>
          </w:p>
        </w:tc>
        <w:tc>
          <w:tcPr>
            <w:tcW w:type="dxa" w:w="1440"/>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Oui / Non</w:t>
            </w:r>
          </w:p>
        </w:tc>
        <w:tc>
          <w:tcPr>
            <w:tcW w:type="dxa" w:w="3888"/>
            <w:shd w:fill="EEF4F7"/>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center"/>
          </w:tcPr>
          <w:p>
            <w:r>
              <w:rPr>
                <w:b/>
                <w:color w:val="0E2D45"/>
                <w:sz w:val="18"/>
              </w:rPr>
              <w:t>Note</w:t>
            </w:r>
          </w:p>
        </w:tc>
      </w:tr>
      <w:tr>
        <w:tc>
          <w:tcPr>
            <w:tcW w:type="dxa" w:w="40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Adresse complète vérifiée</w:t>
            </w:r>
          </w:p>
        </w:tc>
        <w:tc>
          <w:tcPr>
            <w:tcW w:type="dxa" w:w="14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r>
          </w:p>
        </w:tc>
      </w:tr>
      <w:tr>
        <w:tc>
          <w:tcPr>
            <w:tcW w:type="dxa" w:w="40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Parcelle identifiée</w:t>
            </w:r>
          </w:p>
        </w:tc>
        <w:tc>
          <w:tcPr>
            <w:tcW w:type="dxa" w:w="14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r>
          </w:p>
        </w:tc>
      </w:tr>
      <w:tr>
        <w:tc>
          <w:tcPr>
            <w:tcW w:type="dxa" w:w="40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Propriétaire identifié légalement</w:t>
            </w:r>
          </w:p>
        </w:tc>
        <w:tc>
          <w:tcPr>
            <w:tcW w:type="dxa" w:w="14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r>
          </w:p>
        </w:tc>
      </w:tr>
      <w:tr>
        <w:tc>
          <w:tcPr>
            <w:tcW w:type="dxa" w:w="40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Source de l'information enregistrée</w:t>
            </w:r>
          </w:p>
        </w:tc>
        <w:tc>
          <w:tcPr>
            <w:tcW w:type="dxa" w:w="14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r>
          </w:p>
        </w:tc>
      </w:tr>
      <w:tr>
        <w:tc>
          <w:tcPr>
            <w:tcW w:type="dxa" w:w="40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Aucune intrusion / aucune photo non autorisée</w:t>
            </w:r>
          </w:p>
        </w:tc>
        <w:tc>
          <w:tcPr>
            <w:tcW w:type="dxa" w:w="14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r>
          </w:p>
        </w:tc>
      </w:tr>
      <w:tr>
        <w:tc>
          <w:tcPr>
            <w:tcW w:type="dxa" w:w="40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Courrier ou message préparé</w:t>
            </w:r>
          </w:p>
        </w:tc>
        <w:tc>
          <w:tcPr>
            <w:tcW w:type="dxa" w:w="14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r>
          </w:p>
        </w:tc>
      </w:tr>
      <w:tr>
        <w:tc>
          <w:tcPr>
            <w:tcW w:type="dxa" w:w="40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Objectif du contact clarifié</w:t>
            </w:r>
          </w:p>
        </w:tc>
        <w:tc>
          <w:tcPr>
            <w:tcW w:type="dxa" w:w="14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r>
          </w:p>
        </w:tc>
      </w:tr>
      <w:tr>
        <w:tc>
          <w:tcPr>
            <w:tcW w:type="dxa" w:w="4032"/>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t>Dossier TVF OS créé ou prêt à créer</w:t>
            </w:r>
          </w:p>
        </w:tc>
        <w:tc>
          <w:tcPr>
            <w:tcW w:type="dxa" w:w="1440"/>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r>
          </w:p>
        </w:tc>
        <w:tc>
          <w:tcPr>
            <w:tcW w:type="dxa" w:w="3888"/>
            <w:tcBorders>
              <w:top w:val="single" w:sz="6" w:space="0" w:color="D8E2D4"/>
              <w:left w:val="single" w:sz="6" w:space="0" w:color="D8E2D4"/>
              <w:bottom w:val="single" w:sz="6" w:space="0" w:color="D8E2D4"/>
              <w:right w:val="single" w:sz="6" w:space="0" w:color="D8E2D4"/>
            </w:tcBorders>
            <w:tcMar>
              <w:top w:w="100" w:type="dxa"/>
              <w:start w:w="120" w:type="dxa"/>
              <w:bottom w:w="100" w:type="dxa"/>
              <w:end w:w="120" w:type="dxa"/>
            </w:tcMar>
            <w:vAlign w:val="top"/>
          </w:tcPr>
          <w:p>
            <w:r>
              <w:rPr>
                <w:b w:val="0"/>
                <w:color w:val="0E2D45"/>
                <w:sz w:val="17"/>
              </w:rPr>
            </w:r>
          </w:p>
        </w:tc>
      </w:tr>
    </w:tbl>
    <w:p/>
    <w:sectPr w:rsidR="00FC693F" w:rsidRPr="0006063C" w:rsidSect="00034616">
      <w:footerReference w:type="default" r:id="rId9"/>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5C6970"/>
        <w:sz w:val="16"/>
      </w:rPr>
      <w:t>Territoires Vivants France - Operation Empire Immo TVF - Document interne de travail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2E7D32"/>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E2D4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71F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71F1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VFLead">
    <w:name w:val="TVF Lead"/>
    <w:pPr>
      <w:spacing w:after="200" w:line="283" w:lineRule="auto"/>
    </w:pPr>
    <w:rPr>
      <w:rFonts w:ascii="Calibri" w:hAnsi="Calibri"/>
      <w:color w:val="0E2D45"/>
      <w:sz w:val="24"/>
    </w:rPr>
  </w:style>
  <w:style w:type="paragraph" w:customStyle="1" w:styleId="TVFBullet">
    <w:name w:val="TVF Bullet"/>
    <w:pPr>
      <w:spacing w:after="80"/>
      <w:ind w:left="360" w:hanging="173"/>
    </w:pPr>
    <w:rPr>
      <w:rFonts w:ascii="Calibri" w:hAnsi="Calibri"/>
      <w:sz w:val="20"/>
    </w:rPr>
  </w:style>
  <w:style w:type="paragraph" w:customStyle="1" w:styleId="TVFNumber">
    <w:name w:val="TVF Number"/>
    <w:pPr>
      <w:spacing w:after="100"/>
      <w:ind w:left="144"/>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