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00"/>
        <w:gridCol w:w="7920"/>
      </w:tblGrid>
      <w:tr>
        <w:tc>
          <w:tcPr>
            <w:tcW w:type="dxa" w:w="5184"/>
          </w:tcPr>
          <w:p>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184"/>
          </w:tcPr>
          <w:p>
            <w:pPr>
              <w:jc w:val="right"/>
            </w:pPr>
            <w:r>
              <w:rPr>
                <w:rFonts w:ascii="Manrope" w:hAnsi="Manrope"/>
                <w:b/>
                <w:color w:val="18392F"/>
                <w:sz w:val="24"/>
              </w:rPr>
              <w:t>Territoires Vivants France</w:t>
              <w:br/>
            </w:r>
            <w:r>
              <w:rPr>
                <w:rFonts w:ascii="Inter" w:hAnsi="Inter"/>
                <w:b w:val="0"/>
                <w:color w:val="1F2937"/>
                <w:sz w:val="17"/>
              </w:rPr>
              <w:t>Agence Territoriale de Revitalisation Immobilière</w:t>
              <w:br/>
            </w:r>
            <w:r>
              <w:rPr>
                <w:rFonts w:ascii="Inter" w:hAnsi="Inter"/>
                <w:b w:val="0"/>
                <w:color w:val="667085"/>
                <w:sz w:val="14"/>
              </w:rPr>
              <w:t>25 rue Élise Gervais, 42000 Saint-Étienne | 04 65 81 54 69 | contact@territoiresvivantsfrance.fr</w:t>
              <w:br/>
              <w:t>RNA W922015538 | SIRET 897 226 138 00018</w:t>
            </w:r>
          </w:p>
        </w:tc>
      </w:tr>
    </w:tbl>
    <w:p>
      <w:pPr>
        <w:spacing w:before="200"/>
        <w:jc w:val="center"/>
      </w:pPr>
      <w:r>
        <w:rPr>
          <w:rFonts w:ascii="Manrope" w:hAnsi="Manrope"/>
          <w:b/>
          <w:color w:val="18392F"/>
          <w:sz w:val="36"/>
        </w:rPr>
        <w:t>CONVENTION CADRE COLLECTIVITÉ</w:t>
      </w:r>
    </w:p>
    <w:p>
      <w:pPr>
        <w:jc w:val="center"/>
      </w:pPr>
      <w:r>
        <w:rPr>
          <w:rFonts w:ascii="Inter" w:hAnsi="Inter"/>
          <w:b w:val="0"/>
          <w:color w:val="667085"/>
          <w:sz w:val="20"/>
        </w:rPr>
        <w:t>Coopération territoriale, observatoire, repérage et suivi</w:t>
      </w:r>
    </w:p>
    <w:tbl>
      <w:tblPr>
        <w:tblW w:type="auto" w:w="0"/>
        <w:jc w:val="center"/>
        <w:tblLook w:firstColumn="1" w:firstRow="1" w:lastColumn="0" w:lastRow="0" w:noHBand="0" w:noVBand="1" w:val="04A0"/>
      </w:tblPr>
      <w:tblGrid>
        <w:gridCol w:w="10368"/>
      </w:tblGrid>
      <w:tr>
        <w:tc>
          <w:tcPr>
            <w:tcW w:type="dxa" w:w="10368"/>
            <w:shd w:fill="FBF8EF"/>
            <w:vAlign w:val="center"/>
            <w:tcBorders>
              <w:top w:val="single" w:sz="8" w:color="D9E0DC"/>
              <w:left w:val="single" w:sz="8" w:color="D9E0DC"/>
              <w:bottom w:val="single" w:sz="8" w:color="D9E0DC"/>
              <w:right w:val="single" w:sz="8" w:color="D9E0DC"/>
            </w:tcBorders>
          </w:tcPr>
          <w:p>
            <w:pPr>
              <w:spacing w:after="0"/>
            </w:pPr>
            <w:r>
              <w:rPr>
                <w:color w:val="667085"/>
                <w:sz w:val="16"/>
              </w:rPr>
            </w:r>
            <w:r>
              <w:rPr>
                <w:rFonts w:ascii="Inter" w:hAnsi="Inter"/>
                <w:b w:val="0"/>
                <w:color w:val="667085"/>
                <w:sz w:val="16"/>
              </w:rPr>
              <w:t>MODÈLE INTERNE À ADAPTER — Document de travail institutionnel. Toute signature réelle doit être précédée d’une vérification juridique adaptée à la situation, aux parties, au bien, aux responsabilités et au cadre réglementaire applicable.</w:t>
            </w:r>
          </w:p>
        </w:tc>
      </w:tr>
    </w:tbl>
    <w:tbl>
      <w:tblPr>
        <w:tblW w:type="auto" w:w="0"/>
        <w:jc w:val="center"/>
        <w:tblLayout w:type="fixed"/>
        <w:tblLook w:firstColumn="1" w:firstRow="1" w:lastColumn="0" w:lastRow="0" w:noHBand="0" w:noVBand="1" w:val="04A0"/>
      </w:tblPr>
      <w:tblGrid>
        <w:gridCol w:w="3240"/>
        <w:gridCol w:w="6480"/>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Référence interne TVF</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Parties signataires</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Date d’effet</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Durée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bl>
    <w:p>
      <w:pPr>
        <w:spacing w:before="180"/>
      </w:pPr>
      <w:r>
        <w:rPr>
          <w:rFonts w:ascii="Manrope" w:hAnsi="Manrope"/>
          <w:b/>
          <w:color w:val="18392F"/>
          <w:sz w:val="24"/>
        </w:rPr>
        <w:t>1. Parties, contexte et finalité</w:t>
      </w:r>
    </w:p>
    <w:p>
      <w:pPr>
        <w:spacing w:line="269" w:lineRule="auto" w:after="100"/>
      </w:pPr>
      <w:r>
        <w:rPr>
          <w:rFonts w:ascii="Inter" w:hAnsi="Inter"/>
          <w:b w:val="0"/>
          <w:color w:val="1F2937"/>
          <w:sz w:val="19"/>
        </w:rPr>
        <w:t>La convention est conclue entre TVF et la collectivité, l’établissement public ou la structure territoriale partenaire représenté par son représentant habilité.</w:t>
      </w:r>
    </w:p>
    <w:p>
      <w:pPr>
        <w:spacing w:line="269" w:lineRule="auto" w:after="100"/>
      </w:pPr>
      <w:r>
        <w:rPr>
          <w:rFonts w:ascii="Inter" w:hAnsi="Inter"/>
          <w:b w:val="0"/>
          <w:color w:val="1F2937"/>
          <w:sz w:val="19"/>
        </w:rPr>
        <w:t>Elle répond aux enjeux de vacance immobilière, commerces fermés, friches, terrains sans usage, bâtiments délaissés, ressources non mobilisées et revitalisation durable du territoire.</w:t>
      </w:r>
    </w:p>
    <w:p>
      <w:pPr>
        <w:spacing w:before="180"/>
      </w:pPr>
      <w:r>
        <w:rPr>
          <w:rFonts w:ascii="Manrope" w:hAnsi="Manrope"/>
          <w:b/>
          <w:color w:val="18392F"/>
          <w:sz w:val="24"/>
        </w:rPr>
        <w:t>2. Objet et périmètre</w:t>
      </w:r>
    </w:p>
    <w:p>
      <w:pPr>
        <w:spacing w:line="269" w:lineRule="auto" w:after="100"/>
      </w:pPr>
      <w:r>
        <w:rPr>
          <w:rFonts w:ascii="Inter" w:hAnsi="Inter"/>
          <w:b w:val="0"/>
          <w:color w:val="1F2937"/>
          <w:sz w:val="19"/>
        </w:rPr>
        <w:t>La convention organise une coopération autour du repérage, de l’observation, de la qualification, du suivi et de l’orientation des situations immobilières ou territoriales.</w:t>
      </w:r>
    </w:p>
    <w:p>
      <w:pPr>
        <w:spacing w:line="269" w:lineRule="auto" w:after="100"/>
      </w:pPr>
      <w:r>
        <w:rPr>
          <w:rFonts w:ascii="Inter" w:hAnsi="Inter"/>
          <w:b w:val="0"/>
          <w:color w:val="1F2937"/>
          <w:sz w:val="19"/>
        </w:rPr>
        <w:t>Le périmètre géographique et thématique est défini en annexe : commune, quartier, secteur, territoire pilote, habitat, commerce, friches, foncier, matériaux, solidarité ou observatoire.</w:t>
      </w:r>
    </w:p>
    <w:p>
      <w:pPr>
        <w:spacing w:before="180"/>
      </w:pPr>
      <w:r>
        <w:rPr>
          <w:rFonts w:ascii="Manrope" w:hAnsi="Manrope"/>
          <w:b/>
          <w:color w:val="18392F"/>
          <w:sz w:val="24"/>
        </w:rPr>
        <w:t>3. Missions de TVF</w:t>
      </w:r>
    </w:p>
    <w:p>
      <w:pPr>
        <w:spacing w:line="269" w:lineRule="auto" w:after="100"/>
      </w:pPr>
      <w:r>
        <w:rPr>
          <w:rFonts w:ascii="Inter" w:hAnsi="Inter"/>
          <w:b w:val="0"/>
          <w:color w:val="1F2937"/>
          <w:sz w:val="19"/>
        </w:rPr>
        <w:t>TVF peut contribuer à l’organisation des signalements, fiches de qualification, repérages, suivis, orientations, mises en relation, réunions et restitutions adaptées au périmètre convenu.</w:t>
      </w:r>
    </w:p>
    <w:p>
      <w:pPr>
        <w:spacing w:line="269" w:lineRule="auto" w:after="100"/>
      </w:pPr>
      <w:r>
        <w:rPr>
          <w:rFonts w:ascii="Inter" w:hAnsi="Inter"/>
          <w:b w:val="0"/>
          <w:color w:val="1F2937"/>
          <w:sz w:val="19"/>
        </w:rPr>
        <w:t>TVF agit comme outil complémentaire d’observation, coordination, accompagnement et suivi. Elle ne remplace pas les pouvoirs de police, services instructeurs, décisions publiques ou professionnels réglementés.</w:t>
      </w:r>
    </w:p>
    <w:p>
      <w:pPr>
        <w:spacing w:before="180"/>
      </w:pPr>
      <w:r>
        <w:rPr>
          <w:rFonts w:ascii="Manrope" w:hAnsi="Manrope"/>
          <w:b/>
          <w:color w:val="18392F"/>
          <w:sz w:val="24"/>
        </w:rPr>
        <w:t>4. Missions de la collectivité</w:t>
      </w:r>
    </w:p>
    <w:p>
      <w:pPr>
        <w:spacing w:line="269" w:lineRule="auto" w:after="100"/>
      </w:pPr>
      <w:r>
        <w:rPr>
          <w:rFonts w:ascii="Inter" w:hAnsi="Inter"/>
          <w:b w:val="0"/>
          <w:color w:val="1F2937"/>
          <w:sz w:val="19"/>
        </w:rPr>
        <w:t>La collectivité peut désigner un référent, préciser ses priorités, transmettre les informations légalement communicables, faciliter l’identification des services compétents et participer au suivi.</w:t>
      </w:r>
    </w:p>
    <w:p>
      <w:pPr>
        <w:spacing w:line="269" w:lineRule="auto" w:after="100"/>
      </w:pPr>
      <w:r>
        <w:rPr>
          <w:rFonts w:ascii="Inter" w:hAnsi="Inter"/>
          <w:b w:val="0"/>
          <w:color w:val="1F2937"/>
          <w:sz w:val="19"/>
        </w:rPr>
        <w:t>Elle conserve la responsabilité de ses compétences, décisions administratives, procédures internes, obligations réglementaires et vérification du cadre de partage des données.</w:t>
      </w:r>
    </w:p>
    <w:p>
      <w:pPr>
        <w:spacing w:before="180"/>
      </w:pPr>
      <w:r>
        <w:rPr>
          <w:rFonts w:ascii="Manrope" w:hAnsi="Manrope"/>
          <w:b/>
          <w:color w:val="18392F"/>
          <w:sz w:val="24"/>
        </w:rPr>
        <w:t>5. Données et confidentialité</w:t>
      </w:r>
    </w:p>
    <w:p>
      <w:pPr>
        <w:spacing w:line="269" w:lineRule="auto" w:after="100"/>
      </w:pPr>
      <w:r>
        <w:rPr>
          <w:rFonts w:ascii="Inter" w:hAnsi="Inter"/>
          <w:b w:val="0"/>
          <w:color w:val="1F2937"/>
          <w:sz w:val="19"/>
        </w:rPr>
        <w:t>Les parties définissent les informations échangées, leurs finalités, les accès autorisés, les mesures de sécurité, les durées de conservation et les règles de confidentialité.</w:t>
      </w:r>
    </w:p>
    <w:p>
      <w:pPr>
        <w:spacing w:line="269" w:lineRule="auto" w:after="100"/>
      </w:pPr>
      <w:r>
        <w:rPr>
          <w:rFonts w:ascii="Inter" w:hAnsi="Inter"/>
          <w:b w:val="0"/>
          <w:color w:val="1F2937"/>
          <w:sz w:val="19"/>
        </w:rPr>
        <w:t>La convention ne peut autoriser l’accès à des données cadastrales, fiscales, foncières, administratives ou personnelles dont la communication serait contraire au cadre légal applicable.</w:t>
      </w:r>
    </w:p>
    <w:p>
      <w:pPr>
        <w:spacing w:before="180"/>
      </w:pPr>
      <w:r>
        <w:rPr>
          <w:rFonts w:ascii="Manrope" w:hAnsi="Manrope"/>
          <w:b/>
          <w:color w:val="18392F"/>
          <w:sz w:val="24"/>
        </w:rPr>
        <w:t>6. Signalements et qualification</w:t>
      </w:r>
    </w:p>
    <w:p>
      <w:pPr>
        <w:spacing w:line="269" w:lineRule="auto" w:after="100"/>
      </w:pPr>
      <w:r>
        <w:rPr>
          <w:rFonts w:ascii="Inter" w:hAnsi="Inter"/>
          <w:b w:val="0"/>
          <w:color w:val="1F2937"/>
          <w:sz w:val="19"/>
        </w:rPr>
        <w:t>Un signalement ne permet pas à lui seul d’affirmer juridiquement qu’un bien est vacant, abandonné, dangereux ou sans propriétaire. Les situations doivent être qualifiées avec prudence.</w:t>
      </w:r>
    </w:p>
    <w:p>
      <w:pPr>
        <w:spacing w:line="269" w:lineRule="auto" w:after="100"/>
      </w:pPr>
      <w:r>
        <w:rPr>
          <w:rFonts w:ascii="Inter" w:hAnsi="Inter"/>
          <w:b w:val="0"/>
          <w:color w:val="1F2937"/>
          <w:sz w:val="19"/>
        </w:rPr>
        <w:t>Chaque situation peut être classée selon son type, son niveau d’information, son état d’avancement, son degré de priorité, les vérifications nécessaires et les suites envisageables.</w:t>
      </w:r>
    </w:p>
    <w:p>
      <w:pPr>
        <w:spacing w:before="180"/>
      </w:pPr>
      <w:r>
        <w:rPr>
          <w:rFonts w:ascii="Manrope" w:hAnsi="Manrope"/>
          <w:b/>
          <w:color w:val="18392F"/>
          <w:sz w:val="24"/>
        </w:rPr>
        <w:t>7. Observatoire territorial et TVF OS</w:t>
      </w:r>
    </w:p>
    <w:p>
      <w:pPr>
        <w:spacing w:line="269" w:lineRule="auto" w:after="100"/>
      </w:pPr>
      <w:r>
        <w:rPr>
          <w:rFonts w:ascii="Inter" w:hAnsi="Inter"/>
          <w:b w:val="0"/>
          <w:color w:val="1F2937"/>
          <w:sz w:val="19"/>
        </w:rPr>
        <w:t>TVF peut contribuer à un observatoire territorial : fiches, cartes, tableaux de bord, indicateurs, rapports et restitutions. Les données publiques doivent être anonymisées, agrégées ou limitées si nécessaire.</w:t>
      </w:r>
    </w:p>
    <w:p>
      <w:pPr>
        <w:spacing w:line="269" w:lineRule="auto" w:after="100"/>
      </w:pPr>
      <w:r>
        <w:rPr>
          <w:rFonts w:ascii="Inter" w:hAnsi="Inter"/>
          <w:b w:val="0"/>
          <w:color w:val="1F2937"/>
          <w:sz w:val="19"/>
        </w:rPr>
        <w:t>Un accès limité à TVF OS ou aux outils de suivi peut être ouvert selon les droits accordés, le périmètre de mission et le principe du besoin d’en connaître.</w:t>
      </w:r>
    </w:p>
    <w:p>
      <w:pPr>
        <w:spacing w:before="180"/>
      </w:pPr>
      <w:r>
        <w:rPr>
          <w:rFonts w:ascii="Manrope" w:hAnsi="Manrope"/>
          <w:b/>
          <w:color w:val="18392F"/>
          <w:sz w:val="24"/>
        </w:rPr>
        <w:t>8. Propriétaires, partenaires et communication</w:t>
      </w:r>
    </w:p>
    <w:p>
      <w:pPr>
        <w:spacing w:line="269" w:lineRule="auto" w:after="100"/>
      </w:pPr>
      <w:r>
        <w:rPr>
          <w:rFonts w:ascii="Inter" w:hAnsi="Inter"/>
          <w:b w:val="0"/>
          <w:color w:val="1F2937"/>
          <w:sz w:val="19"/>
        </w:rPr>
        <w:t>Les relations avec les propriétaires se font dans le respect du droit de propriété et du cadre convenu. Aucune action sur un bien privé ne peut être présentée comme obligatoire sans fondement légal ou accord de la personne concernée.</w:t>
      </w:r>
    </w:p>
    <w:p>
      <w:pPr>
        <w:spacing w:line="269" w:lineRule="auto" w:after="100"/>
      </w:pPr>
      <w:r>
        <w:rPr>
          <w:rFonts w:ascii="Inter" w:hAnsi="Inter"/>
          <w:b w:val="0"/>
          <w:color w:val="1F2937"/>
          <w:sz w:val="19"/>
        </w:rPr>
        <w:t>Toute communication publique, usage de logo, chiffre, résultat ou annonce de partenariat doit être validé au préalable par les parties.</w:t>
      </w:r>
    </w:p>
    <w:p>
      <w:pPr>
        <w:spacing w:before="180"/>
      </w:pPr>
      <w:r>
        <w:rPr>
          <w:rFonts w:ascii="Manrope" w:hAnsi="Manrope"/>
          <w:b/>
          <w:color w:val="18392F"/>
          <w:sz w:val="24"/>
        </w:rPr>
        <w:t>9. Restitution, durée et conditions financières</w:t>
      </w:r>
    </w:p>
    <w:p>
      <w:pPr>
        <w:spacing w:line="269" w:lineRule="auto" w:after="100"/>
      </w:pPr>
      <w:r>
        <w:rPr>
          <w:rFonts w:ascii="Inter" w:hAnsi="Inter"/>
          <w:b w:val="0"/>
          <w:color w:val="1F2937"/>
          <w:sz w:val="19"/>
        </w:rPr>
        <w:t>Les parties peuvent prévoir réunions, comptes rendus, bilans intermédiaires, rapport final, cartes anonymisées, indicateurs et calendrier de restitution.</w:t>
      </w:r>
    </w:p>
    <w:p>
      <w:pPr>
        <w:spacing w:line="269" w:lineRule="auto" w:after="100"/>
      </w:pPr>
      <w:r>
        <w:rPr>
          <w:rFonts w:ascii="Inter" w:hAnsi="Inter"/>
          <w:b w:val="0"/>
          <w:color w:val="1F2937"/>
          <w:sz w:val="19"/>
        </w:rPr>
        <w:t>La convention précise la durée, les modalités de renouvellement, les conditions financières éventuelles, l’évaluation et les cas de résiliation ou suspension.</w:t>
      </w:r>
    </w:p>
    <w:p>
      <w:r>
        <w:rPr>
          <w:rFonts w:ascii="Manrope" w:hAnsi="Manrope"/>
          <w:b/>
          <w:color w:val="18392F"/>
          <w:sz w:val="24"/>
        </w:rPr>
        <w:t>Annexes recommandées</w:t>
      </w:r>
    </w:p>
    <w:p>
      <w:pPr>
        <w:ind w:left="259"/>
      </w:pPr>
      <w:r>
        <w:rPr>
          <w:rFonts w:ascii="Inter" w:hAnsi="Inter"/>
          <w:b w:val="0"/>
          <w:color w:val="1F2937"/>
          <w:sz w:val="19"/>
        </w:rPr>
        <w:t>□ Périmètre géographique</w:t>
      </w:r>
    </w:p>
    <w:p>
      <w:pPr>
        <w:ind w:left="259"/>
      </w:pPr>
      <w:r>
        <w:rPr>
          <w:rFonts w:ascii="Inter" w:hAnsi="Inter"/>
          <w:b w:val="0"/>
          <w:color w:val="1F2937"/>
          <w:sz w:val="19"/>
        </w:rPr>
        <w:t>□ Référents et contacts</w:t>
      </w:r>
    </w:p>
    <w:p>
      <w:pPr>
        <w:ind w:left="259"/>
      </w:pPr>
      <w:r>
        <w:rPr>
          <w:rFonts w:ascii="Inter" w:hAnsi="Inter"/>
          <w:b w:val="0"/>
          <w:color w:val="1F2937"/>
          <w:sz w:val="19"/>
        </w:rPr>
        <w:t>□ Règles de partage des données</w:t>
      </w:r>
    </w:p>
    <w:p>
      <w:pPr>
        <w:ind w:left="259"/>
      </w:pPr>
      <w:r>
        <w:rPr>
          <w:rFonts w:ascii="Inter" w:hAnsi="Inter"/>
          <w:b w:val="0"/>
          <w:color w:val="1F2937"/>
          <w:sz w:val="19"/>
        </w:rPr>
        <w:t>□ Modèle de fiche signalement</w:t>
      </w:r>
    </w:p>
    <w:p>
      <w:pPr>
        <w:ind w:left="259"/>
      </w:pPr>
      <w:r>
        <w:rPr>
          <w:rFonts w:ascii="Inter" w:hAnsi="Inter"/>
          <w:b w:val="0"/>
          <w:color w:val="1F2937"/>
          <w:sz w:val="19"/>
        </w:rPr>
        <w:t>□ Indicateurs et calendrier de restitution</w:t>
      </w:r>
    </w:p>
    <w:p>
      <w:r>
        <w:rPr>
          <w:rFonts w:ascii="Manrope" w:hAnsi="Manrope"/>
          <w:b/>
          <w:color w:val="18392F"/>
          <w:sz w:val="24"/>
        </w:rPr>
        <w:t>Signatures</w:t>
      </w:r>
    </w:p>
    <w:tbl>
      <w:tblPr>
        <w:tblW w:type="auto" w:w="0"/>
        <w:jc w:val="center"/>
        <w:tblLook w:firstColumn="1" w:firstRow="1" w:lastColumn="0" w:lastRow="0" w:noHBand="0" w:noVBand="1" w:val="04A0"/>
      </w:tblPr>
      <w:tblGrid>
        <w:gridCol w:w="5184"/>
        <w:gridCol w:w="5184"/>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Territoires Vivants France</w:t>
            </w:r>
          </w:p>
        </w:tc>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la partie cocontractante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CONVENTION CADRE COLLECTIVITÉ — modèle interne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