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CADRE PROPRIÉTAIRE</w:t>
      </w:r>
    </w:p>
    <w:p>
      <w:pPr>
        <w:jc w:val="center"/>
      </w:pPr>
      <w:r>
        <w:rPr>
          <w:rFonts w:ascii="Inter" w:hAnsi="Inter"/>
          <w:b w:val="0"/>
          <w:color w:val="667085"/>
          <w:sz w:val="20"/>
        </w:rPr>
        <w:t>Étude préalable, visite, documents, confidentialité et accompagnement</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de travail institutionnel. Toute signature réelle doit être précédée d’une vérification juridique adaptée à la situation, aux parties, au bien, aux responsabilités et au cadre réglementaire applicable.</w:t>
            </w:r>
          </w:p>
        </w:tc>
      </w:tr>
    </w:tbl>
    <w:tbl>
      <w:tblPr>
        <w:tblW w:type="auto" w:w="0"/>
        <w:jc w:val="center"/>
        <w:tblLayout w:type="fixed"/>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Durée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et identification du bien</w:t>
      </w:r>
    </w:p>
    <w:p>
      <w:pPr>
        <w:spacing w:line="269" w:lineRule="auto" w:after="100"/>
      </w:pPr>
      <w:r>
        <w:rPr>
          <w:rFonts w:ascii="Inter" w:hAnsi="Inter"/>
          <w:b w:val="0"/>
          <w:color w:val="1F2937"/>
          <w:sz w:val="19"/>
        </w:rPr>
        <w:t>La convention est conclue entre Territoires Vivants France, association loi 1901 agissant comme Agence Territoriale de Revitalisation Immobilière, et le propriétaire, représentant ou mandataire habilité du bien concerné.</w:t>
      </w:r>
    </w:p>
    <w:p>
      <w:pPr>
        <w:spacing w:line="269" w:lineRule="auto" w:after="100"/>
      </w:pPr>
      <w:r>
        <w:rPr>
          <w:rFonts w:ascii="Inter" w:hAnsi="Inter"/>
          <w:b w:val="0"/>
          <w:color w:val="1F2937"/>
          <w:sz w:val="19"/>
        </w:rPr>
        <w:t>Le bien est désigné par son adresse, sa commune, sa nature, ses références cadastrales si connues et tout élément permettant son identification. Une annexe peut détailler plusieurs biens.</w:t>
      </w:r>
    </w:p>
    <w:p>
      <w:pPr>
        <w:spacing w:before="180"/>
      </w:pPr>
      <w:r>
        <w:rPr>
          <w:rFonts w:ascii="Manrope" w:hAnsi="Manrope"/>
          <w:b/>
          <w:color w:val="18392F"/>
          <w:sz w:val="24"/>
        </w:rPr>
        <w:t>2. Objet de la convention</w:t>
      </w:r>
    </w:p>
    <w:p>
      <w:pPr>
        <w:spacing w:line="269" w:lineRule="auto" w:after="100"/>
      </w:pPr>
      <w:r>
        <w:rPr>
          <w:rFonts w:ascii="Inter" w:hAnsi="Inter"/>
          <w:b w:val="0"/>
          <w:color w:val="1F2937"/>
          <w:sz w:val="19"/>
        </w:rPr>
        <w:t>La convention encadre l’étude préalable du bien, l’analyse des informations transmises, la visite éventuelle, la prise de photographies, la réception de documents et l’accompagnement possible par TVF.</w:t>
      </w:r>
    </w:p>
    <w:p>
      <w:pPr>
        <w:spacing w:line="269" w:lineRule="auto" w:after="100"/>
      </w:pPr>
      <w:r>
        <w:rPr>
          <w:rFonts w:ascii="Inter" w:hAnsi="Inter"/>
          <w:b w:val="0"/>
          <w:color w:val="1F2937"/>
          <w:sz w:val="19"/>
        </w:rPr>
        <w:t>Elle ne constitue ni mandat immobilier, ni mandat de gestion locative, ni mandat de vente ou location, ni promesse de travaux, ni garantie de financement, ni engagement automatique de remise en usage.</w:t>
      </w:r>
    </w:p>
    <w:p>
      <w:pPr>
        <w:spacing w:before="180"/>
      </w:pPr>
      <w:r>
        <w:rPr>
          <w:rFonts w:ascii="Manrope" w:hAnsi="Manrope"/>
          <w:b/>
          <w:color w:val="18392F"/>
          <w:sz w:val="24"/>
        </w:rPr>
        <w:t>3. Déclarations du propriétaire</w:t>
      </w:r>
    </w:p>
    <w:p>
      <w:pPr>
        <w:spacing w:line="269" w:lineRule="auto" w:after="100"/>
      </w:pPr>
      <w:r>
        <w:rPr>
          <w:rFonts w:ascii="Inter" w:hAnsi="Inter"/>
          <w:b w:val="0"/>
          <w:color w:val="1F2937"/>
          <w:sz w:val="19"/>
        </w:rPr>
        <w:t>Le signataire déclare être propriétaire, représentant habilité ou disposer d’un droit suffisant pour échanger sur le bien. Il s’engage à transmettre des informations sincères et à signaler toute difficulté juridique, successorale, locative, technique ou administrative connue.</w:t>
      </w:r>
    </w:p>
    <w:p>
      <w:pPr>
        <w:spacing w:line="269" w:lineRule="auto" w:after="100"/>
      </w:pPr>
      <w:r>
        <w:rPr>
          <w:rFonts w:ascii="Inter" w:hAnsi="Inter"/>
          <w:b w:val="0"/>
          <w:color w:val="1F2937"/>
          <w:sz w:val="19"/>
        </w:rPr>
        <w:t>Lorsque la qualité du signataire reste à confirmer, TVF peut demander tout justificatif utile avant de poursuivre l’instruction.</w:t>
      </w:r>
    </w:p>
    <w:p>
      <w:pPr>
        <w:spacing w:before="180"/>
      </w:pPr>
      <w:r>
        <w:rPr>
          <w:rFonts w:ascii="Manrope" w:hAnsi="Manrope"/>
          <w:b/>
          <w:color w:val="18392F"/>
          <w:sz w:val="24"/>
        </w:rPr>
        <w:t>4. Étude préalable et rôle de TVF</w:t>
      </w:r>
    </w:p>
    <w:p>
      <w:pPr>
        <w:spacing w:line="269" w:lineRule="auto" w:after="100"/>
      </w:pPr>
      <w:r>
        <w:rPr>
          <w:rFonts w:ascii="Inter" w:hAnsi="Inter"/>
          <w:b w:val="0"/>
          <w:color w:val="1F2937"/>
          <w:sz w:val="19"/>
        </w:rPr>
        <w:t>TVF peut ouvrir une fiche interne, classer les informations, analyser la situation apparente, étudier les usages envisageables, rechercher les interlocuteurs utiles et formuler des pistes d’orientation.</w:t>
      </w:r>
    </w:p>
    <w:p>
      <w:pPr>
        <w:spacing w:line="269" w:lineRule="auto" w:after="100"/>
      </w:pPr>
      <w:r>
        <w:rPr>
          <w:rFonts w:ascii="Inter" w:hAnsi="Inter"/>
          <w:b w:val="0"/>
          <w:color w:val="1F2937"/>
          <w:sz w:val="19"/>
        </w:rPr>
        <w:t>TVF agit comme structure d’observation, d’accompagnement, d’orientation et de coordination. Elle ne se substitue pas aux professionnels réglementés, aux autorités compétentes, aux diagnostiqueurs, architectes, notaires, entreprises ou organismes financeurs.</w:t>
      </w:r>
    </w:p>
    <w:p>
      <w:pPr>
        <w:spacing w:before="180"/>
      </w:pPr>
      <w:r>
        <w:rPr>
          <w:rFonts w:ascii="Manrope" w:hAnsi="Manrope"/>
          <w:b/>
          <w:color w:val="18392F"/>
          <w:sz w:val="24"/>
        </w:rPr>
        <w:t>5. Visite, accès et sécurité</w:t>
      </w:r>
    </w:p>
    <w:p>
      <w:pPr>
        <w:spacing w:line="269" w:lineRule="auto" w:after="100"/>
      </w:pPr>
      <w:r>
        <w:rPr>
          <w:rFonts w:ascii="Inter" w:hAnsi="Inter"/>
          <w:b w:val="0"/>
          <w:color w:val="1F2937"/>
          <w:sz w:val="19"/>
        </w:rPr>
        <w:t>Toute visite nécessite l’accord préalable du propriétaire ou de son représentant. Les zones accessibles, la date, les personnes présentes et les conditions de sécurité sont définies avant l’intervention.</w:t>
      </w:r>
    </w:p>
    <w:p>
      <w:pPr>
        <w:spacing w:line="269" w:lineRule="auto" w:after="100"/>
      </w:pPr>
      <w:r>
        <w:rPr>
          <w:rFonts w:ascii="Inter" w:hAnsi="Inter"/>
          <w:b w:val="0"/>
          <w:color w:val="1F2937"/>
          <w:sz w:val="19"/>
        </w:rPr>
        <w:t>TVF peut refuser ou interrompre une visite en cas d’accès incertain, de danger apparent, d’opposition d’un tiers, d’absence d’autorisation claire ou de conditions matérielles insuffisantes.</w:t>
      </w:r>
    </w:p>
    <w:p>
      <w:pPr>
        <w:spacing w:before="180"/>
      </w:pPr>
      <w:r>
        <w:rPr>
          <w:rFonts w:ascii="Manrope" w:hAnsi="Manrope"/>
          <w:b/>
          <w:color w:val="18392F"/>
          <w:sz w:val="24"/>
        </w:rPr>
        <w:t>6. Photographies et documents</w:t>
      </w:r>
    </w:p>
    <w:p>
      <w:pPr>
        <w:spacing w:line="269" w:lineRule="auto" w:after="100"/>
      </w:pPr>
      <w:r>
        <w:rPr>
          <w:rFonts w:ascii="Inter" w:hAnsi="Inter"/>
          <w:b w:val="0"/>
          <w:color w:val="1F2937"/>
          <w:sz w:val="19"/>
        </w:rPr>
        <w:t>Le propriétaire autorise TVF à prendre des photographies strictement nécessaires au suivi interne du dossier. Toute diffusion publique, usage de communication ou transmission extérieure non nécessaire fera l’objet d’un accord spécifique.</w:t>
      </w:r>
    </w:p>
    <w:p>
      <w:pPr>
        <w:spacing w:line="269" w:lineRule="auto" w:after="100"/>
      </w:pPr>
      <w:r>
        <w:rPr>
          <w:rFonts w:ascii="Inter" w:hAnsi="Inter"/>
          <w:b w:val="0"/>
          <w:color w:val="1F2937"/>
          <w:sz w:val="19"/>
        </w:rPr>
        <w:t>TVF peut demander des documents utiles : titre de propriété, taxe foncière, diagnostics, plans, photos, devis, courriers, documents notariaux, assurance, coordonnées de mandataire ou toute pièce permettant de comprendre la situation.</w:t>
      </w:r>
    </w:p>
    <w:p>
      <w:pPr>
        <w:spacing w:before="180"/>
      </w:pPr>
      <w:r>
        <w:rPr>
          <w:rFonts w:ascii="Manrope" w:hAnsi="Manrope"/>
          <w:b/>
          <w:color w:val="18392F"/>
          <w:sz w:val="24"/>
        </w:rPr>
        <w:t>7. Confidentialité et données personnelles</w:t>
      </w:r>
    </w:p>
    <w:p>
      <w:pPr>
        <w:spacing w:line="269" w:lineRule="auto" w:after="100"/>
      </w:pPr>
      <w:r>
        <w:rPr>
          <w:rFonts w:ascii="Inter" w:hAnsi="Inter"/>
          <w:b w:val="0"/>
          <w:color w:val="1F2937"/>
          <w:sz w:val="19"/>
        </w:rPr>
        <w:t>Les parties s’engagent à préserver la confidentialité des documents, coordonnées, photos, informations patrimoniales, échanges et difficultés personnelles ou juridiques portées à leur connaissance.</w:t>
      </w:r>
    </w:p>
    <w:p>
      <w:pPr>
        <w:spacing w:line="269" w:lineRule="auto" w:after="100"/>
      </w:pPr>
      <w:r>
        <w:rPr>
          <w:rFonts w:ascii="Inter" w:hAnsi="Inter"/>
          <w:b w:val="0"/>
          <w:color w:val="1F2937"/>
          <w:sz w:val="19"/>
        </w:rPr>
        <w:t>Les données personnelles sont traitées uniquement pour l’étude, l’orientation et le suivi du dossier. Les personnes concernées peuvent demander l’accès, la rectification ou l’exercice de leurs droits auprès de TVF.</w:t>
      </w:r>
    </w:p>
    <w:p>
      <w:pPr>
        <w:spacing w:before="180"/>
      </w:pPr>
      <w:r>
        <w:rPr>
          <w:rFonts w:ascii="Manrope" w:hAnsi="Manrope"/>
          <w:b/>
          <w:color w:val="18392F"/>
          <w:sz w:val="24"/>
        </w:rPr>
        <w:t>8. Responsabilités et assurances</w:t>
      </w:r>
    </w:p>
    <w:p>
      <w:pPr>
        <w:spacing w:line="269" w:lineRule="auto" w:after="100"/>
      </w:pPr>
      <w:r>
        <w:rPr>
          <w:rFonts w:ascii="Inter" w:hAnsi="Inter"/>
          <w:b w:val="0"/>
          <w:color w:val="1F2937"/>
          <w:sz w:val="19"/>
        </w:rPr>
        <w:t>Le propriétaire conserve la responsabilité de son bien, de son état, de ses assurances et des informations transmises. TVF intervient dans les limites de sa mission d’accompagnement.</w:t>
      </w:r>
    </w:p>
    <w:p>
      <w:pPr>
        <w:spacing w:line="269" w:lineRule="auto" w:after="100"/>
      </w:pPr>
      <w:r>
        <w:rPr>
          <w:rFonts w:ascii="Inter" w:hAnsi="Inter"/>
          <w:b w:val="0"/>
          <w:color w:val="1F2937"/>
          <w:sz w:val="19"/>
        </w:rPr>
        <w:t>Chaque partenaire ou professionnel intervenant conserve la responsabilité de sa mission et doit disposer des assurances, qualifications et autorisations nécessaires.</w:t>
      </w:r>
    </w:p>
    <w:p>
      <w:pPr>
        <w:spacing w:before="180"/>
      </w:pPr>
      <w:r>
        <w:rPr>
          <w:rFonts w:ascii="Manrope" w:hAnsi="Manrope"/>
          <w:b/>
          <w:color w:val="18392F"/>
          <w:sz w:val="24"/>
        </w:rPr>
        <w:t>9. Durée, fin et suites possibles</w:t>
      </w:r>
    </w:p>
    <w:p>
      <w:pPr>
        <w:spacing w:line="269" w:lineRule="auto" w:after="100"/>
      </w:pPr>
      <w:r>
        <w:rPr>
          <w:rFonts w:ascii="Inter" w:hAnsi="Inter"/>
          <w:b w:val="0"/>
          <w:color w:val="1F2937"/>
          <w:sz w:val="19"/>
        </w:rPr>
        <w:t>La convention est conclue pour une durée à compléter. Elle peut prendre fin à la demande d’une partie, en cas d’absence de réponse, d’impossibilité juridique ou technique, de risque non maîtrisé ou de situation ne relevant pas de TVF.</w:t>
      </w:r>
    </w:p>
    <w:p>
      <w:pPr>
        <w:spacing w:line="269" w:lineRule="auto" w:after="100"/>
      </w:pPr>
      <w:r>
        <w:rPr>
          <w:rFonts w:ascii="Inter" w:hAnsi="Inter"/>
          <w:b w:val="0"/>
          <w:color w:val="1F2937"/>
          <w:sz w:val="19"/>
        </w:rPr>
        <w:t>Les suites possibles sont : poursuite de l’instruction, visite complémentaire, orientation partenaire, proposition TVF, convention spécifique, mise à disposition, classement sans suite ou autre solution adaptée.</w:t>
      </w:r>
    </w:p>
    <w:p>
      <w:r>
        <w:rPr>
          <w:rFonts w:ascii="Manrope" w:hAnsi="Manrope"/>
          <w:b/>
          <w:color w:val="18392F"/>
          <w:sz w:val="24"/>
        </w:rPr>
        <w:t>Annexes recommandées</w:t>
      </w:r>
    </w:p>
    <w:p>
      <w:pPr>
        <w:ind w:left="259"/>
      </w:pPr>
      <w:r>
        <w:rPr>
          <w:rFonts w:ascii="Inter" w:hAnsi="Inter"/>
          <w:b w:val="0"/>
          <w:color w:val="1F2937"/>
          <w:sz w:val="19"/>
        </w:rPr>
        <w:t>□ Désignation du bien</w:t>
      </w:r>
    </w:p>
    <w:p>
      <w:pPr>
        <w:ind w:left="259"/>
      </w:pPr>
      <w:r>
        <w:rPr>
          <w:rFonts w:ascii="Inter" w:hAnsi="Inter"/>
          <w:b w:val="0"/>
          <w:color w:val="1F2937"/>
          <w:sz w:val="19"/>
        </w:rPr>
        <w:t>□ Liste des documents transmis</w:t>
      </w:r>
    </w:p>
    <w:p>
      <w:pPr>
        <w:ind w:left="259"/>
      </w:pPr>
      <w:r>
        <w:rPr>
          <w:rFonts w:ascii="Inter" w:hAnsi="Inter"/>
          <w:b w:val="0"/>
          <w:color w:val="1F2937"/>
          <w:sz w:val="19"/>
        </w:rPr>
        <w:t>□ Autorisation de visite et photos</w:t>
      </w:r>
    </w:p>
    <w:p>
      <w:pPr>
        <w:ind w:left="259"/>
      </w:pPr>
      <w:r>
        <w:rPr>
          <w:rFonts w:ascii="Inter" w:hAnsi="Inter"/>
          <w:b w:val="0"/>
          <w:color w:val="1F2937"/>
          <w:sz w:val="19"/>
        </w:rPr>
        <w:t>□ Fin d’accompagnement ou classement sans suite</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CADRE PROPRIÉTAIRE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