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7920"/>
      </w:tblGrid>
      <w:tr>
        <w:tc>
          <w:tcPr>
            <w:tcW w:type="dxa" w:w="5184"/>
          </w:tcPr>
          <w:p>
            <w:r>
              <w:drawing>
                <wp:inline xmlns:a="http://schemas.openxmlformats.org/drawingml/2006/main" xmlns:pic="http://schemas.openxmlformats.org/drawingml/2006/picture">
                  <wp:extent cx="914400" cy="28388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territoires-vivants-france-w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2838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Manrope" w:hAnsi="Manrope"/>
                <w:b/>
                <w:color w:val="18392F"/>
                <w:sz w:val="24"/>
              </w:rPr>
              <w:t>Territoires Vivants France</w:t>
              <w:br/>
            </w:r>
            <w:r>
              <w:rPr>
                <w:rFonts w:ascii="Inter" w:hAnsi="Inter"/>
                <w:b w:val="0"/>
                <w:color w:val="1F2937"/>
                <w:sz w:val="17"/>
              </w:rPr>
              <w:t>Agence Territoriale de Revitalisation Immobilière</w:t>
              <w:br/>
            </w:r>
            <w:r>
              <w:rPr>
                <w:rFonts w:ascii="Inter" w:hAnsi="Inter"/>
                <w:b w:val="0"/>
                <w:color w:val="667085"/>
                <w:sz w:val="14"/>
              </w:rPr>
              <w:t>25 rue Élise Gervais, 42000 Saint-Étienne | 04 65 81 54 69 | contact@territoiresvivantsfrance.fr</w:t>
              <w:br/>
              <w:t>RNA W922015538 | SIRET 897 226 138 00018</w:t>
            </w:r>
          </w:p>
        </w:tc>
      </w:tr>
    </w:tbl>
    <w:p>
      <w:pPr>
        <w:spacing w:before="200"/>
        <w:jc w:val="center"/>
      </w:pPr>
      <w:r>
        <w:rPr>
          <w:rFonts w:ascii="Manrope" w:hAnsi="Manrope"/>
          <w:b/>
          <w:color w:val="18392F"/>
          <w:sz w:val="36"/>
        </w:rPr>
        <w:t>CONVENTION RESSOURCES ET MATÉRIAUX</w:t>
      </w:r>
    </w:p>
    <w:p>
      <w:pPr>
        <w:jc w:val="center"/>
      </w:pPr>
      <w:r>
        <w:rPr>
          <w:rFonts w:ascii="Inter" w:hAnsi="Inter"/>
          <w:b w:val="0"/>
          <w:color w:val="667085"/>
          <w:sz w:val="20"/>
        </w:rPr>
        <w:t>Don, collecte, stockage, réemploi et affectation des ressources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BF8EF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>
              <w:rPr>
                <w:color w:val="667085"/>
                <w:sz w:val="16"/>
              </w:rPr>
            </w:r>
            <w:r>
              <w:rPr>
                <w:rFonts w:ascii="Inter" w:hAnsi="Inter"/>
                <w:b w:val="0"/>
                <w:color w:val="667085"/>
                <w:sz w:val="16"/>
              </w:rPr>
              <w:t>MODÈLE INTERNE À ADAPTER — Document de travail institutionnel. Toute signature réelle doit être précédée d’une vérification juridique adaptée à la situation, aux parties, au bien, aux responsabilités et au cadre réglementaire applicable.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480"/>
      </w:tblGrid>
      <w:tr>
        <w:tc>
          <w:tcPr>
            <w:tcW w:type="dxa" w:w="5184"/>
            <w:shd w:fill="F3F7F2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Référence interne TVF</w:t>
            </w:r>
          </w:p>
        </w:tc>
        <w:tc>
          <w:tcPr>
            <w:tcW w:type="dxa" w:w="5184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[à compléter]</w:t>
            </w:r>
          </w:p>
        </w:tc>
      </w:tr>
      <w:tr>
        <w:tc>
          <w:tcPr>
            <w:tcW w:type="dxa" w:w="5184"/>
            <w:shd w:fill="F3F7F2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Parties signataires</w:t>
            </w:r>
          </w:p>
        </w:tc>
        <w:tc>
          <w:tcPr>
            <w:tcW w:type="dxa" w:w="5184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[à compléter]</w:t>
            </w:r>
          </w:p>
        </w:tc>
      </w:tr>
      <w:tr>
        <w:tc>
          <w:tcPr>
            <w:tcW w:type="dxa" w:w="5184"/>
            <w:shd w:fill="F3F7F2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Date d’effet</w:t>
            </w:r>
          </w:p>
        </w:tc>
        <w:tc>
          <w:tcPr>
            <w:tcW w:type="dxa" w:w="5184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[à compléter]</w:t>
            </w:r>
          </w:p>
        </w:tc>
      </w:tr>
      <w:tr>
        <w:tc>
          <w:tcPr>
            <w:tcW w:type="dxa" w:w="5184"/>
            <w:shd w:fill="F3F7F2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Durée</w:t>
            </w:r>
          </w:p>
        </w:tc>
        <w:tc>
          <w:tcPr>
            <w:tcW w:type="dxa" w:w="5184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[à compléter]</w:t>
            </w:r>
          </w:p>
        </w:tc>
      </w:tr>
    </w:tbl>
    <w:p>
      <w:pPr>
        <w:spacing w:before="180"/>
      </w:pPr>
      <w:r>
        <w:rPr>
          <w:rFonts w:ascii="Manrope" w:hAnsi="Manrope"/>
          <w:b/>
          <w:color w:val="18392F"/>
          <w:sz w:val="24"/>
        </w:rPr>
        <w:t>1. Parties et objet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La convention est conclue entre TVF et le donateur, partenaire, entreprise, collectivité, association ou propriétaire proposant des matériaux, équipements, mobiliers, stocks ou ressources.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Elle organise la proposition, l’étude, l’acceptation éventuelle, la collecte, le stockage, le référencement, la mise à disposition ou l’affectation de ressources dans le cadre des missions de TVF.</w:t>
      </w:r>
    </w:p>
    <w:p>
      <w:pPr>
        <w:spacing w:before="180"/>
      </w:pPr>
      <w:r>
        <w:rPr>
          <w:rFonts w:ascii="Manrope" w:hAnsi="Manrope"/>
          <w:b/>
          <w:color w:val="18392F"/>
          <w:sz w:val="24"/>
        </w:rPr>
        <w:t>2. Ressources concernées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Les ressources peuvent comprendre notamment bois, carrelage, portes, fenêtres, sanitaires, mobilier, luminaires, outillage, équipements de bureau, matériaux de finition, fins de série, stocks inutilisés ou éléments de réemploi.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Une annexe inventaire précise la nature, la quantité, l’état apparent, la localisation, les photos, la disponibilité, la valeur estimative si connue et les contraintes de manutention ou transport.</w:t>
      </w:r>
    </w:p>
    <w:p>
      <w:pPr>
        <w:spacing w:before="180"/>
      </w:pPr>
      <w:r>
        <w:rPr>
          <w:rFonts w:ascii="Manrope" w:hAnsi="Manrope"/>
          <w:b/>
          <w:color w:val="18392F"/>
          <w:sz w:val="24"/>
        </w:rPr>
        <w:t>3. Mode de contribution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La contribution peut prendre la forme d’un don, d’une mise à disposition, d’un prêt, d’un dépôt temporaire, d’une liquidation solidaire ou d’un mécénat en nature lorsque les conditions sont réunies.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Le transfert ou non de propriété doit être clairement indiqué. À défaut de précision contraire, une ressource acceptée et remise à TVF est destinée à être affectée par TVF selon les besoins de ses projets.</w:t>
      </w:r>
    </w:p>
    <w:p>
      <w:pPr>
        <w:spacing w:before="180"/>
      </w:pPr>
      <w:r>
        <w:rPr>
          <w:rFonts w:ascii="Manrope" w:hAnsi="Manrope"/>
          <w:b/>
          <w:color w:val="18392F"/>
          <w:sz w:val="24"/>
        </w:rPr>
        <w:t>4. Contrôle préalable et refus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TVF se réserve le droit d’accepter ou refuser toute proposition selon l’état, la sécurité, l’utilité, la conformité, les possibilités de transport, les capacités de stockage et les besoins réellement identifiés.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Sont notamment refusables les ressources dangereuses, polluées, non conformes, trop dégradées, inutilisables, sans utilité identifiée ou impossibles à collecter ou stocker dans de bonnes conditions.</w:t>
      </w:r>
    </w:p>
    <w:p>
      <w:pPr>
        <w:spacing w:before="180"/>
      </w:pPr>
      <w:r>
        <w:rPr>
          <w:rFonts w:ascii="Manrope" w:hAnsi="Manrope"/>
          <w:b/>
          <w:color w:val="18392F"/>
          <w:sz w:val="24"/>
        </w:rPr>
        <w:t>5. Collecte, transport et stockage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Les modalités de collecte sont définies avant intervention : lieu, date, responsable, accès, chargement, moyens matériels, sécurité, coût éventuel et responsabilité pendant le transport.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Le stockage peut être assuré par TVF, le proposant ou un partenaire conventionné. Le lieu, la durée, les accès, les assurances et les conditions de conservation sont précisés lorsque nécessaire.</w:t>
      </w:r>
    </w:p>
    <w:p>
      <w:pPr>
        <w:spacing w:before="180"/>
      </w:pPr>
      <w:r>
        <w:rPr>
          <w:rFonts w:ascii="Manrope" w:hAnsi="Manrope"/>
          <w:b/>
          <w:color w:val="18392F"/>
          <w:sz w:val="24"/>
        </w:rPr>
        <w:t>6. Affectation et traçabilité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Les ressources acceptées sont affectées prioritairement à des projets suivis par TVF, actions territoriales identifiées, partenaires conventionnés ou opérations correspondant à l’objet de l’association.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TVF peut établir bon de remise, fiche d’entrée, inventaire, fiche de sortie ou justificatif d’affectation. La traçabilité reste proportionnée à la nature et à la valeur des ressources.</w:t>
      </w:r>
    </w:p>
    <w:p>
      <w:pPr>
        <w:spacing w:before="180"/>
      </w:pPr>
      <w:r>
        <w:rPr>
          <w:rFonts w:ascii="Manrope" w:hAnsi="Manrope"/>
          <w:b/>
          <w:color w:val="18392F"/>
          <w:sz w:val="24"/>
        </w:rPr>
        <w:t>7. Fiscalité, mécénat et communication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La contribution ne donne pas automatiquement droit à un avantage fiscal ou à un reçu fiscal. Toute qualification de mécénat doit être vérifiée selon la réglementation applicable et la situation des parties.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Le nom, le logo, l’image ou les informations commerciales du partenaire ne peuvent être utilisés en communication publique qu’avec accord préalable.</w:t>
      </w:r>
    </w:p>
    <w:p>
      <w:pPr>
        <w:spacing w:before="180"/>
      </w:pPr>
      <w:r>
        <w:rPr>
          <w:rFonts w:ascii="Manrope" w:hAnsi="Manrope"/>
          <w:b/>
          <w:color w:val="18392F"/>
          <w:sz w:val="24"/>
        </w:rPr>
        <w:t>8. Responsabilités, assurances et confidentialité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Chaque partie demeure responsable des opérations qu’elle réalise directement. Les intervenants professionnels doivent disposer des assurances et qualifications nécessaires.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Les informations non publiques relatives aux stocks, prix, volumes, contraintes internes, coordonnées ou projets suivis sont confidentielles, sauf nécessité d’exécution ou obligation légale.</w:t>
      </w:r>
    </w:p>
    <w:p>
      <w:pPr>
        <w:spacing w:before="180"/>
      </w:pPr>
      <w:r>
        <w:rPr>
          <w:rFonts w:ascii="Manrope" w:hAnsi="Manrope"/>
          <w:b/>
          <w:color w:val="18392F"/>
          <w:sz w:val="24"/>
        </w:rPr>
        <w:t>9. Durée et résiliation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La convention peut être ponctuelle ou conclue pour une durée déterminée. Elle peut être modifiée par écrit si les conditions de contribution, stockage, transport ou affectation évoluent.</w:t>
      </w:r>
    </w:p>
    <w:p>
      <w:pPr>
        <w:spacing w:line="269" w:lineRule="auto" w:after="100"/>
      </w:pPr>
      <w:r>
        <w:rPr>
          <w:rFonts w:ascii="Inter" w:hAnsi="Inter"/>
          <w:b w:val="0"/>
          <w:color w:val="1F2937"/>
          <w:sz w:val="19"/>
        </w:rPr>
        <w:t>TVF peut cesser la prise en charge lorsqu’une ressource devient inutilisable, non conforme, impossible à stocker, non affectable ou contraire à ses missions.</w:t>
      </w:r>
    </w:p>
    <w:p>
      <w:r>
        <w:rPr>
          <w:rFonts w:ascii="Manrope" w:hAnsi="Manrope"/>
          <w:b/>
          <w:color w:val="18392F"/>
          <w:sz w:val="24"/>
        </w:rPr>
        <w:t>Annexes recommandées</w:t>
      </w:r>
    </w:p>
    <w:p>
      <w:pPr>
        <w:ind w:left="259"/>
      </w:pPr>
      <w:r>
        <w:rPr>
          <w:rFonts w:ascii="Inter" w:hAnsi="Inter"/>
          <w:b w:val="0"/>
          <w:color w:val="1F2937"/>
          <w:sz w:val="19"/>
        </w:rPr>
        <w:t>□ Inventaire des ressources</w:t>
      </w:r>
    </w:p>
    <w:p>
      <w:pPr>
        <w:ind w:left="259"/>
      </w:pPr>
      <w:r>
        <w:rPr>
          <w:rFonts w:ascii="Inter" w:hAnsi="Inter"/>
          <w:b w:val="0"/>
          <w:color w:val="1F2937"/>
          <w:sz w:val="19"/>
        </w:rPr>
        <w:t>□ Bon de remise ou collecte</w:t>
      </w:r>
    </w:p>
    <w:p>
      <w:pPr>
        <w:ind w:left="259"/>
      </w:pPr>
      <w:r>
        <w:rPr>
          <w:rFonts w:ascii="Inter" w:hAnsi="Inter"/>
          <w:b w:val="0"/>
          <w:color w:val="1F2937"/>
          <w:sz w:val="19"/>
        </w:rPr>
        <w:t>□ Fiche de stockage</w:t>
      </w:r>
    </w:p>
    <w:p>
      <w:pPr>
        <w:ind w:left="259"/>
      </w:pPr>
      <w:r>
        <w:rPr>
          <w:rFonts w:ascii="Inter" w:hAnsi="Inter"/>
          <w:b w:val="0"/>
          <w:color w:val="1F2937"/>
          <w:sz w:val="19"/>
        </w:rPr>
        <w:t>□ Fiche de sortie ou affectation projet</w:t>
      </w:r>
    </w:p>
    <w:p>
      <w:r>
        <w:rPr>
          <w:rFonts w:ascii="Manrope" w:hAnsi="Manrope"/>
          <w:b/>
          <w:color w:val="18392F"/>
          <w:sz w:val="24"/>
        </w:rPr>
        <w:t>Signatures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F3F7F2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Pour Territoires Vivants France</w:t>
            </w:r>
          </w:p>
        </w:tc>
        <w:tc>
          <w:tcPr>
            <w:tcW w:type="dxa" w:w="5184"/>
            <w:shd w:fill="F3F7F2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/>
                <w:color w:val="18392F"/>
                <w:sz w:val="17"/>
              </w:rPr>
              <w:t>Pour la partie cocontractante</w:t>
            </w:r>
          </w:p>
        </w:tc>
      </w:tr>
      <w:tr>
        <w:tc>
          <w:tcPr>
            <w:tcW w:type="dxa" w:w="5184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Nom, qualité, date</w:t>
            </w:r>
          </w:p>
        </w:tc>
        <w:tc>
          <w:tcPr>
            <w:tcW w:type="dxa" w:w="5184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Nom, qualité, date</w:t>
            </w:r>
          </w:p>
        </w:tc>
      </w:tr>
      <w:tr>
        <w:tc>
          <w:tcPr>
            <w:tcW w:type="dxa" w:w="5184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Signature</w:t>
            </w:r>
          </w:p>
        </w:tc>
        <w:tc>
          <w:tcPr>
            <w:tcW w:type="dxa" w:w="5184"/>
            <w:vAlign w:val="center"/>
            <w:tcBorders>
              <w:top w:val="single" w:sz="8" w:color="D9E0DC"/>
              <w:left w:val="single" w:sz="8" w:color="D9E0DC"/>
              <w:bottom w:val="single" w:sz="8" w:color="D9E0DC"/>
              <w:right w:val="single" w:sz="8" w:color="D9E0DC"/>
            </w:tcBorders>
          </w:tcPr>
          <w:p>
            <w:pPr>
              <w:spacing w:after="0"/>
            </w:pPr>
            <w:r/>
            <w:r>
              <w:rPr>
                <w:rFonts w:ascii="Inter" w:hAnsi="Inter"/>
                <w:b w:val="0"/>
                <w:color w:val="1F2937"/>
                <w:sz w:val="17"/>
              </w:rPr>
              <w:t>Signature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b w:val="0"/>
        <w:color w:val="667085"/>
        <w:sz w:val="14"/>
      </w:rPr>
      <w:t>Territoires Vivants France — CONVENTION RESSOURCES ET MATÉRIAUX — modèle interne confidentiel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