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Don d'invendus, retours et fins de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TVF-ST-NEGOCE-09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Grande surface de bricolage, negoce materiaux ou fournisseur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Invendus, retours, fins de series, stocks dormants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Criteres d'acceptation; Fiche contribution entreprise; Bordereau don materiaux; Presentation du dispositif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cooperation - valorisation d'invendus et de stocks reutilisables</w:t>
      </w:r>
    </w:p>
    <w:p>
      <w:r>
        <w:t>Madame, Monsieur,</w:t>
      </w:r>
    </w:p>
    <w:p>
      <w:pPr>
        <w:jc w:val="both"/>
      </w:pPr>
      <w:r>
        <w:t>TVF souhaite eviter que des ressources encore utiles soient detruites ou immobilisees alors qu'elles peuvent contribuer a des projets locaux : renovation de locaux associatifs, ateliers, chantiers solidaires ou amenagements de proximite.</w:t>
      </w:r>
    </w:p>
    <w:p>
      <w:pPr>
        <w:jc w:val="both"/>
      </w:pPr>
      <w:r>
        <w:t>Nous souhaiterions echanger avec vous sur la possibilite de mettre en place une procedure de signalement et de collecte d'invendus, retours, fins de series ou stocks dormants reutilisables.</w:t>
      </w:r>
    </w:p>
    <w:p>
      <w:pPr>
        <w:jc w:val="both"/>
      </w:pPr>
      <w:r>
        <w:t>Cette cooperation peut contribuer a la reduction du gaspillage, a la valorisation RSE de votre enseigne et au soutien de projets visibles sur le territoire.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Liste de produits acceptables definie ensemble</w:t>
      </w:r>
    </w:p>
    <w:p>
      <w:pPr>
        <w:ind w:left="283" w:hanging="142"/>
      </w:pPr>
      <w:r>
        <w:rPr>
          <w:b/>
        </w:rPr>
        <w:t xml:space="preserve">- </w:t>
      </w:r>
      <w:r>
        <w:t>Exclusion des produits dangereux ou non conformes</w:t>
      </w:r>
    </w:p>
    <w:p>
      <w:pPr>
        <w:ind w:left="283" w:hanging="142"/>
      </w:pPr>
      <w:r>
        <w:rPr>
          <w:b/>
        </w:rPr>
        <w:t xml:space="preserve">- </w:t>
      </w:r>
      <w:r>
        <w:t>Collecte planifiee</w:t>
      </w:r>
    </w:p>
    <w:p>
      <w:pPr>
        <w:ind w:left="283" w:hanging="142"/>
      </w:pPr>
      <w:r>
        <w:rPr>
          <w:b/>
        </w:rPr>
        <w:t xml:space="preserve">- </w:t>
      </w:r>
      <w:r>
        <w:t>Bordereau de contribution</w:t>
      </w:r>
    </w:p>
    <w:p>
      <w:pPr>
        <w:ind w:left="283" w:hanging="142"/>
      </w:pPr>
      <w:r>
        <w:rPr>
          <w:b/>
        </w:rPr>
        <w:t xml:space="preserve">- </w:t>
      </w:r>
      <w:r>
        <w:t>Usage affecte par TVF a des projets valides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Criteres d'acceptation</w:t>
      </w:r>
    </w:p>
    <w:p>
      <w:pPr>
        <w:ind w:left="283" w:hanging="142"/>
      </w:pPr>
      <w:r>
        <w:rPr>
          <w:b/>
        </w:rPr>
        <w:t xml:space="preserve">- </w:t>
      </w:r>
      <w:r>
        <w:t>Fiche contribution entreprise</w:t>
      </w:r>
    </w:p>
    <w:p>
      <w:pPr>
        <w:ind w:left="283" w:hanging="142"/>
      </w:pPr>
      <w:r>
        <w:rPr>
          <w:b/>
        </w:rPr>
        <w:t xml:space="preserve">- </w:t>
      </w:r>
      <w:r>
        <w:t>Bordereau don materiaux</w:t>
      </w:r>
    </w:p>
    <w:p>
      <w:pPr>
        <w:ind w:left="283" w:hanging="142"/>
      </w:pPr>
      <w:r>
        <w:rPr>
          <w:b/>
        </w:rPr>
        <w:t xml:space="preserve">- </w:t>
      </w:r>
      <w:r>
        <w:t>Presentation du dispositif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