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TVF-CONV-02</w:t>
      </w:r>
    </w:p>
    <w:p>
      <w:pPr>
        <w:keepNext/>
        <w:spacing w:before="0" w:after="80" w:line="276" w:lineRule="auto"/>
      </w:pPr>
      <w:r>
        <w:rPr>
          <w:rFonts w:ascii="Calibri" w:hAnsi="Calibri"/>
          <w:b/>
          <w:i w:val="0"/>
          <w:color w:val="09223A"/>
          <w:sz w:val="40"/>
        </w:rPr>
        <w:t>Convention type de mise a disposition d'un bien</w:t>
      </w:r>
    </w:p>
    <w:p>
      <w:pPr>
        <w:spacing w:before="0" w:after="240" w:line="276" w:lineRule="auto"/>
      </w:pPr>
      <w:r>
        <w:rPr>
          <w:rFonts w:ascii="Calibri" w:hAnsi="Calibri"/>
          <w:b w:val="0"/>
          <w:i w:val="0"/>
          <w:color w:val="5A646C"/>
          <w:sz w:val="22"/>
        </w:rPr>
        <w:t>Encadrer l'etude ou l'usage temporaire d'un logement, commerce, local, batiment, terrain ou friche.</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TVF-CONV-02</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Proprietaire, bailleur, personne morale, collectivite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Definir le cadre d'etude, de visite, de securisation, de remise en usage ou d'occupation temporaire d'un bien.</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Propriete : le proprietaire conserve la pleine propriete du bien.</w:t>
      </w:r>
    </w:p>
    <w:p>
      <w:pPr>
        <w:pStyle w:val="ListBullet"/>
        <w:spacing w:after="60" w:line="276" w:lineRule="auto"/>
      </w:pPr>
      <w:r>
        <w:rPr>
          <w:rFonts w:ascii="Calibri" w:hAnsi="Calibri"/>
          <w:b w:val="0"/>
          <w:i w:val="0"/>
          <w:color w:val="1E272E"/>
        </w:rPr>
        <w:t>Usage : le droit d'usage eventuel est limite a l'objet, a la duree et aux conditions fixees dans la convention.</w:t>
      </w:r>
    </w:p>
    <w:p>
      <w:pPr>
        <w:pStyle w:val="ListBullet"/>
        <w:spacing w:after="60" w:line="276" w:lineRule="auto"/>
      </w:pPr>
      <w:r>
        <w:rPr>
          <w:rFonts w:ascii="Calibri" w:hAnsi="Calibri"/>
          <w:b w:val="0"/>
          <w:i w:val="0"/>
          <w:color w:val="1E272E"/>
        </w:rPr>
        <w:t>Etat initial : un etat descriptif, des photos et les contraintes connues sont annexes.</w:t>
      </w:r>
    </w:p>
    <w:p>
      <w:pPr>
        <w:pStyle w:val="ListBullet"/>
        <w:spacing w:after="60" w:line="276" w:lineRule="auto"/>
      </w:pPr>
      <w:r>
        <w:rPr>
          <w:rFonts w:ascii="Calibri" w:hAnsi="Calibri"/>
          <w:b w:val="0"/>
          <w:i w:val="0"/>
          <w:color w:val="1E272E"/>
        </w:rPr>
        <w:t>Travaux : aucune intervention technique n'est realisee sans accord ecrit, devis, assurance et validation des autorisations necessaires.</w:t>
      </w:r>
    </w:p>
    <w:p>
      <w:pPr>
        <w:pStyle w:val="ListBullet"/>
        <w:spacing w:after="60" w:line="276" w:lineRule="auto"/>
      </w:pPr>
      <w:r>
        <w:rPr>
          <w:rFonts w:ascii="Calibri" w:hAnsi="Calibri"/>
          <w:b w:val="0"/>
          <w:i w:val="0"/>
          <w:color w:val="1E272E"/>
        </w:rPr>
        <w:t>Assurance : les assurances applicables sont precisees avant tout acces ou usage.</w:t>
      </w:r>
    </w:p>
    <w:p>
      <w:pPr>
        <w:pStyle w:val="ListBullet"/>
        <w:spacing w:after="60" w:line="276" w:lineRule="auto"/>
      </w:pPr>
      <w:r>
        <w:rPr>
          <w:rFonts w:ascii="Calibri" w:hAnsi="Calibri"/>
          <w:b w:val="0"/>
          <w:i w:val="0"/>
          <w:color w:val="1E272E"/>
        </w:rPr>
        <w:t>Restitution : les conditions de sortie, de remise des cles et de restitution du bien sont prevues.</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Justificatif de propriete ou mandat</w:t>
      </w:r>
    </w:p>
    <w:p>
      <w:pPr>
        <w:pStyle w:val="ListBullet"/>
        <w:spacing w:after="60" w:line="276" w:lineRule="auto"/>
      </w:pPr>
      <w:r>
        <w:rPr>
          <w:rFonts w:ascii="Calibri" w:hAnsi="Calibri"/>
          <w:b w:val="0"/>
          <w:i w:val="0"/>
          <w:color w:val="1E272E"/>
        </w:rPr>
        <w:t>Photos</w:t>
      </w:r>
    </w:p>
    <w:p>
      <w:pPr>
        <w:pStyle w:val="ListBullet"/>
        <w:spacing w:after="60" w:line="276" w:lineRule="auto"/>
      </w:pPr>
      <w:r>
        <w:rPr>
          <w:rFonts w:ascii="Calibri" w:hAnsi="Calibri"/>
          <w:b w:val="0"/>
          <w:i w:val="0"/>
          <w:color w:val="1E272E"/>
        </w:rPr>
        <w:t>Etat des lieux</w:t>
      </w:r>
    </w:p>
    <w:p>
      <w:pPr>
        <w:pStyle w:val="ListBullet"/>
        <w:spacing w:after="60" w:line="276" w:lineRule="auto"/>
      </w:pPr>
      <w:r>
        <w:rPr>
          <w:rFonts w:ascii="Calibri" w:hAnsi="Calibri"/>
          <w:b w:val="0"/>
          <w:i w:val="0"/>
          <w:color w:val="1E272E"/>
        </w:rPr>
        <w:t>Diagnostics disponibles</w:t>
      </w:r>
    </w:p>
    <w:p>
      <w:pPr>
        <w:pStyle w:val="ListBullet"/>
        <w:spacing w:after="60" w:line="276" w:lineRule="auto"/>
      </w:pPr>
      <w:r>
        <w:rPr>
          <w:rFonts w:ascii="Calibri" w:hAnsi="Calibri"/>
          <w:b w:val="0"/>
          <w:i w:val="0"/>
          <w:color w:val="1E272E"/>
        </w:rPr>
        <w:t>Scenario d'usage</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