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TVF-CONV-05</w:t>
      </w:r>
    </w:p>
    <w:p>
      <w:pPr>
        <w:keepNext/>
        <w:spacing w:before="0" w:after="80" w:line="276" w:lineRule="auto"/>
      </w:pPr>
      <w:r>
        <w:rPr>
          <w:rFonts w:ascii="Calibri" w:hAnsi="Calibri"/>
          <w:b/>
          <w:i w:val="0"/>
          <w:color w:val="09223A"/>
          <w:sz w:val="40"/>
        </w:rPr>
        <w:t>Convention type de soutien financier ou mecanat</w:t>
      </w:r>
    </w:p>
    <w:p>
      <w:pPr>
        <w:spacing w:before="0" w:after="240" w:line="276" w:lineRule="auto"/>
      </w:pPr>
      <w:r>
        <w:rPr>
          <w:rFonts w:ascii="Calibri" w:hAnsi="Calibri"/>
          <w:b w:val="0"/>
          <w:i w:val="0"/>
          <w:color w:val="5A646C"/>
          <w:sz w:val="22"/>
        </w:rPr>
        <w:t>Encadrer un soutien financier, materiel ou en competences affecte a une action TVF.</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TVF-CONV-05</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Mecene, fondation, entreprise, financeur public ou prive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l'objet du soutien, son affectation, les obligations de suivi et les conditions de communication.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Affectation : le soutien est affecte a l'objet prevu ou, si la convention le permet, a une action d'interet general proche.</w:t>
      </w:r>
    </w:p>
    <w:p>
      <w:pPr>
        <w:pStyle w:val="ListBullet"/>
        <w:spacing w:after="60" w:line="276" w:lineRule="auto"/>
      </w:pPr>
      <w:r>
        <w:rPr>
          <w:rFonts w:ascii="Calibri" w:hAnsi="Calibri"/>
          <w:b w:val="0"/>
          <w:i w:val="0"/>
          <w:color w:val="1E272E"/>
        </w:rPr>
        <w:t>Versement : les montants, echeances, justificatifs et modalites de paiement sont precises.</w:t>
      </w:r>
    </w:p>
    <w:p>
      <w:pPr>
        <w:pStyle w:val="ListBullet"/>
        <w:spacing w:after="60" w:line="276" w:lineRule="auto"/>
      </w:pPr>
      <w:r>
        <w:rPr>
          <w:rFonts w:ascii="Calibri" w:hAnsi="Calibri"/>
          <w:b w:val="0"/>
          <w:i w:val="0"/>
          <w:color w:val="1E272E"/>
        </w:rPr>
        <w:t>Suivi : TVF tient une trace des depenses et produit les livrables prevus.</w:t>
      </w:r>
    </w:p>
    <w:p>
      <w:pPr>
        <w:pStyle w:val="ListBullet"/>
        <w:spacing w:after="60" w:line="276" w:lineRule="auto"/>
      </w:pPr>
      <w:r>
        <w:rPr>
          <w:rFonts w:ascii="Calibri" w:hAnsi="Calibri"/>
          <w:b w:val="0"/>
          <w:i w:val="0"/>
          <w:color w:val="1E272E"/>
        </w:rPr>
        <w:t>Fiscalite : aucun avantage fiscal n'est garanti sans verification du cadre applicable.</w:t>
      </w:r>
    </w:p>
    <w:p>
      <w:pPr>
        <w:pStyle w:val="ListBullet"/>
        <w:spacing w:after="60" w:line="276" w:lineRule="auto"/>
      </w:pPr>
      <w:r>
        <w:rPr>
          <w:rFonts w:ascii="Calibri" w:hAnsi="Calibri"/>
          <w:b w:val="0"/>
          <w:i w:val="0"/>
          <w:color w:val="1E272E"/>
        </w:rPr>
        <w:t>Communication : logo, citation et annonce publique sont soumis a validation prealable.</w:t>
      </w:r>
    </w:p>
    <w:p>
      <w:pPr>
        <w:pStyle w:val="ListBullet"/>
        <w:spacing w:after="60" w:line="276" w:lineRule="auto"/>
      </w:pPr>
      <w:r>
        <w:rPr>
          <w:rFonts w:ascii="Calibri" w:hAnsi="Calibri"/>
          <w:b w:val="0"/>
          <w:i w:val="0"/>
          <w:color w:val="1E272E"/>
        </w:rPr>
        <w:t>Restitution : les conditions de remboursement ou reaffectation en cas d'impossibilite sont prevues si necessaire.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Budget previsionnel</w:t>
      </w:r>
    </w:p>
    <w:p>
      <w:pPr>
        <w:pStyle w:val="ListBullet"/>
        <w:spacing w:after="60" w:line="276" w:lineRule="auto"/>
      </w:pPr>
      <w:r>
        <w:rPr>
          <w:rFonts w:ascii="Calibri" w:hAnsi="Calibri"/>
          <w:b w:val="0"/>
          <w:i w:val="0"/>
          <w:color w:val="1E272E"/>
        </w:rPr>
        <w:t>Note projet</w:t>
      </w:r>
    </w:p>
    <w:p>
      <w:pPr>
        <w:pStyle w:val="ListBullet"/>
        <w:spacing w:after="60" w:line="276" w:lineRule="auto"/>
      </w:pPr>
      <w:r>
        <w:rPr>
          <w:rFonts w:ascii="Calibri" w:hAnsi="Calibri"/>
          <w:b w:val="0"/>
          <w:i w:val="0"/>
          <w:color w:val="1E272E"/>
        </w:rPr>
        <w:t>Calendrier</w:t>
      </w:r>
    </w:p>
    <w:p>
      <w:pPr>
        <w:pStyle w:val="ListBullet"/>
        <w:spacing w:after="60" w:line="276" w:lineRule="auto"/>
      </w:pPr>
      <w:r>
        <w:rPr>
          <w:rFonts w:ascii="Calibri" w:hAnsi="Calibri"/>
          <w:b w:val="0"/>
          <w:i w:val="0"/>
          <w:color w:val="1E272E"/>
        </w:rPr>
        <w:t>Indicateurs</w:t>
      </w:r>
    </w:p>
    <w:p>
      <w:pPr>
        <w:pStyle w:val="ListBullet"/>
        <w:spacing w:after="60" w:line="276" w:lineRule="auto"/>
      </w:pPr>
      <w:r>
        <w:rPr>
          <w:rFonts w:ascii="Calibri" w:hAnsi="Calibri"/>
          <w:b w:val="0"/>
          <w:i w:val="0"/>
          <w:color w:val="1E272E"/>
        </w:rPr>
        <w:t>Modalites de reporting</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