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TVF-CONV-08</w:t>
      </w:r>
    </w:p>
    <w:p>
      <w:pPr>
        <w:keepNext/>
        <w:spacing w:before="0" w:after="80" w:line="276" w:lineRule="auto"/>
      </w:pPr>
      <w:r>
        <w:rPr>
          <w:rFonts w:ascii="Calibri" w:hAnsi="Calibri"/>
          <w:b/>
          <w:i w:val="0"/>
          <w:color w:val="09223A"/>
          <w:sz w:val="40"/>
        </w:rPr>
        <w:t>Convention type de transport et logistique</w:t>
      </w:r>
    </w:p>
    <w:p>
      <w:pPr>
        <w:spacing w:before="0" w:after="240" w:line="276" w:lineRule="auto"/>
      </w:pPr>
      <w:r>
        <w:rPr>
          <w:rFonts w:ascii="Calibri" w:hAnsi="Calibri"/>
          <w:b w:val="0"/>
          <w:i w:val="0"/>
          <w:color w:val="5A646C"/>
          <w:sz w:val="22"/>
        </w:rPr>
        <w:t>Encadrer vehicule, chauffeur, manutention ou livraison.</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TVF-CONV-08</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Transporteur, loueur, entreprise, collectivite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les moyens logistiques mobilises et les responsabilites.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Mission decrite par trajet, dates, ressources et responsables.</w:t>
      </w:r>
    </w:p>
    <w:p>
      <w:pPr>
        <w:pStyle w:val="ListBullet"/>
        <w:spacing w:after="60" w:line="276" w:lineRule="auto"/>
      </w:pPr>
      <w:r>
        <w:rPr>
          <w:rFonts w:ascii="Calibri" w:hAnsi="Calibri"/>
          <w:b w:val="0"/>
          <w:i w:val="0"/>
          <w:color w:val="1E272E"/>
        </w:rPr>
        <w:t>Assurances du vehicule, conducteur et biens verifiees.</w:t>
      </w:r>
    </w:p>
    <w:p>
      <w:pPr>
        <w:pStyle w:val="ListBullet"/>
        <w:spacing w:after="60" w:line="276" w:lineRule="auto"/>
      </w:pPr>
      <w:r>
        <w:rPr>
          <w:rFonts w:ascii="Calibri" w:hAnsi="Calibri"/>
          <w:b w:val="0"/>
          <w:i w:val="0"/>
          <w:color w:val="1E272E"/>
        </w:rPr>
        <w:t>Roles de chargement, transport et dechargement definis.</w:t>
      </w:r>
    </w:p>
    <w:p>
      <w:pPr>
        <w:pStyle w:val="ListBullet"/>
        <w:spacing w:after="60" w:line="276" w:lineRule="auto"/>
      </w:pPr>
      <w:r>
        <w:rPr>
          <w:rFonts w:ascii="Calibri" w:hAnsi="Calibri"/>
          <w:b w:val="0"/>
          <w:i w:val="0"/>
          <w:color w:val="1E272E"/>
        </w:rPr>
        <w:t>Ressources dangereuses exclues sans cadre specifique.</w:t>
      </w:r>
    </w:p>
    <w:p>
      <w:pPr>
        <w:pStyle w:val="ListBullet"/>
        <w:spacing w:after="60" w:line="276" w:lineRule="auto"/>
      </w:pPr>
      <w:r>
        <w:rPr>
          <w:rFonts w:ascii="Calibri" w:hAnsi="Calibri"/>
          <w:b w:val="0"/>
          <w:i w:val="0"/>
          <w:color w:val="1E272E"/>
        </w:rPr>
        <w:t>Bon d'enlevement ou inventaire annexe.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operation</w:t>
      </w:r>
    </w:p>
    <w:p>
      <w:pPr>
        <w:pStyle w:val="ListBullet"/>
        <w:spacing w:after="60" w:line="276" w:lineRule="auto"/>
      </w:pPr>
      <w:r>
        <w:rPr>
          <w:rFonts w:ascii="Calibri" w:hAnsi="Calibri"/>
          <w:b w:val="0"/>
          <w:i w:val="0"/>
          <w:color w:val="1E272E"/>
        </w:rPr>
        <w:t>Assurance</w:t>
      </w:r>
    </w:p>
    <w:p>
      <w:pPr>
        <w:pStyle w:val="ListBullet"/>
        <w:spacing w:after="60" w:line="276" w:lineRule="auto"/>
      </w:pPr>
      <w:r>
        <w:rPr>
          <w:rFonts w:ascii="Calibri" w:hAnsi="Calibri"/>
          <w:b w:val="0"/>
          <w:i w:val="0"/>
          <w:color w:val="1E272E"/>
        </w:rPr>
        <w:t>Permis si besoin</w:t>
      </w:r>
    </w:p>
    <w:p>
      <w:pPr>
        <w:pStyle w:val="ListBullet"/>
        <w:spacing w:after="60" w:line="276" w:lineRule="auto"/>
      </w:pPr>
      <w:r>
        <w:rPr>
          <w:rFonts w:ascii="Calibri" w:hAnsi="Calibri"/>
          <w:b w:val="0"/>
          <w:i w:val="0"/>
          <w:color w:val="1E272E"/>
        </w:rPr>
        <w:t>Bon d'enlevement</w:t>
      </w:r>
    </w:p>
    <w:p>
      <w:pPr>
        <w:pStyle w:val="ListBullet"/>
        <w:spacing w:after="60" w:line="276" w:lineRule="auto"/>
      </w:pPr>
      <w:r>
        <w:rPr>
          <w:rFonts w:ascii="Calibri" w:hAnsi="Calibri"/>
          <w:b w:val="0"/>
          <w:i w:val="0"/>
          <w:color w:val="1E272E"/>
        </w:rPr>
        <w:t>Inventaire transporte</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