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TVF-CONV-09</w:t>
      </w:r>
    </w:p>
    <w:p>
      <w:pPr>
        <w:keepNext/>
        <w:spacing w:before="0" w:after="80" w:line="276" w:lineRule="auto"/>
      </w:pPr>
      <w:r>
        <w:rPr>
          <w:rFonts w:ascii="Calibri" w:hAnsi="Calibri"/>
          <w:b/>
          <w:i w:val="0"/>
          <w:color w:val="09223A"/>
          <w:sz w:val="40"/>
        </w:rPr>
        <w:t>Convention type association insertion ou chantier encadre</w:t>
      </w:r>
    </w:p>
    <w:p>
      <w:pPr>
        <w:spacing w:before="0" w:after="240" w:line="276" w:lineRule="auto"/>
      </w:pPr>
      <w:r>
        <w:rPr>
          <w:rFonts w:ascii="Calibri" w:hAnsi="Calibri"/>
          <w:b w:val="0"/>
          <w:i w:val="0"/>
          <w:color w:val="5A646C"/>
          <w:sz w:val="22"/>
        </w:rPr>
        <w:t>Cadrer une cooperation sociale, pedagogique ou participative.</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TVF-CONV-09</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SIAE, organisme de formation</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Organiser une action encadree avec roles, publics, missions, securite et livrables.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Structure encadrante et responsable operationnel identifies.</w:t>
      </w:r>
    </w:p>
    <w:p>
      <w:pPr>
        <w:pStyle w:val="ListBullet"/>
        <w:spacing w:after="60" w:line="276" w:lineRule="auto"/>
      </w:pPr>
      <w:r>
        <w:rPr>
          <w:rFonts w:ascii="Calibri" w:hAnsi="Calibri"/>
          <w:b w:val="0"/>
          <w:i w:val="0"/>
          <w:color w:val="1E272E"/>
        </w:rPr>
        <w:t>Missions adaptees aux competences et conditions de securite.</w:t>
      </w:r>
    </w:p>
    <w:p>
      <w:pPr>
        <w:pStyle w:val="ListBullet"/>
        <w:spacing w:after="60" w:line="276" w:lineRule="auto"/>
      </w:pPr>
      <w:r>
        <w:rPr>
          <w:rFonts w:ascii="Calibri" w:hAnsi="Calibri"/>
          <w:b w:val="0"/>
          <w:i w:val="0"/>
          <w:color w:val="1E272E"/>
        </w:rPr>
        <w:t>Emargement possible pour suivi, assurance et impact.</w:t>
      </w:r>
    </w:p>
    <w:p>
      <w:pPr>
        <w:pStyle w:val="ListBullet"/>
        <w:spacing w:after="60" w:line="276" w:lineRule="auto"/>
      </w:pPr>
      <w:r>
        <w:rPr>
          <w:rFonts w:ascii="Calibri" w:hAnsi="Calibri"/>
          <w:b w:val="0"/>
          <w:i w:val="0"/>
          <w:color w:val="1E272E"/>
        </w:rPr>
        <w:t>Consignes, EPI, zones interdites et procedure d'arret formalises.</w:t>
      </w:r>
    </w:p>
    <w:p>
      <w:pPr>
        <w:pStyle w:val="ListBullet"/>
        <w:spacing w:after="60" w:line="276" w:lineRule="auto"/>
      </w:pPr>
      <w:r>
        <w:rPr>
          <w:rFonts w:ascii="Calibri" w:hAnsi="Calibri"/>
          <w:b w:val="0"/>
          <w:i w:val="0"/>
          <w:color w:val="1E272E"/>
        </w:rPr>
        <w:t>Bilan d'action realise apres intervention.</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mission</w:t>
      </w:r>
    </w:p>
    <w:p>
      <w:pPr>
        <w:pStyle w:val="ListBullet"/>
        <w:spacing w:after="60" w:line="276" w:lineRule="auto"/>
      </w:pPr>
      <w:r>
        <w:rPr>
          <w:rFonts w:ascii="Calibri" w:hAnsi="Calibri"/>
          <w:b w:val="0"/>
          <w:i w:val="0"/>
          <w:color w:val="1E272E"/>
        </w:rPr>
        <w:t>Consignes securite</w:t>
      </w:r>
    </w:p>
    <w:p>
      <w:pPr>
        <w:pStyle w:val="ListBullet"/>
        <w:spacing w:after="60" w:line="276" w:lineRule="auto"/>
      </w:pPr>
      <w:r>
        <w:rPr>
          <w:rFonts w:ascii="Calibri" w:hAnsi="Calibri"/>
          <w:b w:val="0"/>
          <w:i w:val="0"/>
          <w:color w:val="1E272E"/>
        </w:rPr>
        <w:t>Feuille emargement</w:t>
      </w:r>
    </w:p>
    <w:p>
      <w:pPr>
        <w:pStyle w:val="ListBullet"/>
        <w:spacing w:after="60" w:line="276" w:lineRule="auto"/>
      </w:pPr>
      <w:r>
        <w:rPr>
          <w:rFonts w:ascii="Calibri" w:hAnsi="Calibri"/>
          <w:b w:val="0"/>
          <w:i w:val="0"/>
          <w:color w:val="1E272E"/>
        </w:rPr>
        <w:t>Autorisation image</w:t>
      </w:r>
    </w:p>
    <w:p>
      <w:pPr>
        <w:pStyle w:val="ListBullet"/>
        <w:spacing w:after="60" w:line="276" w:lineRule="auto"/>
      </w:pPr>
      <w:r>
        <w:rPr>
          <w:rFonts w:ascii="Calibri" w:hAnsi="Calibri"/>
          <w:b w:val="0"/>
          <w:i w:val="0"/>
          <w:color w:val="1E272E"/>
        </w:rPr>
        <w:t>Bilan action</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