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TVF-CONV-01</w:t>
      </w:r>
    </w:p>
    <w:p>
      <w:pPr>
        <w:keepNext/>
        <w:spacing w:before="0" w:after="80" w:line="276" w:lineRule="auto"/>
      </w:pPr>
      <w:r>
        <w:rPr>
          <w:rFonts w:ascii="Calibri" w:hAnsi="Calibri"/>
          <w:b/>
          <w:i w:val="0"/>
          <w:color w:val="09223A"/>
          <w:sz w:val="40"/>
        </w:rPr>
        <w:t>Convention type de cooperation territoriale</w:t>
      </w:r>
    </w:p>
    <w:p>
      <w:pPr>
        <w:spacing w:before="0" w:after="240" w:line="276" w:lineRule="auto"/>
      </w:pPr>
      <w:r>
        <w:rPr>
          <w:rFonts w:ascii="Calibri" w:hAnsi="Calibri"/>
          <w:b w:val="0"/>
          <w:i w:val="0"/>
          <w:color w:val="5A646C"/>
          <w:sz w:val="22"/>
        </w:rPr>
        <w:t>Formaliser une cooperation entre TVF et un territoire autour d'un diagnostic, d'un projet ou d'une ressource.</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TVF-CONV-01</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Collectivite, EPCI, service public</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les conditions de cooperation autour d'un diagnostic territorial, d'une action pilote, d'une ressource publique ou d'un projet de revitalisation.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Perimetre territorial : la convention precise la commune, le quartier, le secteur ou le theme concerne.</w:t>
      </w:r>
    </w:p>
    <w:p>
      <w:pPr>
        <w:pStyle w:val="ListBullet"/>
        <w:spacing w:after="60" w:line="276" w:lineRule="auto"/>
      </w:pPr>
      <w:r>
        <w:rPr>
          <w:rFonts w:ascii="Calibri" w:hAnsi="Calibri"/>
          <w:b w:val="0"/>
          <w:i w:val="0"/>
          <w:color w:val="1E272E"/>
        </w:rPr>
        <w:t>Referents : chaque partie designe un referent operationnel et un referent institutionnel.</w:t>
      </w:r>
    </w:p>
    <w:p>
      <w:pPr>
        <w:pStyle w:val="ListBullet"/>
        <w:spacing w:after="60" w:line="276" w:lineRule="auto"/>
      </w:pPr>
      <w:r>
        <w:rPr>
          <w:rFonts w:ascii="Calibri" w:hAnsi="Calibri"/>
          <w:b w:val="0"/>
          <w:i w:val="0"/>
          <w:color w:val="1E272E"/>
        </w:rPr>
        <w:t>Methode : observation, qualification, mobilisation des acteurs, instruction, conventionnement, suivi.</w:t>
      </w:r>
    </w:p>
    <w:p>
      <w:pPr>
        <w:pStyle w:val="ListBullet"/>
        <w:spacing w:after="60" w:line="276" w:lineRule="auto"/>
      </w:pPr>
      <w:r>
        <w:rPr>
          <w:rFonts w:ascii="Calibri" w:hAnsi="Calibri"/>
          <w:b w:val="0"/>
          <w:i w:val="0"/>
          <w:color w:val="1E272E"/>
        </w:rPr>
        <w:t>Donnees : les donnees territoriales transmises sont utilisees uniquement pour les finalites prevues.</w:t>
      </w:r>
    </w:p>
    <w:p>
      <w:pPr>
        <w:pStyle w:val="ListBullet"/>
        <w:spacing w:after="60" w:line="276" w:lineRule="auto"/>
      </w:pPr>
      <w:r>
        <w:rPr>
          <w:rFonts w:ascii="Calibri" w:hAnsi="Calibri"/>
          <w:b w:val="0"/>
          <w:i w:val="0"/>
          <w:color w:val="1E272E"/>
        </w:rPr>
        <w:t>Communication : toute mention publique de la cooperation est validee par les deux parties.</w:t>
      </w:r>
    </w:p>
    <w:p>
      <w:pPr>
        <w:pStyle w:val="ListBullet"/>
        <w:spacing w:after="60" w:line="276" w:lineRule="auto"/>
      </w:pPr>
      <w:r>
        <w:rPr>
          <w:rFonts w:ascii="Calibri" w:hAnsi="Calibri"/>
          <w:b w:val="0"/>
          <w:i w:val="0"/>
          <w:color w:val="1E272E"/>
        </w:rPr>
        <w:t>Sortie : la convention peut prevoir une fin anticipee en cas de changement de contexte ou de non-respect des obligations.</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territoire</w:t>
      </w:r>
    </w:p>
    <w:p>
      <w:pPr>
        <w:pStyle w:val="ListBullet"/>
        <w:spacing w:after="60" w:line="276" w:lineRule="auto"/>
      </w:pPr>
      <w:r>
        <w:rPr>
          <w:rFonts w:ascii="Calibri" w:hAnsi="Calibri"/>
          <w:b w:val="0"/>
          <w:i w:val="0"/>
          <w:color w:val="1E272E"/>
        </w:rPr>
        <w:t>Liste des ressources ciblees</w:t>
      </w:r>
    </w:p>
    <w:p>
      <w:pPr>
        <w:pStyle w:val="ListBullet"/>
        <w:spacing w:after="60" w:line="276" w:lineRule="auto"/>
      </w:pPr>
      <w:r>
        <w:rPr>
          <w:rFonts w:ascii="Calibri" w:hAnsi="Calibri"/>
          <w:b w:val="0"/>
          <w:i w:val="0"/>
          <w:color w:val="1E272E"/>
        </w:rPr>
        <w:t>Calendrier</w:t>
      </w:r>
    </w:p>
    <w:p>
      <w:pPr>
        <w:pStyle w:val="ListBullet"/>
        <w:spacing w:after="60" w:line="276" w:lineRule="auto"/>
      </w:pPr>
      <w:r>
        <w:rPr>
          <w:rFonts w:ascii="Calibri" w:hAnsi="Calibri"/>
          <w:b w:val="0"/>
          <w:i w:val="0"/>
          <w:color w:val="1E272E"/>
        </w:rPr>
        <w:t>Contacts referents</w:t>
      </w:r>
    </w:p>
    <w:p>
      <w:pPr>
        <w:pStyle w:val="ListBullet"/>
        <w:spacing w:after="60" w:line="276" w:lineRule="auto"/>
      </w:pPr>
      <w:r>
        <w:rPr>
          <w:rFonts w:ascii="Calibri" w:hAnsi="Calibri"/>
          <w:b w:val="0"/>
          <w:i w:val="0"/>
          <w:color w:val="1E272E"/>
        </w:rPr>
        <w:t>Indicateurs de suivi</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