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TVF-CONV-03</w:t>
      </w:r>
    </w:p>
    <w:p>
      <w:pPr>
        <w:keepNext/>
        <w:spacing w:before="0" w:after="80" w:line="276" w:lineRule="auto"/>
      </w:pPr>
      <w:r>
        <w:rPr>
          <w:rFonts w:ascii="Calibri" w:hAnsi="Calibri"/>
          <w:b/>
          <w:i w:val="0"/>
          <w:color w:val="09223A"/>
          <w:sz w:val="40"/>
        </w:rPr>
        <w:t>Convention type de valorisation de materiaux</w:t>
      </w:r>
    </w:p>
    <w:p>
      <w:pPr>
        <w:spacing w:before="0" w:after="240" w:line="276" w:lineRule="auto"/>
      </w:pPr>
      <w:r>
        <w:rPr>
          <w:rFonts w:ascii="Calibri" w:hAnsi="Calibri"/>
          <w:b w:val="0"/>
          <w:i w:val="0"/>
          <w:color w:val="5A646C"/>
          <w:sz w:val="22"/>
        </w:rPr>
        <w:t>Encadrer la collecte, le tri, la valorisation et l'affectation de ressources reutilisables.</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TVF-CONV-03</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Entreprise, collectivite, artisan, particulier, association</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Qualifier et affecter des materiaux, mobiliers ou equipements a des projets TVF valides.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Selection : TVF peut accepter ou refuser les ressources selon leur etat, leur securite, leur utilite et la faisabilite logistique.</w:t>
      </w:r>
    </w:p>
    <w:p>
      <w:pPr>
        <w:pStyle w:val="ListBullet"/>
        <w:spacing w:after="60" w:line="276" w:lineRule="auto"/>
      </w:pPr>
      <w:r>
        <w:rPr>
          <w:rFonts w:ascii="Calibri" w:hAnsi="Calibri"/>
          <w:b w:val="0"/>
          <w:i w:val="0"/>
          <w:color w:val="1E272E"/>
        </w:rPr>
        <w:t>Affectation : les ressources acceptees sont integrees a une strategie de valorisation territoriale et non distribuees automatiquement.</w:t>
      </w:r>
    </w:p>
    <w:p>
      <w:pPr>
        <w:pStyle w:val="ListBullet"/>
        <w:spacing w:after="60" w:line="276" w:lineRule="auto"/>
      </w:pPr>
      <w:r>
        <w:rPr>
          <w:rFonts w:ascii="Calibri" w:hAnsi="Calibri"/>
          <w:b w:val="0"/>
          <w:i w:val="0"/>
          <w:color w:val="1E272E"/>
        </w:rPr>
        <w:t>Traçabilite : un bordereau liste les quantites, categories, etats, lieux et dates de remise.</w:t>
      </w:r>
    </w:p>
    <w:p>
      <w:pPr>
        <w:pStyle w:val="ListBullet"/>
        <w:spacing w:after="60" w:line="276" w:lineRule="auto"/>
      </w:pPr>
      <w:r>
        <w:rPr>
          <w:rFonts w:ascii="Calibri" w:hAnsi="Calibri"/>
          <w:b w:val="0"/>
          <w:i w:val="0"/>
          <w:color w:val="1E272E"/>
        </w:rPr>
        <w:t>Securite : les materiaux dangereux, pollues ou non conformes ne sont pas acceptes sans controle specifique.</w:t>
      </w:r>
    </w:p>
    <w:p>
      <w:pPr>
        <w:pStyle w:val="ListBullet"/>
        <w:spacing w:after="60" w:line="276" w:lineRule="auto"/>
      </w:pPr>
      <w:r>
        <w:rPr>
          <w:rFonts w:ascii="Calibri" w:hAnsi="Calibri"/>
          <w:b w:val="0"/>
          <w:i w:val="0"/>
          <w:color w:val="1E272E"/>
        </w:rPr>
        <w:t>Transport : les responsabilites de chargement, transport et dechargement sont precisees.</w:t>
      </w:r>
    </w:p>
    <w:p>
      <w:pPr>
        <w:pStyle w:val="ListBullet"/>
        <w:spacing w:after="60" w:line="276" w:lineRule="auto"/>
      </w:pPr>
      <w:r>
        <w:rPr>
          <w:rFonts w:ascii="Calibri" w:hAnsi="Calibri"/>
          <w:b w:val="0"/>
          <w:i w:val="0"/>
          <w:color w:val="1E272E"/>
        </w:rPr>
        <w:t>Communication : la valorisation RSE est possible uniquement selon les termes valides par les parties.</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Bordereau materiaux</w:t>
      </w:r>
    </w:p>
    <w:p>
      <w:pPr>
        <w:pStyle w:val="ListBullet"/>
        <w:spacing w:after="60" w:line="276" w:lineRule="auto"/>
      </w:pPr>
      <w:r>
        <w:rPr>
          <w:rFonts w:ascii="Calibri" w:hAnsi="Calibri"/>
          <w:b w:val="0"/>
          <w:i w:val="0"/>
          <w:color w:val="1E272E"/>
        </w:rPr>
        <w:t>Photos</w:t>
      </w:r>
    </w:p>
    <w:p>
      <w:pPr>
        <w:pStyle w:val="ListBullet"/>
        <w:spacing w:after="60" w:line="276" w:lineRule="auto"/>
      </w:pPr>
      <w:r>
        <w:rPr>
          <w:rFonts w:ascii="Calibri" w:hAnsi="Calibri"/>
          <w:b w:val="0"/>
          <w:i w:val="0"/>
          <w:color w:val="1E272E"/>
        </w:rPr>
        <w:t>Conditions d'enlevement</w:t>
      </w:r>
    </w:p>
    <w:p>
      <w:pPr>
        <w:pStyle w:val="ListBullet"/>
        <w:spacing w:after="60" w:line="276" w:lineRule="auto"/>
      </w:pPr>
      <w:r>
        <w:rPr>
          <w:rFonts w:ascii="Calibri" w:hAnsi="Calibri"/>
          <w:b w:val="0"/>
          <w:i w:val="0"/>
          <w:color w:val="1E272E"/>
        </w:rPr>
        <w:t>Fiche securite si applicable</w:t>
      </w:r>
    </w:p>
    <w:p>
      <w:pPr>
        <w:pStyle w:val="ListBullet"/>
        <w:spacing w:after="60" w:line="276" w:lineRule="auto"/>
      </w:pPr>
      <w:r>
        <w:rPr>
          <w:rFonts w:ascii="Calibri" w:hAnsi="Calibri"/>
          <w:b w:val="0"/>
          <w:i w:val="0"/>
          <w:color w:val="1E272E"/>
        </w:rPr>
        <w:t>Affectation projet</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