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TVF-CONV-04</w:t>
      </w:r>
    </w:p>
    <w:p>
      <w:pPr>
        <w:keepNext/>
        <w:spacing w:before="0" w:after="80" w:line="276" w:lineRule="auto"/>
      </w:pPr>
      <w:r>
        <w:rPr>
          <w:rFonts w:ascii="Calibri" w:hAnsi="Calibri"/>
          <w:b/>
          <w:i w:val="0"/>
          <w:color w:val="09223A"/>
          <w:sz w:val="40"/>
        </w:rPr>
        <w:t>Convention type de cooperation entreprise</w:t>
      </w:r>
    </w:p>
    <w:p>
      <w:pPr>
        <w:spacing w:before="0" w:after="240" w:line="276" w:lineRule="auto"/>
      </w:pPr>
      <w:r>
        <w:rPr>
          <w:rFonts w:ascii="Calibri" w:hAnsi="Calibri"/>
          <w:b w:val="0"/>
          <w:i w:val="0"/>
          <w:color w:val="5A646C"/>
          <w:sz w:val="22"/>
        </w:rPr>
        <w:t>Encadrer un partenariat RSE, materiel, logistique, technique ou territorial.</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TVF-CONV-04</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Entreprise, artisan, bailleur, logisticien, commerce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- 06 22 03 93 24</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Definir les contributions d'une entreprise et les modalites de cooperation avec TVF.</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Contribution : nature, volume, calendrier et conditions de mobilisation sont decrits.</w:t>
      </w:r>
    </w:p>
    <w:p>
      <w:pPr>
        <w:pStyle w:val="ListBullet"/>
        <w:spacing w:after="60" w:line="276" w:lineRule="auto"/>
      </w:pPr>
      <w:r>
        <w:rPr>
          <w:rFonts w:ascii="Calibri" w:hAnsi="Calibri"/>
          <w:b w:val="0"/>
          <w:i w:val="0"/>
          <w:color w:val="1E272E"/>
        </w:rPr>
        <w:t>Responsabilites : chaque partie reste responsable de ses obligations legales, sociales, fiscales et assurantielles.</w:t>
      </w:r>
    </w:p>
    <w:p>
      <w:pPr>
        <w:pStyle w:val="ListBullet"/>
        <w:spacing w:after="60" w:line="276" w:lineRule="auto"/>
      </w:pPr>
      <w:r>
        <w:rPr>
          <w:rFonts w:ascii="Calibri" w:hAnsi="Calibri"/>
          <w:b w:val="0"/>
          <w:i w:val="0"/>
          <w:color w:val="1E272E"/>
        </w:rPr>
        <w:t>Visibilite : la mention de l'entreprise partenaire est encadree et ne vaut pas label officiel.</w:t>
      </w:r>
    </w:p>
    <w:p>
      <w:pPr>
        <w:pStyle w:val="ListBullet"/>
        <w:spacing w:after="60" w:line="276" w:lineRule="auto"/>
      </w:pPr>
      <w:r>
        <w:rPr>
          <w:rFonts w:ascii="Calibri" w:hAnsi="Calibri"/>
          <w:b w:val="0"/>
          <w:i w:val="0"/>
          <w:color w:val="1E272E"/>
        </w:rPr>
        <w:t>Confidentialite : les informations non publiques transmises pendant l'instruction restent confidentielles.</w:t>
      </w:r>
    </w:p>
    <w:p>
      <w:pPr>
        <w:pStyle w:val="ListBullet"/>
        <w:spacing w:after="60" w:line="276" w:lineRule="auto"/>
      </w:pPr>
      <w:r>
        <w:rPr>
          <w:rFonts w:ascii="Calibri" w:hAnsi="Calibri"/>
          <w:b w:val="0"/>
          <w:i w:val="0"/>
          <w:color w:val="1E272E"/>
        </w:rPr>
        <w:t>Reporting : TVF peut fournir une synthese d'utilisation ou d'impact lorsque le projet le permet.</w:t>
      </w:r>
    </w:p>
    <w:p>
      <w:pPr>
        <w:pStyle w:val="ListBullet"/>
        <w:spacing w:after="60" w:line="276" w:lineRule="auto"/>
      </w:pPr>
      <w:r>
        <w:rPr>
          <w:rFonts w:ascii="Calibri" w:hAnsi="Calibri"/>
          <w:b w:val="0"/>
          <w:i w:val="0"/>
          <w:color w:val="1E272E"/>
        </w:rPr>
        <w:t>Fin : les conditions de suspension, renouvellement ou fin de partenariat sont prevues.</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Fiche contribution</w:t>
      </w:r>
    </w:p>
    <w:p>
      <w:pPr>
        <w:pStyle w:val="ListBullet"/>
        <w:spacing w:after="60" w:line="276" w:lineRule="auto"/>
      </w:pPr>
      <w:r>
        <w:rPr>
          <w:rFonts w:ascii="Calibri" w:hAnsi="Calibri"/>
          <w:b w:val="0"/>
          <w:i w:val="0"/>
          <w:color w:val="1E272E"/>
        </w:rPr>
        <w:t>Contacts</w:t>
      </w:r>
    </w:p>
    <w:p>
      <w:pPr>
        <w:pStyle w:val="ListBullet"/>
        <w:spacing w:after="60" w:line="276" w:lineRule="auto"/>
      </w:pPr>
      <w:r>
        <w:rPr>
          <w:rFonts w:ascii="Calibri" w:hAnsi="Calibri"/>
          <w:b w:val="0"/>
          <w:i w:val="0"/>
          <w:color w:val="1E272E"/>
        </w:rPr>
        <w:t>Calendrier</w:t>
      </w:r>
    </w:p>
    <w:p>
      <w:pPr>
        <w:pStyle w:val="ListBullet"/>
        <w:spacing w:after="60" w:line="276" w:lineRule="auto"/>
      </w:pPr>
      <w:r>
        <w:rPr>
          <w:rFonts w:ascii="Calibri" w:hAnsi="Calibri"/>
          <w:b w:val="0"/>
          <w:i w:val="0"/>
          <w:color w:val="1E272E"/>
        </w:rPr>
        <w:t>Elements de communication valides</w:t>
      </w:r>
    </w:p>
    <w:p>
      <w:pPr>
        <w:pStyle w:val="ListBullet"/>
        <w:spacing w:after="60" w:line="276" w:lineRule="auto"/>
      </w:pPr>
      <w:r>
        <w:rPr>
          <w:rFonts w:ascii="Calibri" w:hAnsi="Calibri"/>
          <w:b w:val="0"/>
          <w:i w:val="0"/>
          <w:color w:val="1E272E"/>
        </w:rPr>
        <w:t>Reporting attendu</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