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TVF-CONV-07</w:t>
      </w:r>
    </w:p>
    <w:p>
      <w:pPr>
        <w:keepNext/>
        <w:spacing w:before="0" w:after="80" w:line="276" w:lineRule="auto"/>
      </w:pPr>
      <w:r>
        <w:rPr>
          <w:rFonts w:ascii="Calibri" w:hAnsi="Calibri"/>
          <w:b/>
          <w:i w:val="0"/>
          <w:color w:val="09223A"/>
          <w:sz w:val="40"/>
        </w:rPr>
        <w:t>Convention type de local de stockage</w:t>
      </w:r>
    </w:p>
    <w:p>
      <w:pPr>
        <w:spacing w:before="0" w:after="240" w:line="276" w:lineRule="auto"/>
      </w:pPr>
      <w:r>
        <w:rPr>
          <w:rFonts w:ascii="Calibri" w:hAnsi="Calibri"/>
          <w:b w:val="0"/>
          <w:i w:val="0"/>
          <w:color w:val="5A646C"/>
          <w:sz w:val="22"/>
        </w:rPr>
        <w:t>Encadrer la mise a disposition d'un local pour stockage, tri ou preparation.</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TVF-CONV-07</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Collectivite, entreprise, bailleur, proprietaire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- 06 22 03 93 24</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Definir les conditions d'utilisation d'un local au service des projets TVF.</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Usage limite aux finalites prevues.</w:t>
      </w:r>
    </w:p>
    <w:p>
      <w:pPr>
        <w:pStyle w:val="ListBullet"/>
        <w:spacing w:after="60" w:line="276" w:lineRule="auto"/>
      </w:pPr>
      <w:r>
        <w:rPr>
          <w:rFonts w:ascii="Calibri" w:hAnsi="Calibri"/>
          <w:b w:val="0"/>
          <w:i w:val="0"/>
          <w:color w:val="1E272E"/>
        </w:rPr>
        <w:t>Registre des entrees, sorties et affectations.</w:t>
      </w:r>
    </w:p>
    <w:p>
      <w:pPr>
        <w:pStyle w:val="ListBullet"/>
        <w:spacing w:after="60" w:line="276" w:lineRule="auto"/>
      </w:pPr>
      <w:r>
        <w:rPr>
          <w:rFonts w:ascii="Calibri" w:hAnsi="Calibri"/>
          <w:b w:val="0"/>
          <w:i w:val="0"/>
          <w:color w:val="1E272E"/>
        </w:rPr>
        <w:t>Assurance, acces, securite, charges et horaires precises.</w:t>
      </w:r>
    </w:p>
    <w:p>
      <w:pPr>
        <w:pStyle w:val="ListBullet"/>
        <w:spacing w:after="60" w:line="276" w:lineRule="auto"/>
      </w:pPr>
      <w:r>
        <w:rPr>
          <w:rFonts w:ascii="Calibri" w:hAnsi="Calibri"/>
          <w:b w:val="0"/>
          <w:i w:val="0"/>
          <w:color w:val="1E272E"/>
        </w:rPr>
        <w:t>Aucun produit dangereux sans validation specifique.</w:t>
      </w:r>
    </w:p>
    <w:p>
      <w:pPr>
        <w:pStyle w:val="ListBullet"/>
        <w:spacing w:after="60" w:line="276" w:lineRule="auto"/>
      </w:pPr>
      <w:r>
        <w:rPr>
          <w:rFonts w:ascii="Calibri" w:hAnsi="Calibri"/>
          <w:b w:val="0"/>
          <w:i w:val="0"/>
          <w:color w:val="1E272E"/>
        </w:rPr>
        <w:t>Restitution et etat de sortie prevus.</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Etat des lieux</w:t>
      </w:r>
    </w:p>
    <w:p>
      <w:pPr>
        <w:pStyle w:val="ListBullet"/>
        <w:spacing w:after="60" w:line="276" w:lineRule="auto"/>
      </w:pPr>
      <w:r>
        <w:rPr>
          <w:rFonts w:ascii="Calibri" w:hAnsi="Calibri"/>
          <w:b w:val="0"/>
          <w:i w:val="0"/>
          <w:color w:val="1E272E"/>
        </w:rPr>
        <w:t>Photos</w:t>
      </w:r>
    </w:p>
    <w:p>
      <w:pPr>
        <w:pStyle w:val="ListBullet"/>
        <w:spacing w:after="60" w:line="276" w:lineRule="auto"/>
      </w:pPr>
      <w:r>
        <w:rPr>
          <w:rFonts w:ascii="Calibri" w:hAnsi="Calibri"/>
          <w:b w:val="0"/>
          <w:i w:val="0"/>
          <w:color w:val="1E272E"/>
        </w:rPr>
        <w:t>Assurance</w:t>
      </w:r>
    </w:p>
    <w:p>
      <w:pPr>
        <w:pStyle w:val="ListBullet"/>
        <w:spacing w:after="60" w:line="276" w:lineRule="auto"/>
      </w:pPr>
      <w:r>
        <w:rPr>
          <w:rFonts w:ascii="Calibri" w:hAnsi="Calibri"/>
          <w:b w:val="0"/>
          <w:i w:val="0"/>
          <w:color w:val="1E272E"/>
        </w:rPr>
        <w:t>Reglement d'acces</w:t>
      </w:r>
    </w:p>
    <w:p>
      <w:pPr>
        <w:pStyle w:val="ListBullet"/>
        <w:spacing w:after="60" w:line="276" w:lineRule="auto"/>
      </w:pPr>
      <w:r>
        <w:rPr>
          <w:rFonts w:ascii="Calibri" w:hAnsi="Calibri"/>
          <w:b w:val="0"/>
          <w:i w:val="0"/>
          <w:color w:val="1E272E"/>
        </w:rPr>
        <w:t>Inventaire initial</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