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B88B1A"/>
          <w:sz w:val="18"/>
        </w:rPr>
        <w:t>TVF-CONV-10</w:t>
      </w:r>
    </w:p>
    <w:p>
      <w:pPr>
        <w:keepNext/>
        <w:spacing w:before="0" w:after="80" w:line="276" w:lineRule="auto"/>
      </w:pPr>
      <w:r>
        <w:rPr>
          <w:rFonts w:ascii="Calibri" w:hAnsi="Calibri"/>
          <w:b/>
          <w:i w:val="0"/>
          <w:color w:val="09223A"/>
          <w:sz w:val="40"/>
        </w:rPr>
        <w:t>Autorisation type de visite d'un bien ou d'un site</w:t>
      </w:r>
    </w:p>
    <w:p>
      <w:pPr>
        <w:spacing w:before="0" w:after="240" w:line="276" w:lineRule="auto"/>
      </w:pPr>
      <w:r>
        <w:rPr>
          <w:rFonts w:ascii="Calibri" w:hAnsi="Calibri"/>
          <w:b w:val="0"/>
          <w:i w:val="0"/>
          <w:color w:val="5A646C"/>
          <w:sz w:val="22"/>
        </w:rPr>
        <w:t>Autoriser une visite de diagnostic sans engagement de travaux.</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Reference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TVF-CONV-10</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Version</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V1.0 - 12/07/2026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Public cible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Proprietaire, gestionnaire, mandataire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Statut</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Modele de convention a adapter avant signature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TVF</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contact@territoiresvivantsfrance.fr - 06 22 03 93 24</w:t>
            </w:r>
          </w:p>
        </w:tc>
      </w:tr>
    </w:tbl>
    <w:p>
      <w:pPr>
        <w:spacing w:before="0" w:after="6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Cadre d'utilisation - </w:t>
            </w:r>
            <w:r>
              <w:rPr>
                <w:rFonts w:ascii="Calibri" w:hAnsi="Calibri"/>
                <w:b w:val="0"/>
                <w:i w:val="0"/>
                <w:color w:val="1E272E"/>
              </w:rPr>
              <w:t>Document pret a remplir pour preparer l'instruction TVF. Les clauses engageantes doivent etre adaptees au dossier, aux pieces disponibles et au cadre juridique applicable avant signature.</w:t>
            </w:r>
          </w:p>
        </w:tc>
      </w:tr>
    </w:tbl>
    <w:p>
      <w:pPr>
        <w:spacing w:before="0" w:after="4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Portee du modele - </w:t>
            </w:r>
            <w:r>
              <w:rPr>
                <w:rFonts w:ascii="Calibri" w:hAnsi="Calibri"/>
                <w:b w:val="0"/>
                <w:i w:val="0"/>
                <w:color w:val="1E272E"/>
              </w:rPr>
              <w:t>Ce document est une base de travail. Il doit etre relu, adapte au dossier, complete par les annexes et valide par les personnes habilitees avant signature. Il ne remplace pas un conseil juridique lorsque le dossier comporte un risque particulier.</w:t>
            </w:r>
          </w:p>
        </w:tc>
      </w:tr>
    </w:tbl>
    <w:p>
      <w:pPr>
        <w:spacing w:before="0" w:after="40" w:line="276" w:lineRule="auto"/>
      </w:pPr>
    </w:p>
    <w:p>
      <w:pPr>
        <w:pStyle w:val="Heading1"/>
        <w:spacing w:before="0" w:after="120" w:line="276" w:lineRule="auto"/>
      </w:pPr>
      <w:r>
        <w:rPr>
          <w:rFonts w:ascii="Calibri" w:hAnsi="Calibri"/>
          <w:b w:val="0"/>
          <w:i w:val="0"/>
        </w:rPr>
        <w:t>1. Parties a la convention</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TERRITOIRES VIVANTS FRANCE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Association loi 1901 declaree - RNA W423016361 - SIREN 107 226 128 - siege : 25 rue Elise Gervais, 42000 Saint-Etienne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Autre partie signataire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structure : 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habilite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Adresse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operationnel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E-mail : ____________________________   Telephone : ____________________________</w:t>
            </w:r>
          </w:p>
        </w:tc>
      </w:tr>
    </w:tbl>
    <w:p>
      <w:pPr>
        <w:spacing w:before="0" w:after="60" w:line="276" w:lineRule="auto"/>
      </w:pPr>
    </w:p>
    <w:p>
      <w:pPr>
        <w:pStyle w:val="Heading1"/>
        <w:spacing w:before="0" w:after="120" w:line="276" w:lineRule="auto"/>
      </w:pPr>
      <w:r>
        <w:rPr>
          <w:rFonts w:ascii="Calibri" w:hAnsi="Calibri"/>
          <w:b w:val="0"/>
          <w:i w:val="0"/>
        </w:rPr>
        <w:t>2. Objet et contexte</w:t>
      </w:r>
    </w:p>
    <w:p>
      <w:pPr>
        <w:spacing w:before="0" w:after="120" w:line="276" w:lineRule="auto"/>
      </w:pPr>
      <w:r>
        <w:rPr>
          <w:rFonts w:ascii="Calibri" w:hAnsi="Calibri"/>
          <w:b w:val="0"/>
          <w:i w:val="0"/>
        </w:rPr>
        <w:t>Permettre a TVF de visiter un bien ou site pour observation, photos autorisees et prequalification.</w:t>
      </w:r>
    </w:p>
    <w:p>
      <w:pPr>
        <w:pStyle w:val="Heading2"/>
        <w:spacing w:before="0" w:after="120" w:line="276" w:lineRule="auto"/>
      </w:pPr>
      <w:r>
        <w:rPr>
          <w:rFonts w:ascii="Calibri" w:hAnsi="Calibri"/>
          <w:b w:val="0"/>
          <w:i w:val="0"/>
        </w:rPr>
        <w:t>Contexte specifique du dossier</w:t>
      </w:r>
    </w:p>
    <w:p>
      <w:pPr>
        <w:spacing w:before="0" w:after="40" w:line="276" w:lineRule="auto"/>
      </w:pPr>
      <w:r>
        <w:rPr>
          <w:rFonts w:ascii="Calibri" w:hAnsi="Calibri"/>
          <w:b/>
          <w:i w:val="0"/>
          <w:color w:val="09223A"/>
          <w:sz w:val="19"/>
        </w:rPr>
        <w:t>Situation initiale : bien, local, ressource, territoire, action ou besoin concerne.</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Objectif concret recherche par les parties.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Benefices attendus pour le territoire, les habitants, la structure ou le projet.</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3. Perimetre operationnel</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 territoire concerne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Objet precis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Du ____ / ____ / ______ au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 renouvelable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Non   [ ] Oui, selon accord ecrit   [ ] A definir</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autre partie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Frequence de suivi</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Hebdomadaire   [ ] Mensuelle   [ ] A chaque etape   [ ] Sur demande   [ ] Autre</w:t>
            </w:r>
          </w:p>
        </w:tc>
      </w:tr>
    </w:tbl>
    <w:p>
      <w:pPr>
        <w:spacing w:before="0" w:after="60" w:line="276" w:lineRule="auto"/>
      </w:pPr>
    </w:p>
    <w:p>
      <w:pPr>
        <w:pStyle w:val="Heading1"/>
        <w:spacing w:before="0" w:after="120" w:line="276" w:lineRule="auto"/>
      </w:pPr>
      <w:r>
        <w:rPr>
          <w:rFonts w:ascii="Calibri" w:hAnsi="Calibri"/>
          <w:b w:val="0"/>
          <w:i w:val="0"/>
        </w:rPr>
        <w:t>4. Obligations et engagements de TVF</w:t>
      </w:r>
    </w:p>
    <w:p>
      <w:pPr>
        <w:pStyle w:val="ListBullet"/>
        <w:spacing w:after="60" w:line="276" w:lineRule="auto"/>
      </w:pPr>
      <w:r>
        <w:rPr>
          <w:rFonts w:ascii="Calibri" w:hAnsi="Calibri"/>
          <w:b w:val="0"/>
          <w:i w:val="0"/>
          <w:color w:val="1E272E"/>
        </w:rPr>
        <w:t>Instruire le dossier avec prudence, sur la base des informations et pieces disponibles.</w:t>
      </w:r>
    </w:p>
    <w:p>
      <w:pPr>
        <w:pStyle w:val="ListBullet"/>
        <w:spacing w:after="60" w:line="276" w:lineRule="auto"/>
      </w:pPr>
      <w:r>
        <w:rPr>
          <w:rFonts w:ascii="Calibri" w:hAnsi="Calibri"/>
          <w:b w:val="0"/>
          <w:i w:val="0"/>
          <w:color w:val="1E272E"/>
        </w:rPr>
        <w:t>Designer un referent operationnel et conserver une trace des echanges, pieces et decisions dans TVF OS.</w:t>
      </w:r>
    </w:p>
    <w:p>
      <w:pPr>
        <w:pStyle w:val="ListBullet"/>
        <w:spacing w:after="60" w:line="276" w:lineRule="auto"/>
      </w:pPr>
      <w:r>
        <w:rPr>
          <w:rFonts w:ascii="Calibri" w:hAnsi="Calibri"/>
          <w:b w:val="0"/>
          <w:i w:val="0"/>
          <w:color w:val="1E272E"/>
        </w:rPr>
        <w:t>Informer l'autre partie des points bloquants connus : pieces manquantes, securite, assurance, autorisations, budget ou calendrier.</w:t>
      </w:r>
    </w:p>
    <w:p>
      <w:pPr>
        <w:pStyle w:val="ListBullet"/>
        <w:spacing w:after="60" w:line="276" w:lineRule="auto"/>
      </w:pPr>
      <w:r>
        <w:rPr>
          <w:rFonts w:ascii="Calibri" w:hAnsi="Calibri"/>
          <w:b w:val="0"/>
          <w:i w:val="0"/>
          <w:color w:val="1E272E"/>
        </w:rPr>
        <w:t>Ne pas engager de depense, intervention, communication publique, collecte, stockage ou chantier hors du perimetre valide par ecrit.</w:t>
      </w:r>
    </w:p>
    <w:p>
      <w:pPr>
        <w:pStyle w:val="ListBullet"/>
        <w:spacing w:after="60" w:line="276" w:lineRule="auto"/>
      </w:pPr>
      <w:r>
        <w:rPr>
          <w:rFonts w:ascii="Calibri" w:hAnsi="Calibri"/>
          <w:b w:val="0"/>
          <w:i w:val="0"/>
          <w:color w:val="1E272E"/>
        </w:rPr>
        <w:t>Produire, lorsque cela est prevu, un compte rendu, un bordereau, un bilan ou une synthese de suivi.</w:t>
      </w:r>
    </w:p>
    <w:p>
      <w:pPr>
        <w:pStyle w:val="Heading1"/>
        <w:spacing w:before="0" w:after="120" w:line="276" w:lineRule="auto"/>
      </w:pPr>
      <w:r>
        <w:rPr>
          <w:rFonts w:ascii="Calibri" w:hAnsi="Calibri"/>
          <w:b w:val="0"/>
          <w:i w:val="0"/>
        </w:rPr>
        <w:t>5. Obligations et engagements de l'autre partie</w:t>
      </w:r>
    </w:p>
    <w:p>
      <w:pPr>
        <w:pStyle w:val="ListBullet"/>
        <w:spacing w:after="60" w:line="276" w:lineRule="auto"/>
      </w:pPr>
      <w:r>
        <w:rPr>
          <w:rFonts w:ascii="Calibri" w:hAnsi="Calibri"/>
          <w:b w:val="0"/>
          <w:i w:val="0"/>
          <w:color w:val="1E272E"/>
        </w:rPr>
        <w:t>Transmettre des informations exactes, actualisees et utiles a l'instruction du dossier.</w:t>
      </w:r>
    </w:p>
    <w:p>
      <w:pPr>
        <w:pStyle w:val="ListBullet"/>
        <w:spacing w:after="60" w:line="276" w:lineRule="auto"/>
      </w:pPr>
      <w:r>
        <w:rPr>
          <w:rFonts w:ascii="Calibri" w:hAnsi="Calibri"/>
          <w:b w:val="0"/>
          <w:i w:val="0"/>
          <w:color w:val="1E272E"/>
        </w:rPr>
        <w:t>Fournir les autorisations, justificatifs, assurances, plans, photos, devis, diagnostics ou documents necessaires lorsque le dossier le requiert.</w:t>
      </w:r>
    </w:p>
    <w:p>
      <w:pPr>
        <w:pStyle w:val="ListBullet"/>
        <w:spacing w:after="60" w:line="276" w:lineRule="auto"/>
      </w:pPr>
      <w:r>
        <w:rPr>
          <w:rFonts w:ascii="Calibri" w:hAnsi="Calibri"/>
          <w:b w:val="0"/>
          <w:i w:val="0"/>
          <w:color w:val="1E272E"/>
        </w:rPr>
        <w:t>Designer un interlocuteur habilite a repondre, valider les informations et suivre l'execution de la convention.</w:t>
      </w:r>
    </w:p>
    <w:p>
      <w:pPr>
        <w:pStyle w:val="ListBullet"/>
        <w:spacing w:after="60" w:line="276" w:lineRule="auto"/>
      </w:pPr>
      <w:r>
        <w:rPr>
          <w:rFonts w:ascii="Calibri" w:hAnsi="Calibri"/>
          <w:b w:val="0"/>
          <w:i w:val="0"/>
          <w:color w:val="1E272E"/>
        </w:rPr>
        <w:t>Ne pas presenter TVF comme financeur, executant ou garant d'un resultat tant qu'aucun engagement ecrit ne le prevoit.</w:t>
      </w:r>
    </w:p>
    <w:p>
      <w:pPr>
        <w:pStyle w:val="ListBullet"/>
        <w:spacing w:after="60" w:line="276" w:lineRule="auto"/>
      </w:pPr>
      <w:r>
        <w:rPr>
          <w:rFonts w:ascii="Calibri" w:hAnsi="Calibri"/>
          <w:b w:val="0"/>
          <w:i w:val="0"/>
          <w:color w:val="1E272E"/>
        </w:rPr>
        <w:t>Informer TVF de tout changement pouvant modifier le perimetre, le calendrier, la securite, le budget ou les responsabilites.</w:t>
      </w:r>
    </w:p>
    <w:p>
      <w:pPr>
        <w:pStyle w:val="Heading1"/>
        <w:spacing w:before="0" w:after="120" w:line="276" w:lineRule="auto"/>
      </w:pPr>
      <w:r>
        <w:rPr>
          <w:rFonts w:ascii="Calibri" w:hAnsi="Calibri"/>
          <w:b w:val="0"/>
          <w:i w:val="0"/>
        </w:rPr>
        <w:t>6. Clauses particulieres au sujet</w:t>
      </w:r>
    </w:p>
    <w:p>
      <w:pPr>
        <w:pStyle w:val="ListBullet"/>
        <w:spacing w:after="60" w:line="276" w:lineRule="auto"/>
      </w:pPr>
      <w:r>
        <w:rPr>
          <w:rFonts w:ascii="Calibri" w:hAnsi="Calibri"/>
          <w:b w:val="0"/>
          <w:i w:val="0"/>
          <w:color w:val="1E272E"/>
        </w:rPr>
        <w:t>La visite ne vaut pas acceptation du dossier.</w:t>
      </w:r>
    </w:p>
    <w:p>
      <w:pPr>
        <w:pStyle w:val="ListBullet"/>
        <w:spacing w:after="60" w:line="276" w:lineRule="auto"/>
      </w:pPr>
      <w:r>
        <w:rPr>
          <w:rFonts w:ascii="Calibri" w:hAnsi="Calibri"/>
          <w:b w:val="0"/>
          <w:i w:val="0"/>
          <w:color w:val="1E272E"/>
        </w:rPr>
        <w:t>Personnes, date, zones accessibles et photos autorisees sont precisees.</w:t>
      </w:r>
    </w:p>
    <w:p>
      <w:pPr>
        <w:pStyle w:val="ListBullet"/>
        <w:spacing w:after="60" w:line="276" w:lineRule="auto"/>
      </w:pPr>
      <w:r>
        <w:rPr>
          <w:rFonts w:ascii="Calibri" w:hAnsi="Calibri"/>
          <w:b w:val="0"/>
          <w:i w:val="0"/>
          <w:color w:val="1E272E"/>
        </w:rPr>
        <w:t>Aucune intervention technique sans autorisation specifique.</w:t>
      </w:r>
    </w:p>
    <w:p>
      <w:pPr>
        <w:pStyle w:val="ListBullet"/>
        <w:spacing w:after="60" w:line="276" w:lineRule="auto"/>
      </w:pPr>
      <w:r>
        <w:rPr>
          <w:rFonts w:ascii="Calibri" w:hAnsi="Calibri"/>
          <w:b w:val="0"/>
          <w:i w:val="0"/>
          <w:color w:val="1E272E"/>
        </w:rPr>
        <w:t>Risques apparents notes sans se substituer a un diagnostic reglementaire.</w:t>
      </w:r>
    </w:p>
    <w:p>
      <w:pPr>
        <w:pStyle w:val="ListBullet"/>
        <w:spacing w:after="60" w:line="276" w:lineRule="auto"/>
      </w:pPr>
      <w:r>
        <w:rPr>
          <w:rFonts w:ascii="Calibri" w:hAnsi="Calibri"/>
          <w:b w:val="0"/>
          <w:i w:val="0"/>
          <w:color w:val="1E272E"/>
        </w:rPr>
        <w:t>Informations recueillies conservees en interne sauf accord contraire.</w:t>
      </w:r>
    </w:p>
    <w:p>
      <w:pPr>
        <w:pStyle w:val="Heading2"/>
        <w:spacing w:before="0" w:after="120" w:line="276" w:lineRule="auto"/>
      </w:pPr>
      <w:r>
        <w:rPr>
          <w:rFonts w:ascii="Calibri" w:hAnsi="Calibri"/>
          <w:b w:val="0"/>
          <w:i w:val="0"/>
        </w:rPr>
        <w:t>Conditions particulieres a completer</w:t>
      </w:r>
    </w:p>
    <w:p>
      <w:pPr>
        <w:spacing w:before="0" w:after="40" w:line="276" w:lineRule="auto"/>
      </w:pPr>
      <w:r>
        <w:rPr>
          <w:rFonts w:ascii="Calibri" w:hAnsi="Calibri"/>
          <w:b/>
          <w:i w:val="0"/>
          <w:color w:val="09223A"/>
          <w:sz w:val="19"/>
        </w:rPr>
        <w:t>Modalites precises d'acces, d'usage, de collecte, de stockage, de transport, de financement ou d'intervention.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Limites, reserves, exclusions ou conditions suspensives.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indispensables avant execution.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7. Responsabilites, assurance et securite</w:t>
      </w:r>
    </w:p>
    <w:p>
      <w:pPr>
        <w:spacing w:before="0" w:after="80" w:line="276" w:lineRule="auto"/>
      </w:pPr>
      <w:r>
        <w:rPr>
          <w:rFonts w:ascii="Calibri" w:hAnsi="Calibri"/>
          <w:b/>
          <w:i w:val="0"/>
          <w:color w:val="09223A"/>
          <w:sz w:val="21"/>
        </w:rPr>
        <w:t>Controle prealable obligatoire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6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OK</w:t>
            </w:r>
          </w:p>
        </w:tc>
        <w:tc>
          <w:tcPr>
            <w:tcW w:type="dxa" w:w="33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Piece / controle</w:t>
            </w:r>
          </w:p>
        </w:tc>
        <w:tc>
          <w:tcPr>
            <w:tcW w:type="dxa" w:w="144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Priorite</w:t>
            </w:r>
          </w:p>
        </w:tc>
        <w:tc>
          <w:tcPr>
            <w:tcW w:type="dxa" w:w="36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Commentaire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Pouvoir de signature / autorisation</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Verifier la personne habilitee a signer.</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TVF</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les garanties mobilisables.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l'autre partie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Bien, local, vehicule, chantier, activite ou responsabilite civile.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Securite / acces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Aucune action sans conditions de securite suffisantes.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Autorisations administratives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Urbanisme, ERP, copropriete, voirie, occupation, travaux.</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Budget / couts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depenses, charges, fournitures, transport et prise en charge.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Donnees personnelles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Limiter les donnees au strict necessaire et proteger les pieces sensibles.</w:t>
            </w:r>
          </w:p>
        </w:tc>
      </w:tr>
    </w:tbl>
    <w:p>
      <w:pPr>
        <w:spacing w:before="0" w:after="60" w:line="276" w:lineRule="auto"/>
      </w:pPr>
    </w:p>
    <w:p>
      <w:pPr>
        <w:spacing w:before="0" w:after="120" w:line="276" w:lineRule="auto"/>
      </w:pPr>
      <w:r>
        <w:rPr>
          <w:rFonts w:ascii="Calibri" w:hAnsi="Calibri"/>
          <w:b w:val="0"/>
          <w:i w:val="0"/>
        </w:rPr>
        <w:t>Chaque partie demeure responsable de ses obligations legales, fiscales, sociales, assurantielles, administratives et techniques. La convention ne transfere aucune responsabilite non expressement prevue.</w:t>
      </w:r>
    </w:p>
    <w:p>
      <w:pPr>
        <w:pStyle w:val="Heading1"/>
        <w:spacing w:before="0" w:after="120" w:line="276" w:lineRule="auto"/>
      </w:pPr>
      <w:r>
        <w:rPr>
          <w:rFonts w:ascii="Calibri" w:hAnsi="Calibri"/>
          <w:b w:val="0"/>
          <w:i w:val="0"/>
        </w:rPr>
        <w:t>8. Suivi, tracabilite et documents</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Documents a produire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Compte rendu   [ ] Bordereau   [ ] Photos   [ ] Inventaire   [ ] Budget   [ ] Bilan   [ ] Autre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d'archivage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 OS - Dossier n degre : TVF-____-____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Indicateurs suivis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Livrables attendus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intermediaire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final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bl>
    <w:p>
      <w:pPr>
        <w:spacing w:before="0" w:after="60" w:line="276" w:lineRule="auto"/>
      </w:pPr>
    </w:p>
    <w:p>
      <w:pPr>
        <w:pStyle w:val="Heading1"/>
        <w:spacing w:before="0" w:after="120" w:line="276" w:lineRule="auto"/>
      </w:pPr>
      <w:r>
        <w:rPr>
          <w:rFonts w:ascii="Calibri" w:hAnsi="Calibri"/>
          <w:b w:val="0"/>
          <w:i w:val="0"/>
        </w:rPr>
        <w:t>9. Confidentialite, donnees et communication</w:t>
      </w:r>
    </w:p>
    <w:p>
      <w:pPr>
        <w:pStyle w:val="ListBullet"/>
        <w:spacing w:after="60" w:line="276" w:lineRule="auto"/>
      </w:pPr>
      <w:r>
        <w:rPr>
          <w:rFonts w:ascii="Calibri" w:hAnsi="Calibri"/>
          <w:b w:val="0"/>
          <w:i w:val="0"/>
          <w:color w:val="1E272E"/>
        </w:rPr>
        <w:t>Les informations non publiques transmises dans le cadre du dossier restent confidentielles, sauf accord ecrit ou obligation legale.</w:t>
      </w:r>
    </w:p>
    <w:p>
      <w:pPr>
        <w:pStyle w:val="ListBullet"/>
        <w:spacing w:after="60" w:line="276" w:lineRule="auto"/>
      </w:pPr>
      <w:r>
        <w:rPr>
          <w:rFonts w:ascii="Calibri" w:hAnsi="Calibri"/>
          <w:b w:val="0"/>
          <w:i w:val="0"/>
          <w:color w:val="1E272E"/>
        </w:rPr>
        <w:t>Les donnees personnelles sont traitees uniquement pour la gestion, l'instruction, le suivi et l'archivage du dossier.</w:t>
      </w:r>
    </w:p>
    <w:p>
      <w:pPr>
        <w:pStyle w:val="ListBullet"/>
        <w:spacing w:after="60" w:line="276" w:lineRule="auto"/>
      </w:pPr>
      <w:r>
        <w:rPr>
          <w:rFonts w:ascii="Calibri" w:hAnsi="Calibri"/>
          <w:b w:val="0"/>
          <w:i w:val="0"/>
          <w:color w:val="1E272E"/>
        </w:rPr>
        <w:t>Toute utilisation de nom, logo, image, citation, photo, video ou reference publique doit etre validee avant diffusion.</w:t>
      </w:r>
    </w:p>
    <w:p>
      <w:pPr>
        <w:pStyle w:val="ListBullet"/>
        <w:spacing w:after="60" w:line="276" w:lineRule="auto"/>
      </w:pPr>
      <w:r>
        <w:rPr>
          <w:rFonts w:ascii="Calibri" w:hAnsi="Calibri"/>
          <w:b w:val="0"/>
          <w:i w:val="0"/>
          <w:color w:val="1E272E"/>
        </w:rPr>
        <w:t>Aucune mention de partenariat, soutien, financement ou projet commun ne doit etre publiee sans accord ecrit des parties concernees.</w:t>
      </w:r>
    </w:p>
    <w:p>
      <w:pPr>
        <w:pStyle w:val="Heading1"/>
        <w:spacing w:before="0" w:after="120" w:line="276" w:lineRule="auto"/>
      </w:pPr>
      <w:r>
        <w:rPr>
          <w:rFonts w:ascii="Calibri" w:hAnsi="Calibri"/>
          <w:b w:val="0"/>
          <w:i w:val="0"/>
        </w:rPr>
        <w:t>10. Suspension, resiliation et cloture</w:t>
      </w:r>
    </w:p>
    <w:p>
      <w:pPr>
        <w:pStyle w:val="ListBullet"/>
        <w:spacing w:after="60" w:line="276" w:lineRule="auto"/>
      </w:pPr>
      <w:r>
        <w:rPr>
          <w:rFonts w:ascii="Calibri" w:hAnsi="Calibri"/>
          <w:b w:val="0"/>
          <w:i w:val="0"/>
          <w:color w:val="1E272E"/>
        </w:rPr>
        <w:t>La convention peut etre suspendue si les conditions de securite, d'assurance, d'autorisation, de financement ou de confiance ne sont plus reunies.</w:t>
      </w:r>
    </w:p>
    <w:p>
      <w:pPr>
        <w:pStyle w:val="ListBullet"/>
        <w:spacing w:after="60" w:line="276" w:lineRule="auto"/>
      </w:pPr>
      <w:r>
        <w:rPr>
          <w:rFonts w:ascii="Calibri" w:hAnsi="Calibri"/>
          <w:b w:val="0"/>
          <w:i w:val="0"/>
          <w:color w:val="1E272E"/>
        </w:rPr>
        <w:t>Chaque partie peut demander une revision ou une cloture anticipee selon les modalites precisees aux conditions particulieres.</w:t>
      </w:r>
    </w:p>
    <w:p>
      <w:pPr>
        <w:pStyle w:val="ListBullet"/>
        <w:spacing w:after="60" w:line="276" w:lineRule="auto"/>
      </w:pPr>
      <w:r>
        <w:rPr>
          <w:rFonts w:ascii="Calibri" w:hAnsi="Calibri"/>
          <w:b w:val="0"/>
          <w:i w:val="0"/>
          <w:color w:val="1E272E"/>
        </w:rPr>
        <w:t>La cloture donne lieu, lorsque necessaire, a un proces-verbal, un bilan, un inventaire, une restitution de cles, materiaux, documents ou equipements.</w:t>
      </w:r>
    </w:p>
    <w:p>
      <w:pPr>
        <w:pStyle w:val="ListBullet"/>
        <w:spacing w:after="60" w:line="276" w:lineRule="auto"/>
      </w:pPr>
      <w:r>
        <w:rPr>
          <w:rFonts w:ascii="Calibri" w:hAnsi="Calibri"/>
          <w:b w:val="0"/>
          <w:i w:val="0"/>
          <w:color w:val="1E272E"/>
        </w:rPr>
        <w:t>Les obligations de confidentialite, de protection des donnees, de restitution et de communication continuent a s'appliquer apres la fin de la convention lorsque leur nature l'exige.</w:t>
      </w:r>
    </w:p>
    <w:p>
      <w:pPr>
        <w:pStyle w:val="Heading1"/>
        <w:spacing w:before="0" w:after="120" w:line="276" w:lineRule="auto"/>
      </w:pPr>
      <w:r>
        <w:rPr>
          <w:rFonts w:ascii="Calibri" w:hAnsi="Calibri"/>
          <w:b w:val="0"/>
          <w:i w:val="0"/>
        </w:rPr>
        <w:t>11. Reglement des difficultes</w:t>
      </w:r>
    </w:p>
    <w:p>
      <w:pPr>
        <w:spacing w:before="0" w:after="120" w:line="276" w:lineRule="auto"/>
      </w:pPr>
      <w:r>
        <w:rPr>
          <w:rFonts w:ascii="Calibri" w:hAnsi="Calibri"/>
          <w:b w:val="0"/>
          <w:i w:val="0"/>
        </w:rPr>
        <w:t>Les parties recherchent prioritairement une solution amiable en cas de difficulte d'interpretation, d'execution ou de cloture. Toute difficulte persistante doit etre documentee par ecrit avec les pieces utiles avant decision de suite.</w:t>
      </w:r>
    </w:p>
    <w:p>
      <w:pPr>
        <w:pStyle w:val="Heading1"/>
        <w:spacing w:before="0" w:after="120" w:line="276" w:lineRule="auto"/>
      </w:pPr>
      <w:r>
        <w:rPr>
          <w:rFonts w:ascii="Calibri" w:hAnsi="Calibri"/>
          <w:b w:val="0"/>
          <w:i w:val="0"/>
        </w:rPr>
        <w:t>12. Annexes</w:t>
      </w:r>
    </w:p>
    <w:p>
      <w:pPr>
        <w:pStyle w:val="ListBullet"/>
        <w:spacing w:after="60" w:line="276" w:lineRule="auto"/>
      </w:pPr>
      <w:r>
        <w:rPr>
          <w:rFonts w:ascii="Calibri" w:hAnsi="Calibri"/>
          <w:b w:val="0"/>
          <w:i w:val="0"/>
          <w:color w:val="1E272E"/>
        </w:rPr>
        <w:t>Adresse</w:t>
      </w:r>
    </w:p>
    <w:p>
      <w:pPr>
        <w:pStyle w:val="ListBullet"/>
        <w:spacing w:after="60" w:line="276" w:lineRule="auto"/>
      </w:pPr>
      <w:r>
        <w:rPr>
          <w:rFonts w:ascii="Calibri" w:hAnsi="Calibri"/>
          <w:b w:val="0"/>
          <w:i w:val="0"/>
          <w:color w:val="1E272E"/>
        </w:rPr>
        <w:t>Personnes autorisees</w:t>
      </w:r>
    </w:p>
    <w:p>
      <w:pPr>
        <w:pStyle w:val="ListBullet"/>
        <w:spacing w:after="60" w:line="276" w:lineRule="auto"/>
      </w:pPr>
      <w:r>
        <w:rPr>
          <w:rFonts w:ascii="Calibri" w:hAnsi="Calibri"/>
          <w:b w:val="0"/>
          <w:i w:val="0"/>
          <w:color w:val="1E272E"/>
        </w:rPr>
        <w:t>Photos autorisees</w:t>
      </w:r>
    </w:p>
    <w:p>
      <w:pPr>
        <w:pStyle w:val="ListBullet"/>
        <w:spacing w:after="60" w:line="276" w:lineRule="auto"/>
      </w:pPr>
      <w:r>
        <w:rPr>
          <w:rFonts w:ascii="Calibri" w:hAnsi="Calibri"/>
          <w:b w:val="0"/>
          <w:i w:val="0"/>
          <w:color w:val="1E272E"/>
        </w:rPr>
        <w:t>Piece identite si besoin</w:t>
      </w:r>
    </w:p>
    <w:p>
      <w:pPr>
        <w:pStyle w:val="ListBullet"/>
        <w:spacing w:after="60" w:line="276" w:lineRule="auto"/>
      </w:pPr>
      <w:r>
        <w:rPr>
          <w:rFonts w:ascii="Calibri" w:hAnsi="Calibri"/>
          <w:b w:val="0"/>
          <w:i w:val="0"/>
          <w:color w:val="1E272E"/>
        </w:rPr>
        <w:t>Compte rendu visite</w:t>
      </w:r>
    </w:p>
    <w:p>
      <w:pPr>
        <w:pStyle w:val="Heading2"/>
        <w:spacing w:before="0" w:after="120" w:line="276" w:lineRule="auto"/>
      </w:pPr>
      <w:r>
        <w:rPr>
          <w:rFonts w:ascii="Calibri" w:hAnsi="Calibri"/>
          <w:b w:val="0"/>
          <w:i w:val="0"/>
        </w:rPr>
        <w:t>Annexes jointes au present dossier</w:t>
      </w:r>
    </w:p>
    <w:p>
      <w:pPr>
        <w:spacing w:before="0" w:after="40" w:line="276" w:lineRule="auto"/>
      </w:pPr>
      <w:r>
        <w:rPr>
          <w:rFonts w:ascii="Calibri" w:hAnsi="Calibri"/>
          <w:b/>
          <w:i w:val="0"/>
          <w:color w:val="09223A"/>
          <w:sz w:val="19"/>
        </w:rPr>
        <w:t>Liste des annexes jointes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attendues mais non encore recues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Reservations ou conditions de validite</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2"/>
        <w:spacing w:before="0" w:after="120" w:line="276" w:lineRule="auto"/>
      </w:pPr>
      <w:r>
        <w:rPr>
          <w:rFonts w:ascii="Calibri" w:hAnsi="Calibri"/>
          <w:b w:val="0"/>
          <w:i w:val="0"/>
        </w:rPr>
        <w:t>Signatures</w:t>
      </w:r>
    </w:p>
    <w:tbl>
      <w:tblPr>
        <w:tblW w:type="auto" w:w="0"/>
        <w:jc w:val="center"/>
        <w:tblLayout w:type="fixed"/>
        <w:tblLook w:firstColumn="1" w:firstRow="1" w:lastColumn="0" w:lastRow="0" w:noHBand="0" w:noVBand="1" w:val="04A0"/>
      </w:tblPr>
      <w:tblGrid>
        <w:gridCol w:w="4968"/>
        <w:gridCol w:w="4968"/>
      </w:tblGrid>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et date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Fait a : ____________________________    Le : ____ / ____ / ______</w:t>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TERRITOIRES VIVANTS FRANCE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l'autre partie signataire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bl>
    <w:p>
      <w:pPr>
        <w:spacing w:before="0" w:after="0" w:line="276" w:lineRule="auto"/>
      </w:pPr>
      <w:r>
        <w:rPr>
          <w:rFonts w:ascii="Calibri" w:hAnsi="Calibri"/>
          <w:b w:val="0"/>
          <w:i/>
          <w:color w:val="5A646C"/>
          <w:sz w:val="18"/>
        </w:rPr>
        <w:t>Le present modele doit etre adapte au dossier, aux pieces transmises et au cadre juridique applicable avant signature definitive.</w:t>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6C"/>
        <w:sz w:val="16"/>
      </w:rPr>
      <w:t>TERRITOIRES VIVANTS FRANCE - Document modifiable - www.territoiresvivantsfrance.fr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024"/>
      <w:gridCol w:w="6912"/>
    </w:tblGrid>
    <w:tr>
      <w:tc>
        <w:tcPr>
          <w:tcW w:type="dxa" w:w="4968"/>
        </w:tcPr>
        <w:p>
          <w:pPr>
            <w:spacing w:after="0"/>
            <w:jc w:val="left"/>
          </w:pPr>
          <w:r>
            <w:drawing>
              <wp:inline xmlns:a="http://schemas.openxmlformats.org/drawingml/2006/main" xmlns:pic="http://schemas.openxmlformats.org/drawingml/2006/picture">
                <wp:extent cx="1508760" cy="46841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08760" cy="468414"/>
                        </a:xfrm>
                        <a:prstGeom prst="rect"/>
                      </pic:spPr>
                    </pic:pic>
                  </a:graphicData>
                </a:graphic>
              </wp:inline>
            </w:drawing>
          </w:r>
        </w:p>
      </w:tc>
      <w:tc>
        <w:tcPr>
          <w:tcW w:type="dxa" w:w="4968"/>
        </w:tcPr>
        <w:p>
          <w:pPr>
            <w:spacing w:after="0"/>
            <w:jc w:val="right"/>
          </w:pPr>
          <w:r>
            <w:rPr>
              <w:rFonts w:ascii="Calibri" w:hAnsi="Calibri"/>
              <w:b/>
              <w:i w:val="0"/>
              <w:color w:val="09223A"/>
              <w:sz w:val="19"/>
            </w:rPr>
            <w:t>TERRITOIRES VIVANTS FRANCE</w:t>
          </w:r>
          <w:r>
            <w:br/>
          </w:r>
          <w:r>
            <w:rPr>
              <w:rFonts w:ascii="Calibri" w:hAnsi="Calibri"/>
              <w:b w:val="0"/>
              <w:i w:val="0"/>
              <w:color w:val="5A646C"/>
              <w:sz w:val="16"/>
            </w:rPr>
            <w:t>RNA W423016361 - SIREN 107 226 128 - contact@territoiresvivantsfrance.fr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922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92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