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TVF-CONV-12</w:t>
      </w:r>
    </w:p>
    <w:p>
      <w:pPr>
        <w:keepNext/>
        <w:spacing w:before="0" w:after="80" w:line="276" w:lineRule="auto"/>
      </w:pPr>
      <w:r>
        <w:rPr>
          <w:rFonts w:ascii="Calibri" w:hAnsi="Calibri"/>
          <w:b/>
          <w:i w:val="0"/>
          <w:color w:val="09223A"/>
          <w:sz w:val="40"/>
        </w:rPr>
        <w:t>Proces-verbal type de restitution ou cloture</w:t>
      </w:r>
    </w:p>
    <w:p>
      <w:pPr>
        <w:spacing w:before="0" w:after="240" w:line="276" w:lineRule="auto"/>
      </w:pPr>
      <w:r>
        <w:rPr>
          <w:rFonts w:ascii="Calibri" w:hAnsi="Calibri"/>
          <w:b w:val="0"/>
          <w:i w:val="0"/>
          <w:color w:val="5A646C"/>
          <w:sz w:val="22"/>
        </w:rPr>
        <w:t>Cloturer une mise a disposition, une action ou une cooperation.</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TVF-CONV-12</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proprietaire, collectivite, structure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Tracer la fin d'une action, la restitution d'un bien ou le bilan d'une cooperation.</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Date, objet, parties, livrables et points ouverts precises.</w:t>
      </w:r>
    </w:p>
    <w:p>
      <w:pPr>
        <w:pStyle w:val="ListBullet"/>
        <w:spacing w:after="60" w:line="276" w:lineRule="auto"/>
      </w:pPr>
      <w:r>
        <w:rPr>
          <w:rFonts w:ascii="Calibri" w:hAnsi="Calibri"/>
          <w:b w:val="0"/>
          <w:i w:val="0"/>
          <w:color w:val="1E272E"/>
        </w:rPr>
        <w:t>Etat de sortie ou bilan d'utilisation annexe si necessaire.</w:t>
      </w:r>
    </w:p>
    <w:p>
      <w:pPr>
        <w:pStyle w:val="ListBullet"/>
        <w:spacing w:after="60" w:line="276" w:lineRule="auto"/>
      </w:pPr>
      <w:r>
        <w:rPr>
          <w:rFonts w:ascii="Calibri" w:hAnsi="Calibri"/>
          <w:b w:val="0"/>
          <w:i w:val="0"/>
          <w:color w:val="1E272E"/>
        </w:rPr>
        <w:t>Cles, documents, materiaux ou equipements restitues listes.</w:t>
      </w:r>
    </w:p>
    <w:p>
      <w:pPr>
        <w:pStyle w:val="ListBullet"/>
        <w:spacing w:after="60" w:line="276" w:lineRule="auto"/>
      </w:pPr>
      <w:r>
        <w:rPr>
          <w:rFonts w:ascii="Calibri" w:hAnsi="Calibri"/>
          <w:b w:val="0"/>
          <w:i w:val="0"/>
          <w:color w:val="1E272E"/>
        </w:rPr>
        <w:t>Reserves eventuelles formulees factuellement.</w:t>
      </w:r>
    </w:p>
    <w:p>
      <w:pPr>
        <w:pStyle w:val="ListBullet"/>
        <w:spacing w:after="60" w:line="276" w:lineRule="auto"/>
      </w:pPr>
      <w:r>
        <w:rPr>
          <w:rFonts w:ascii="Calibri" w:hAnsi="Calibri"/>
          <w:b w:val="0"/>
          <w:i w:val="0"/>
          <w:color w:val="1E272E"/>
        </w:rPr>
        <w:t>Communication finale validee avant publication.</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Etat de sortie</w:t>
      </w:r>
    </w:p>
    <w:p>
      <w:pPr>
        <w:pStyle w:val="ListBullet"/>
        <w:spacing w:after="60" w:line="276" w:lineRule="auto"/>
      </w:pPr>
      <w:r>
        <w:rPr>
          <w:rFonts w:ascii="Calibri" w:hAnsi="Calibri"/>
          <w:b w:val="0"/>
          <w:i w:val="0"/>
          <w:color w:val="1E272E"/>
        </w:rPr>
        <w:t>Inventaire</w:t>
      </w:r>
    </w:p>
    <w:p>
      <w:pPr>
        <w:pStyle w:val="ListBullet"/>
        <w:spacing w:after="60" w:line="276" w:lineRule="auto"/>
      </w:pPr>
      <w:r>
        <w:rPr>
          <w:rFonts w:ascii="Calibri" w:hAnsi="Calibri"/>
          <w:b w:val="0"/>
          <w:i w:val="0"/>
          <w:color w:val="1E272E"/>
        </w:rPr>
        <w:t>Photos</w:t>
      </w:r>
    </w:p>
    <w:p>
      <w:pPr>
        <w:pStyle w:val="ListBullet"/>
        <w:spacing w:after="60" w:line="276" w:lineRule="auto"/>
      </w:pPr>
      <w:r>
        <w:rPr>
          <w:rFonts w:ascii="Calibri" w:hAnsi="Calibri"/>
          <w:b w:val="0"/>
          <w:i w:val="0"/>
          <w:color w:val="1E272E"/>
        </w:rPr>
        <w:t>Bilan impact</w:t>
      </w:r>
    </w:p>
    <w:p>
      <w:pPr>
        <w:pStyle w:val="ListBullet"/>
        <w:spacing w:after="60" w:line="276" w:lineRule="auto"/>
      </w:pPr>
      <w:r>
        <w:rPr>
          <w:rFonts w:ascii="Calibri" w:hAnsi="Calibri"/>
          <w:b w:val="0"/>
          <w:i w:val="0"/>
          <w:color w:val="1E272E"/>
        </w:rPr>
        <w:t>Reserves eventuelles</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