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C3E50"/>
          <w:sz w:val="48"/>
          <w:szCs w:val="48"/>
        </w:rPr>
        <w:t xml:space="preserve">TERMS &amp; CONDITIONS</w:t>
      </w:r>
    </w:p>
    <w:p>
      <w:pPr>
        <w:spacing w:after="100"/>
        <w:jc w:val="center"/>
      </w:pPr>
      <w:r>
        <w:rPr>
          <w:rFonts w:ascii="Arial" w:cs="Arial" w:eastAsia="Arial" w:hAnsi="Arial"/>
          <w:color w:val="E74C3C"/>
          <w:sz w:val="28"/>
          <w:szCs w:val="28"/>
        </w:rPr>
        <w:t xml:space="preserve">LEGAL REVIEW &amp; COMPLIANCE ANALYSIS</w:t>
      </w:r>
    </w:p>
    <w:p>
      <w:pPr>
        <w:pBdr>
          <w:bottom w:val="single" w:color="2C3E50" w:sz="8" w:space="8"/>
        </w:pBdr>
        <w:spacing w:after="600"/>
        <w:jc w:val="center"/>
      </w:pPr>
      <w:r>
        <w:rPr>
          <w:rFonts w:ascii="Arial" w:cs="Arial" w:eastAsia="Arial" w:hAnsi="Arial"/>
          <w:color w:val="7F8C8D"/>
          <w:sz w:val="24"/>
          <w:szCs w:val="24"/>
        </w:rPr>
        <w:t xml:space="preserve">Josa.ai (Josato Group LLC)</w:t>
      </w:r>
    </w:p>
    <w:p>
      <w:pPr>
        <w:spacing w:after="100"/>
        <w:jc w:val="center"/>
      </w:pPr>
      <w:r>
        <w:rPr>
          <w:rFonts w:ascii="Arial" w:cs="Arial" w:eastAsia="Arial" w:hAnsi="Arial"/>
          <w:color w:val="7F8C8D"/>
          <w:sz w:val="22"/>
          <w:szCs w:val="22"/>
        </w:rPr>
        <w:t xml:space="preserve">Prepared: April 1, 2026</w:t>
      </w:r>
    </w:p>
    <w:p>
      <w:pPr>
        <w:spacing w:after="100"/>
        <w:jc w:val="center"/>
      </w:pPr>
      <w:r>
        <w:rPr>
          <w:rFonts w:ascii="Arial" w:cs="Arial" w:eastAsia="Arial" w:hAnsi="Arial"/>
          <w:color w:val="7F8C8D"/>
          <w:sz w:val="22"/>
          <w:szCs w:val="22"/>
        </w:rPr>
        <w:t xml:space="preserve">Current T&amp;C Effective Date: February 1, 2025</w:t>
      </w:r>
    </w:p>
    <w:p>
      <w:pPr>
        <w:spacing w:after="400"/>
        <w:jc w:val="center"/>
      </w:pPr>
      <w:r>
        <w:rPr>
          <w:rFonts w:ascii="Arial" w:cs="Arial" w:eastAsia="Arial" w:hAnsi="Arial"/>
          <w:b/>
          <w:bCs/>
          <w:color w:val="E74C3C"/>
          <w:sz w:val="22"/>
          <w:szCs w:val="22"/>
        </w:rPr>
        <w:t xml:space="preserve">Classification: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8"/>
              <w:bottom w:val="single" w:color="E74C3C" w:sz="2"/>
              <w:right w:val="single" w:color="E74C3C" w:sz="2"/>
            </w:tcBorders>
            <w:shd w:fill="FDEDEC"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DISCLAIMER</w:t>
            </w:r>
          </w:p>
          <w:p>
            <w:r>
              <w:rPr>
                <w:rFonts w:ascii="Arial" w:cs="Arial" w:eastAsia="Arial" w:hAnsi="Arial"/>
                <w:color w:val="666666"/>
                <w:sz w:val="18"/>
                <w:szCs w:val="18"/>
              </w:rPr>
              <w:t xml:space="preserve">This analysis is provided for informational purposes and does not constitute legal advice. All findings should be reviewed by qualified legal counsel before implementation. Regulatory requirements vary by jurisdiction and change frequently.</w:t>
            </w:r>
          </w:p>
        </w:tc>
      </w:tr>
    </w:tbl>
    <w:p>
      <w:r>
        <w:br w:type="page"/>
      </w:r>
    </w:p>
    <w:p>
      <w:pPr>
        <w:pStyle w:val="Heading1"/>
        <w:spacing w:after="150" w:before="300"/>
      </w:pPr>
      <w:r>
        <w:rPr>
          <w:rFonts w:ascii="Arial" w:cs="Arial" w:eastAsia="Arial" w:hAnsi="Arial"/>
        </w:rPr>
        <w:t xml:space="preserve">1. Executive Summary</w:t>
      </w:r>
    </w:p>
    <w:p>
      <w:pPr>
        <w:spacing w:after="120" w:line="276"/>
      </w:pPr>
      <w:r>
        <w:rPr>
          <w:rFonts w:ascii="Arial" w:cs="Arial" w:eastAsia="Arial" w:hAnsi="Arial"/>
          <w:sz w:val="22"/>
          <w:szCs w:val="22"/>
        </w:rPr>
        <w:t xml:space="preserve">This review analyzes the current Terms and Conditions for Josa.ai (effective February 1, 2025) against commercial best practices, privacy regulations (GDPR, CCPA/CPRA), and SaaS industry standards. The current T&amp;C appears to be generated from a generic website template and contains significant gaps that leave Josato Group LLC exposed to regulatory, commercial, and reputational risk.</w:t>
      </w:r>
    </w:p>
    <w:p>
      <w:pPr>
        <w:spacing w:after="120" w:line="276"/>
      </w:pPr>
      <w:r>
        <w:rPr>
          <w:rFonts w:ascii="Arial" w:cs="Arial" w:eastAsia="Arial" w:hAnsi="Arial"/>
          <w:b/>
          <w:bCs/>
          <w:sz w:val="22"/>
          <w:szCs w:val="22"/>
        </w:rPr>
        <w:t xml:space="preserve">Overall Assessment: </w:t>
      </w:r>
      <w:r>
        <w:rPr>
          <w:rFonts w:ascii="Arial" w:cs="Arial" w:eastAsia="Arial" w:hAnsi="Arial"/>
          <w:sz w:val="22"/>
          <w:szCs w:val="22"/>
        </w:rPr>
        <w:t xml:space="preserve">The T&amp;C requires substantial strengthening. Five issues are classified as RED (requiring immediate attention), eight as YELLOW (should be negotiated/improved), and two as GREEN (acceptable with minor improvements).</w:t>
      </w:r>
    </w:p>
    <w:p>
      <w:pPr>
        <w:spacing w:after="120" w:line="276"/>
      </w:pPr>
      <w:r>
        <w:rPr>
          <w:rFonts w:ascii="Arial" w:cs="Arial" w:eastAsia="Arial" w:hAnsi="Arial"/>
          <w:sz w:val="22"/>
          <w:szCs w:val="22"/>
        </w:rPr>
        <w:t xml:space="preserve">The most critical gaps are the complete absence of data protection provisions, the lack of SaaS-specific service terms, and the one-sided liability framework that may be unenforceable for paid services in multiple jurisdictions.</w:t>
      </w:r>
    </w:p>
    <w:p>
      <w:pPr>
        <w:pStyle w:val="Heading1"/>
        <w:spacing w:after="150" w:before="300"/>
      </w:pPr>
      <w:r>
        <w:rPr>
          <w:rFonts w:ascii="Arial" w:cs="Arial" w:eastAsia="Arial" w:hAnsi="Arial"/>
        </w:rPr>
        <w:t xml:space="preserve">2. Findings Summary</w:t>
      </w:r>
    </w:p>
    <w:p>
      <w:pPr>
        <w:spacing w:after="120" w:line="276"/>
      </w:pPr>
      <w:r>
        <w:rPr>
          <w:rFonts w:ascii="Arial" w:cs="Arial" w:eastAsia="Arial" w:hAnsi="Arial"/>
          <w:sz w:val="22"/>
          <w:szCs w:val="22"/>
        </w:rPr>
        <w:t xml:space="preserve">The table below summarizes all identified issues, classified by severity using the RED / YELLOW / GREEN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Protection / Privacy Compliance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GDPR, CCPA, or privacy regulation provisions. Critical for any SaaS processing personal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SaaS Service Definition &amp; SLA</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definition of the SaaS services, uptime guarantees, or service level commitments for paid services.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Processing &amp; Ownership</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data processing agreement, data ownership terms, or data portability rights for customer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Limitation of Liability Cap</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monetary cap on liability. Blanket disclaimer with no carve-outs for fraud or willful misconduct.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Indemnification (One-Sided)</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indemnifies Josa.ai with no reciprocal obligation. No cap on indemnification exposure.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Subscription &amp; Billing Terms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Vague cancellation/refund policy. No terms for price changes, auto-renewal, or billing disputes.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Children's Privacy (Age Threshold)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Uses age 13 (COPPA) but GDPR requires 16. Inconsistent: says 13 in one place, 18 in another.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Termination &amp; Data Access</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Josa.ai can terminate without notice. No data export/transition period for paying customers.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Third-Party Data Sharing</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Blanket consent to share data with any contractual third party is overly broad.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Submissions License Grant</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Very broad perpetual license on user submissions. Excessive for a SaaS platform.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Arbitration / Class Action Waiver</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small claims exception, no opt-out window, no escalation process before arbitration.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Electronic Communications Consent</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Consent is overly broad with no opt-out mechanism for marketing communications.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Force Majeure</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YELLOW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force majeure clause to address service interruptions beyond Josa.ai's control.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Governing Law vs. Arbitration Conflict</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Florida law + Federal Arbitration Act is standard, though venue provision may conflict with arbitration clause.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Intellectual Property</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GREEN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Adequate IP protections for site content. Could add explicit AI/output ownership terms.</w:t>
            </w:r>
          </w:p>
        </w:tc>
      </w:tr>
    </w:tbl>
    <w:p>
      <w:r>
        <w:br w:type="page"/>
      </w:r>
    </w:p>
    <w:p>
      <w:pPr>
        <w:pStyle w:val="Heading1"/>
        <w:spacing w:after="150" w:before="300"/>
      </w:pPr>
      <w:r>
        <w:rPr>
          <w:rFonts w:ascii="Arial" w:cs="Arial" w:eastAsia="Arial" w:hAnsi="Arial"/>
        </w:rPr>
        <w:t xml:space="preserve">3. Critical Issues (RED — Immediate Action Required)</w:t>
      </w:r>
    </w:p>
    <w:p>
      <w:pPr>
        <w:pStyle w:val="Heading2"/>
        <w:spacing w:after="150" w:before="300"/>
      </w:pPr>
      <w:r>
        <w:rPr>
          <w:rFonts w:ascii="Arial" w:cs="Arial" w:eastAsia="Arial" w:hAnsi="Arial"/>
        </w:rPr>
        <w:t xml:space="preserve">3.1 Data Protection &amp; Privacy Compliance</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T&amp;C references a Privacy Policy but contains zero provisions for GDPR, CCPA/CPRA, or any other privacy regulation. For a SaaS platform that processes user data, this is the single most significant gap.</w:t>
      </w:r>
    </w:p>
    <w:p>
      <w:pPr>
        <w:spacing w:after="120" w:line="276"/>
      </w:pPr>
      <w:r>
        <w:rPr>
          <w:rFonts w:ascii="Arial" w:cs="Arial" w:eastAsia="Arial" w:hAnsi="Arial"/>
          <w:sz w:val="22"/>
          <w:szCs w:val="22"/>
        </w:rPr>
        <w:t xml:space="preserve">What is missing:</w:t>
      </w:r>
    </w:p>
    <w:p>
      <w:pPr>
        <w:pStyle w:val="ListParagraph"/>
        <w:numPr>
          <w:ilvl w:val="0"/>
          <w:numId w:val="2"/>
        </w:numPr>
        <w:spacing w:after="80" w:line="276"/>
      </w:pPr>
      <w:r>
        <w:rPr>
          <w:rFonts w:ascii="Arial" w:cs="Arial" w:eastAsia="Arial" w:hAnsi="Arial"/>
          <w:sz w:val="22"/>
          <w:szCs w:val="22"/>
        </w:rPr>
        <w:t xml:space="preserve">Lawful basis for processing personal data (GDPR Article 6)</w:t>
      </w:r>
    </w:p>
    <w:p>
      <w:pPr>
        <w:pStyle w:val="ListParagraph"/>
        <w:numPr>
          <w:ilvl w:val="0"/>
          <w:numId w:val="2"/>
        </w:numPr>
        <w:spacing w:after="80" w:line="276"/>
      </w:pPr>
      <w:r>
        <w:rPr>
          <w:rFonts w:ascii="Arial" w:cs="Arial" w:eastAsia="Arial" w:hAnsi="Arial"/>
          <w:sz w:val="22"/>
          <w:szCs w:val="22"/>
        </w:rPr>
        <w:t xml:space="preserve">Data subject rights: access, rectification, erasure, portability, restriction, objection</w:t>
      </w:r>
    </w:p>
    <w:p>
      <w:pPr>
        <w:pStyle w:val="ListParagraph"/>
        <w:numPr>
          <w:ilvl w:val="0"/>
          <w:numId w:val="2"/>
        </w:numPr>
        <w:spacing w:after="80" w:line="276"/>
      </w:pPr>
      <w:r>
        <w:rPr>
          <w:rFonts w:ascii="Arial" w:cs="Arial" w:eastAsia="Arial" w:hAnsi="Arial"/>
          <w:sz w:val="22"/>
          <w:szCs w:val="22"/>
        </w:rPr>
        <w:t xml:space="preserve">Data breach notification obligations (72 hours under GDPR)</w:t>
      </w:r>
    </w:p>
    <w:p>
      <w:pPr>
        <w:pStyle w:val="ListParagraph"/>
        <w:numPr>
          <w:ilvl w:val="0"/>
          <w:numId w:val="2"/>
        </w:numPr>
        <w:spacing w:after="80" w:line="276"/>
      </w:pPr>
      <w:r>
        <w:rPr>
          <w:rFonts w:ascii="Arial" w:cs="Arial" w:eastAsia="Arial" w:hAnsi="Arial"/>
          <w:sz w:val="22"/>
          <w:szCs w:val="22"/>
        </w:rPr>
        <w:t xml:space="preserve">Cross-border data transfer safeguards (Standard Contractual Clauses)</w:t>
      </w:r>
    </w:p>
    <w:p>
      <w:pPr>
        <w:pStyle w:val="ListParagraph"/>
        <w:numPr>
          <w:ilvl w:val="0"/>
          <w:numId w:val="2"/>
        </w:numPr>
        <w:spacing w:after="80" w:line="276"/>
      </w:pPr>
      <w:r>
        <w:rPr>
          <w:rFonts w:ascii="Arial" w:cs="Arial" w:eastAsia="Arial" w:hAnsi="Arial"/>
          <w:sz w:val="22"/>
          <w:szCs w:val="22"/>
        </w:rPr>
        <w:t xml:space="preserve">Data Processing Agreement for B2B customers whose data you process</w:t>
      </w:r>
    </w:p>
    <w:p>
      <w:pPr>
        <w:pStyle w:val="ListParagraph"/>
        <w:numPr>
          <w:ilvl w:val="0"/>
          <w:numId w:val="2"/>
        </w:numPr>
        <w:spacing w:after="80" w:line="276"/>
      </w:pPr>
      <w:r>
        <w:rPr>
          <w:rFonts w:ascii="Arial" w:cs="Arial" w:eastAsia="Arial" w:hAnsi="Arial"/>
          <w:sz w:val="22"/>
          <w:szCs w:val="22"/>
        </w:rPr>
        <w:t xml:space="preserve">CCPA/CPRA: right to know, right to delete, right to opt-out of sale/sharing</w:t>
      </w:r>
    </w:p>
    <w:p>
      <w:pPr>
        <w:pStyle w:val="ListParagraph"/>
        <w:numPr>
          <w:ilvl w:val="0"/>
          <w:numId w:val="2"/>
        </w:numPr>
        <w:spacing w:after="80" w:line="276"/>
      </w:pPr>
      <w:r>
        <w:rPr>
          <w:rFonts w:ascii="Arial" w:cs="Arial" w:eastAsia="Arial" w:hAnsi="Arial"/>
          <w:sz w:val="22"/>
          <w:szCs w:val="22"/>
        </w:rPr>
        <w:t xml:space="preserve">Cookie consent and tracking technology disclosures</w:t>
      </w:r>
    </w:p>
    <w:p>
      <w:pPr>
        <w:pStyle w:val="ListParagraph"/>
        <w:numPr>
          <w:ilvl w:val="0"/>
          <w:numId w:val="2"/>
        </w:numPr>
        <w:spacing w:after="80" w:line="276"/>
      </w:pPr>
      <w:r>
        <w:rPr>
          <w:rFonts w:ascii="Arial" w:cs="Arial" w:eastAsia="Arial" w:hAnsi="Arial"/>
          <w:sz w:val="22"/>
          <w:szCs w:val="22"/>
        </w:rPr>
        <w:t xml:space="preserve">Data retention periods and deletion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after="80"/>
            </w:pPr>
            <w:r>
              <w:rPr>
                <w:rFonts w:ascii="Arial" w:cs="Arial" w:eastAsia="Arial" w:hAnsi="Arial"/>
                <w:b/>
                <w:bCs/>
                <w:color w:val="2471A3"/>
                <w:sz w:val="20"/>
                <w:szCs w:val="20"/>
              </w:rPr>
              <w:t xml:space="preserve">Recommended Addition: Data Protection Section</w:t>
            </w:r>
          </w:p>
          <w:p>
            <w:pPr>
              <w:spacing w:after="40"/>
            </w:pPr>
            <w:r>
              <w:rPr>
                <w:rFonts w:ascii="Arial" w:cs="Arial" w:eastAsia="Arial" w:hAnsi="Arial"/>
                <w:i/>
                <w:iCs/>
                <w:sz w:val="20"/>
                <w:szCs w:val="20"/>
              </w:rPr>
              <w:t xml:space="preserve">Add a dedicated "Data Protection" section that: (a) identifies Josa.ai as the data controller and specifies lawful bases for processing; (b) enumerates all data subject rights with response timelines (30 days GDPR, 45 days CCPA); (c) establishes breach notification procedures; (d) addresses international data transfers with appropriate safeguards; (e) provides a DPA framework for enterprise customers; (f) includes CCPA-specific disclosures including categories of personal information collected, purposes, and opt-out rights.</w:t>
            </w:r>
          </w:p>
        </w:tc>
      </w:tr>
    </w:tbl>
    <w:p>
      <w:pPr>
        <w:pStyle w:val="Heading2"/>
        <w:spacing w:after="150" w:before="300"/>
      </w:pPr>
      <w:r>
        <w:rPr>
          <w:rFonts w:ascii="Arial" w:cs="Arial" w:eastAsia="Arial" w:hAnsi="Arial"/>
        </w:rPr>
        <w:t xml:space="preserve">3.2 SaaS Service Definition &amp; Service Level Agreement</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T&amp;C states it is "an ecommerce site selling SaaS services" but never defines what those services are, what uptime is guaranteed, or what happens when services are unavailable.</w:t>
      </w:r>
    </w:p>
    <w:p>
      <w:pPr>
        <w:spacing w:after="120" w:line="276"/>
      </w:pPr>
      <w:r>
        <w:rPr>
          <w:rFonts w:ascii="Arial" w:cs="Arial" w:eastAsia="Arial" w:hAnsi="Arial"/>
          <w:sz w:val="22"/>
          <w:szCs w:val="22"/>
        </w:rPr>
        <w:t xml:space="preserve">What is missing:</w:t>
      </w:r>
    </w:p>
    <w:p>
      <w:pPr>
        <w:pStyle w:val="ListParagraph"/>
        <w:numPr>
          <w:ilvl w:val="0"/>
          <w:numId w:val="3"/>
        </w:numPr>
        <w:spacing w:after="80" w:line="276"/>
      </w:pPr>
      <w:r>
        <w:rPr>
          <w:rFonts w:ascii="Arial" w:cs="Arial" w:eastAsia="Arial" w:hAnsi="Arial"/>
          <w:sz w:val="22"/>
          <w:szCs w:val="22"/>
        </w:rPr>
        <w:t xml:space="preserve">Clear definition of the SaaS services being provided</w:t>
      </w:r>
    </w:p>
    <w:p>
      <w:pPr>
        <w:pStyle w:val="ListParagraph"/>
        <w:numPr>
          <w:ilvl w:val="0"/>
          <w:numId w:val="3"/>
        </w:numPr>
        <w:spacing w:after="80" w:line="276"/>
      </w:pPr>
      <w:r>
        <w:rPr>
          <w:rFonts w:ascii="Arial" w:cs="Arial" w:eastAsia="Arial" w:hAnsi="Arial"/>
          <w:sz w:val="22"/>
          <w:szCs w:val="22"/>
        </w:rPr>
        <w:t xml:space="preserve">Uptime commitment (e.g., 99.9% availability) and how it is measured</w:t>
      </w:r>
    </w:p>
    <w:p>
      <w:pPr>
        <w:pStyle w:val="ListParagraph"/>
        <w:numPr>
          <w:ilvl w:val="0"/>
          <w:numId w:val="3"/>
        </w:numPr>
        <w:spacing w:after="80" w:line="276"/>
      </w:pPr>
      <w:r>
        <w:rPr>
          <w:rFonts w:ascii="Arial" w:cs="Arial" w:eastAsia="Arial" w:hAnsi="Arial"/>
          <w:sz w:val="22"/>
          <w:szCs w:val="22"/>
        </w:rPr>
        <w:t xml:space="preserve">Scheduled maintenance windows and notification requirements</w:t>
      </w:r>
    </w:p>
    <w:p>
      <w:pPr>
        <w:pStyle w:val="ListParagraph"/>
        <w:numPr>
          <w:ilvl w:val="0"/>
          <w:numId w:val="3"/>
        </w:numPr>
        <w:spacing w:after="80" w:line="276"/>
      </w:pPr>
      <w:r>
        <w:rPr>
          <w:rFonts w:ascii="Arial" w:cs="Arial" w:eastAsia="Arial" w:hAnsi="Arial"/>
          <w:sz w:val="22"/>
          <w:szCs w:val="22"/>
        </w:rPr>
        <w:t xml:space="preserve">Service credits or remedies for downtime exceeding the SLA</w:t>
      </w:r>
    </w:p>
    <w:p>
      <w:pPr>
        <w:pStyle w:val="ListParagraph"/>
        <w:numPr>
          <w:ilvl w:val="0"/>
          <w:numId w:val="3"/>
        </w:numPr>
        <w:spacing w:after="80" w:line="276"/>
      </w:pPr>
      <w:r>
        <w:rPr>
          <w:rFonts w:ascii="Arial" w:cs="Arial" w:eastAsia="Arial" w:hAnsi="Arial"/>
          <w:sz w:val="22"/>
          <w:szCs w:val="22"/>
        </w:rPr>
        <w:t xml:space="preserve">Service modification and discontinuation procedures with advance notice</w:t>
      </w:r>
    </w:p>
    <w:p>
      <w:pPr>
        <w:pStyle w:val="ListParagraph"/>
        <w:numPr>
          <w:ilvl w:val="0"/>
          <w:numId w:val="3"/>
        </w:numPr>
        <w:spacing w:after="80" w:line="276"/>
      </w:pPr>
      <w:r>
        <w:rPr>
          <w:rFonts w:ascii="Arial" w:cs="Arial" w:eastAsia="Arial" w:hAnsi="Arial"/>
          <w:sz w:val="22"/>
          <w:szCs w:val="22"/>
        </w:rPr>
        <w:t xml:space="preserve">Support terms: response times, channels, hours of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after="80"/>
            </w:pPr>
            <w:r>
              <w:rPr>
                <w:rFonts w:ascii="Arial" w:cs="Arial" w:eastAsia="Arial" w:hAnsi="Arial"/>
                <w:b/>
                <w:bCs/>
                <w:color w:val="2471A3"/>
                <w:sz w:val="20"/>
                <w:szCs w:val="20"/>
              </w:rPr>
              <w:t xml:space="preserve">Recommended Addition: Service Terms &amp; SLA</w:t>
            </w:r>
          </w:p>
          <w:p>
            <w:pPr>
              <w:spacing w:after="40"/>
            </w:pPr>
            <w:r>
              <w:rPr>
                <w:rFonts w:ascii="Arial" w:cs="Arial" w:eastAsia="Arial" w:hAnsi="Arial"/>
                <w:i/>
                <w:iCs/>
                <w:sz w:val="20"/>
                <w:szCs w:val="20"/>
              </w:rPr>
              <w:t xml:space="preserve">Add a "Service Description and Availability" section that defines the SaaS services, commits to a specific uptime percentage (industry standard: 99.9%), provides service credit mechanisms for downtime, requires 30-day advance notice before material service changes, and establishes support response time tiers.</w:t>
            </w:r>
          </w:p>
        </w:tc>
      </w:tr>
    </w:tbl>
    <w:p>
      <w:pPr>
        <w:pStyle w:val="Heading2"/>
        <w:spacing w:after="150" w:before="300"/>
      </w:pPr>
      <w:r>
        <w:rPr>
          <w:rFonts w:ascii="Arial" w:cs="Arial" w:eastAsia="Arial" w:hAnsi="Arial"/>
        </w:rPr>
        <w:t xml:space="preserve">3.3 Data Processing, Ownership &amp; Portability</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No provisions address who owns the data customers upload or generate using Josa.ai’s services, how that data is processed, or how customers can retrieve their data.</w:t>
      </w:r>
    </w:p>
    <w:p>
      <w:pPr>
        <w:spacing w:after="120" w:line="276"/>
      </w:pPr>
      <w:r>
        <w:rPr>
          <w:rFonts w:ascii="Arial" w:cs="Arial" w:eastAsia="Arial" w:hAnsi="Arial"/>
          <w:sz w:val="22"/>
          <w:szCs w:val="22"/>
        </w:rPr>
        <w:t xml:space="preserve">What is missing:</w:t>
      </w:r>
    </w:p>
    <w:p>
      <w:pPr>
        <w:pStyle w:val="ListParagraph"/>
        <w:numPr>
          <w:ilvl w:val="0"/>
          <w:numId w:val="4"/>
        </w:numPr>
        <w:spacing w:after="80" w:line="276"/>
      </w:pPr>
      <w:r>
        <w:rPr>
          <w:rFonts w:ascii="Arial" w:cs="Arial" w:eastAsia="Arial" w:hAnsi="Arial"/>
          <w:sz w:val="22"/>
          <w:szCs w:val="22"/>
        </w:rPr>
        <w:t xml:space="preserve">Customer data ownership clause (customer retains ownership of their data)</w:t>
      </w:r>
    </w:p>
    <w:p>
      <w:pPr>
        <w:pStyle w:val="ListParagraph"/>
        <w:numPr>
          <w:ilvl w:val="0"/>
          <w:numId w:val="4"/>
        </w:numPr>
        <w:spacing w:after="80" w:line="276"/>
      </w:pPr>
      <w:r>
        <w:rPr>
          <w:rFonts w:ascii="Arial" w:cs="Arial" w:eastAsia="Arial" w:hAnsi="Arial"/>
          <w:sz w:val="22"/>
          <w:szCs w:val="22"/>
        </w:rPr>
        <w:t xml:space="preserve">License grant from customer to Josa.ai limited to service delivery purposes</w:t>
      </w:r>
    </w:p>
    <w:p>
      <w:pPr>
        <w:pStyle w:val="ListParagraph"/>
        <w:numPr>
          <w:ilvl w:val="0"/>
          <w:numId w:val="4"/>
        </w:numPr>
        <w:spacing w:after="80" w:line="276"/>
      </w:pPr>
      <w:r>
        <w:rPr>
          <w:rFonts w:ascii="Arial" w:cs="Arial" w:eastAsia="Arial" w:hAnsi="Arial"/>
          <w:sz w:val="22"/>
          <w:szCs w:val="22"/>
        </w:rPr>
        <w:t xml:space="preserve">Data portability and export mechanisms</w:t>
      </w:r>
    </w:p>
    <w:p>
      <w:pPr>
        <w:pStyle w:val="ListParagraph"/>
        <w:numPr>
          <w:ilvl w:val="0"/>
          <w:numId w:val="4"/>
        </w:numPr>
        <w:spacing w:after="80" w:line="276"/>
      </w:pPr>
      <w:r>
        <w:rPr>
          <w:rFonts w:ascii="Arial" w:cs="Arial" w:eastAsia="Arial" w:hAnsi="Arial"/>
          <w:sz w:val="22"/>
          <w:szCs w:val="22"/>
        </w:rPr>
        <w:t xml:space="preserve">Data deletion upon account termination (timeline and certification)</w:t>
      </w:r>
    </w:p>
    <w:p>
      <w:pPr>
        <w:pStyle w:val="ListParagraph"/>
        <w:numPr>
          <w:ilvl w:val="0"/>
          <w:numId w:val="4"/>
        </w:numPr>
        <w:spacing w:after="80" w:line="276"/>
      </w:pPr>
      <w:r>
        <w:rPr>
          <w:rFonts w:ascii="Arial" w:cs="Arial" w:eastAsia="Arial" w:hAnsi="Arial"/>
          <w:sz w:val="22"/>
          <w:szCs w:val="22"/>
        </w:rPr>
        <w:t xml:space="preserve">Data backup and recovery commitments</w:t>
      </w:r>
    </w:p>
    <w:p>
      <w:pPr>
        <w:pStyle w:val="ListParagraph"/>
        <w:numPr>
          <w:ilvl w:val="0"/>
          <w:numId w:val="4"/>
        </w:numPr>
        <w:spacing w:after="80" w:line="276"/>
      </w:pPr>
      <w:r>
        <w:rPr>
          <w:rFonts w:ascii="Arial" w:cs="Arial" w:eastAsia="Arial" w:hAnsi="Arial"/>
          <w:sz w:val="22"/>
          <w:szCs w:val="22"/>
        </w:rPr>
        <w:t xml:space="preserve">AI-specific provisions: ownership of AI-generated outputs, training data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after="80"/>
            </w:pPr>
            <w:r>
              <w:rPr>
                <w:rFonts w:ascii="Arial" w:cs="Arial" w:eastAsia="Arial" w:hAnsi="Arial"/>
                <w:b/>
                <w:bCs/>
                <w:color w:val="2471A3"/>
                <w:sz w:val="20"/>
                <w:szCs w:val="20"/>
              </w:rPr>
              <w:t xml:space="preserve">Recommended Addition: Data Ownership &amp; Processing</w:t>
            </w:r>
          </w:p>
          <w:p>
            <w:pPr>
              <w:spacing w:after="40"/>
            </w:pPr>
            <w:r>
              <w:rPr>
                <w:rFonts w:ascii="Arial" w:cs="Arial" w:eastAsia="Arial" w:hAnsi="Arial"/>
                <w:i/>
                <w:iCs/>
                <w:sz w:val="20"/>
                <w:szCs w:val="20"/>
              </w:rPr>
              <w:t xml:space="preserve">Add a section stating: "Customer retains all right, title, and interest in Customer Data. Customer grants Josa.ai a limited, non-exclusive license to process Customer Data solely for the purpose of providing the Services. Upon termination, Josa.ai will make Customer Data available for export for 30 days, after which it will be permanently deleted within 60 days. Josa.ai will not use Customer Data to train machine learning models without explicit opt-in consent."</w:t>
            </w:r>
          </w:p>
        </w:tc>
      </w:tr>
    </w:tbl>
    <w:p>
      <w:pPr>
        <w:pStyle w:val="Heading2"/>
        <w:spacing w:after="150" w:before="300"/>
      </w:pPr>
      <w:r>
        <w:rPr>
          <w:rFonts w:ascii="Arial" w:cs="Arial" w:eastAsia="Arial" w:hAnsi="Arial"/>
        </w:rPr>
        <w:t xml:space="preserve">3.4 Limitation of Liability</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current T&amp;C includes a blanket "AS IS" disclaimer and attempts to exclude all damages (direct, indirect, punitive, incidental, special, consequential) without any monetary cap. For a paid SaaS service, this is likely unenforceable in many jurisdictions and provides inadequate protection.</w:t>
      </w:r>
    </w:p>
    <w:p>
      <w:pPr>
        <w:spacing w:after="120" w:line="276"/>
      </w:pPr>
      <w:r>
        <w:rPr>
          <w:rFonts w:ascii="Arial" w:cs="Arial" w:eastAsia="Arial" w:hAnsi="Arial"/>
          <w:sz w:val="22"/>
          <w:szCs w:val="22"/>
        </w:rPr>
        <w:t xml:space="preserve">Issues identified:</w:t>
      </w:r>
    </w:p>
    <w:p>
      <w:pPr>
        <w:pStyle w:val="ListParagraph"/>
        <w:numPr>
          <w:ilvl w:val="0"/>
          <w:numId w:val="5"/>
        </w:numPr>
        <w:spacing w:after="80" w:line="276"/>
      </w:pPr>
      <w:r>
        <w:rPr>
          <w:rFonts w:ascii="Arial" w:cs="Arial" w:eastAsia="Arial" w:hAnsi="Arial"/>
          <w:sz w:val="22"/>
          <w:szCs w:val="22"/>
        </w:rPr>
        <w:t xml:space="preserve">No monetary cap on liability (industry standard: 12 months of fees paid)</w:t>
      </w:r>
    </w:p>
    <w:p>
      <w:pPr>
        <w:pStyle w:val="ListParagraph"/>
        <w:numPr>
          <w:ilvl w:val="0"/>
          <w:numId w:val="5"/>
        </w:numPr>
        <w:spacing w:after="80" w:line="276"/>
      </w:pPr>
      <w:r>
        <w:rPr>
          <w:rFonts w:ascii="Arial" w:cs="Arial" w:eastAsia="Arial" w:hAnsi="Arial"/>
          <w:sz w:val="22"/>
          <w:szCs w:val="22"/>
        </w:rPr>
        <w:t xml:space="preserve">Attempting to disclaim ALL damages including direct damages for a paid service</w:t>
      </w:r>
    </w:p>
    <w:p>
      <w:pPr>
        <w:pStyle w:val="ListParagraph"/>
        <w:numPr>
          <w:ilvl w:val="0"/>
          <w:numId w:val="5"/>
        </w:numPr>
        <w:spacing w:after="80" w:line="276"/>
      </w:pPr>
      <w:r>
        <w:rPr>
          <w:rFonts w:ascii="Arial" w:cs="Arial" w:eastAsia="Arial" w:hAnsi="Arial"/>
          <w:sz w:val="22"/>
          <w:szCs w:val="22"/>
        </w:rPr>
        <w:t xml:space="preserve">No carve-outs for fraud, willful misconduct, gross negligence, or IP infringement</w:t>
      </w:r>
    </w:p>
    <w:p>
      <w:pPr>
        <w:pStyle w:val="ListParagraph"/>
        <w:numPr>
          <w:ilvl w:val="0"/>
          <w:numId w:val="5"/>
        </w:numPr>
        <w:spacing w:after="80" w:line="276"/>
      </w:pPr>
      <w:r>
        <w:rPr>
          <w:rFonts w:ascii="Arial" w:cs="Arial" w:eastAsia="Arial" w:hAnsi="Arial"/>
          <w:sz w:val="22"/>
          <w:szCs w:val="22"/>
        </w:rPr>
        <w:t xml:space="preserve">No mutual application — only protects Josa.ai</w:t>
      </w:r>
    </w:p>
    <w:p>
      <w:pPr>
        <w:pStyle w:val="ListParagraph"/>
        <w:numPr>
          <w:ilvl w:val="0"/>
          <w:numId w:val="5"/>
        </w:numPr>
        <w:spacing w:after="80" w:line="276"/>
      </w:pPr>
      <w:r>
        <w:rPr>
          <w:rFonts w:ascii="Arial" w:cs="Arial" w:eastAsia="Arial" w:hAnsi="Arial"/>
          <w:sz w:val="22"/>
          <w:szCs w:val="22"/>
        </w:rPr>
        <w:t xml:space="preserve">Complete warranty disclaimer may be unenforceable for paid SaaS services in consumer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after="80"/>
            </w:pPr>
            <w:r>
              <w:rPr>
                <w:rFonts w:ascii="Arial" w:cs="Arial" w:eastAsia="Arial" w:hAnsi="Arial"/>
                <w:b/>
                <w:bCs/>
                <w:color w:val="2471A3"/>
                <w:sz w:val="20"/>
                <w:szCs w:val="20"/>
              </w:rPr>
              <w:t xml:space="preserve">Recommended Replacement: Limitation of Liability</w:t>
            </w:r>
          </w:p>
          <w:p>
            <w:pPr>
              <w:spacing w:after="40"/>
            </w:pPr>
            <w:r>
              <w:rPr>
                <w:rFonts w:ascii="Arial" w:cs="Arial" w:eastAsia="Arial" w:hAnsi="Arial"/>
                <w:i/>
                <w:iCs/>
                <w:sz w:val="20"/>
                <w:szCs w:val="20"/>
              </w:rPr>
              <w:t xml:space="preserve">Replace the current blanket disclaimer with a structured clause that: (a) caps aggregate liability at the greater of the fees paid in the 12 months preceding the claim or $500; (b) excludes consequential, indirect, and punitive damages mutually; (c) carves out uncapped liability for fraud, willful misconduct, gross negligence, IP infringement, confidentiality breaches, and indemnification obligations; (d) provides a limited warranty that the services will perform materially as described in the documentation for 30 days.</w:t>
            </w:r>
          </w:p>
        </w:tc>
      </w:tr>
    </w:tbl>
    <w:p>
      <w:pPr>
        <w:pStyle w:val="Heading2"/>
        <w:spacing w:after="150" w:before="300"/>
      </w:pPr>
      <w:r>
        <w:rPr>
          <w:rFonts w:ascii="Arial" w:cs="Arial" w:eastAsia="Arial" w:hAnsi="Arial"/>
        </w:rPr>
        <w:t xml:space="preserve">3.5 Indemnification</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indemnification is entirely one-sided. Users must indemnify Josa.ai for essentially any claim, but Josa.ai provides no reciprocal indemnification — not even for IP infringement claims arising from use of the service.</w:t>
      </w:r>
    </w:p>
    <w:p>
      <w:pPr>
        <w:spacing w:after="120" w:line="276"/>
      </w:pPr>
      <w:r>
        <w:rPr>
          <w:rFonts w:ascii="Arial" w:cs="Arial" w:eastAsia="Arial" w:hAnsi="Arial"/>
          <w:sz w:val="22"/>
          <w:szCs w:val="22"/>
        </w:rPr>
        <w:t xml:space="preserve">Issues identified:</w:t>
      </w:r>
    </w:p>
    <w:p>
      <w:pPr>
        <w:pStyle w:val="ListParagraph"/>
        <w:numPr>
          <w:ilvl w:val="0"/>
          <w:numId w:val="6"/>
        </w:numPr>
        <w:spacing w:after="80" w:line="276"/>
      </w:pPr>
      <w:r>
        <w:rPr>
          <w:rFonts w:ascii="Arial" w:cs="Arial" w:eastAsia="Arial" w:hAnsi="Arial"/>
          <w:sz w:val="22"/>
          <w:szCs w:val="22"/>
        </w:rPr>
        <w:t xml:space="preserve">Completely one-sided: user indemnifies Josa.ai but not vice versa</w:t>
      </w:r>
    </w:p>
    <w:p>
      <w:pPr>
        <w:pStyle w:val="ListParagraph"/>
        <w:numPr>
          <w:ilvl w:val="0"/>
          <w:numId w:val="6"/>
        </w:numPr>
        <w:spacing w:after="80" w:line="276"/>
      </w:pPr>
      <w:r>
        <w:rPr>
          <w:rFonts w:ascii="Arial" w:cs="Arial" w:eastAsia="Arial" w:hAnsi="Arial"/>
          <w:sz w:val="22"/>
          <w:szCs w:val="22"/>
        </w:rPr>
        <w:t xml:space="preserve">No IP infringement indemnification from Josa.ai (standard for SaaS vendors)</w:t>
      </w:r>
    </w:p>
    <w:p>
      <w:pPr>
        <w:pStyle w:val="ListParagraph"/>
        <w:numPr>
          <w:ilvl w:val="0"/>
          <w:numId w:val="6"/>
        </w:numPr>
        <w:spacing w:after="80" w:line="276"/>
      </w:pPr>
      <w:r>
        <w:rPr>
          <w:rFonts w:ascii="Arial" w:cs="Arial" w:eastAsia="Arial" w:hAnsi="Arial"/>
          <w:sz w:val="22"/>
          <w:szCs w:val="22"/>
        </w:rPr>
        <w:t xml:space="preserve">No cap on indemnification exposure</w:t>
      </w:r>
    </w:p>
    <w:p>
      <w:pPr>
        <w:pStyle w:val="ListParagraph"/>
        <w:numPr>
          <w:ilvl w:val="0"/>
          <w:numId w:val="6"/>
        </w:numPr>
        <w:spacing w:after="80" w:line="276"/>
      </w:pPr>
      <w:r>
        <w:rPr>
          <w:rFonts w:ascii="Arial" w:cs="Arial" w:eastAsia="Arial" w:hAnsi="Arial"/>
          <w:sz w:val="22"/>
          <w:szCs w:val="22"/>
        </w:rPr>
        <w:t xml:space="preserve">No procedural protections: notice requirements, right to control defense, mitigation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after="80"/>
            </w:pPr>
            <w:r>
              <w:rPr>
                <w:rFonts w:ascii="Arial" w:cs="Arial" w:eastAsia="Arial" w:hAnsi="Arial"/>
                <w:b/>
                <w:bCs/>
                <w:color w:val="2471A3"/>
                <w:sz w:val="20"/>
                <w:szCs w:val="20"/>
              </w:rPr>
              <w:t xml:space="preserve">Recommended Replacement: Mutual Indemnification</w:t>
            </w:r>
          </w:p>
          <w:p>
            <w:pPr>
              <w:spacing w:after="40"/>
            </w:pPr>
            <w:r>
              <w:rPr>
                <w:rFonts w:ascii="Arial" w:cs="Arial" w:eastAsia="Arial" w:hAnsi="Arial"/>
                <w:i/>
                <w:iCs/>
                <w:sz w:val="20"/>
                <w:szCs w:val="20"/>
              </w:rPr>
              <w:t xml:space="preserve">Add mutual indemnification where: (a) Josa.ai indemnifies customers against third-party IP infringement claims arising from the service; (b) customer indemnifies Josa.ai against claims arising from customer’s data, use in violation of the T&amp;C, or violation of law; (c) both parties include procedural requirements: prompt written notice, right to control defense, cooperation duties, and no settlement without consent.</w:t>
            </w:r>
          </w:p>
        </w:tc>
      </w:tr>
    </w:tbl>
    <w:p>
      <w:r>
        <w:br w:type="page"/>
      </w:r>
    </w:p>
    <w:p>
      <w:pPr>
        <w:pStyle w:val="Heading1"/>
        <w:spacing w:after="150" w:before="300"/>
      </w:pPr>
      <w:r>
        <w:rPr>
          <w:rFonts w:ascii="Arial" w:cs="Arial" w:eastAsia="Arial" w:hAnsi="Arial"/>
        </w:rPr>
        <w:t xml:space="preserve">4. Significant Issues (YELLOW — Should Be Addressed)</w:t>
      </w:r>
    </w:p>
    <w:p>
      <w:pPr>
        <w:pStyle w:val="Heading2"/>
        <w:spacing w:after="150" w:before="300"/>
      </w:pPr>
      <w:r>
        <w:rPr>
          <w:rFonts w:ascii="Arial" w:cs="Arial" w:eastAsia="Arial" w:hAnsi="Arial"/>
        </w:rPr>
        <w:t xml:space="preserve">4.1 Subscription, Billing &amp; Cancellation Terms</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cancellation policy states "Any cancellations made after 14 days of the trial period will not qualify for a refund." This is vague and incomplete.</w:t>
      </w:r>
    </w:p>
    <w:p>
      <w:pPr>
        <w:spacing w:after="120" w:line="276"/>
      </w:pPr>
      <w:r>
        <w:rPr>
          <w:rFonts w:ascii="Arial" w:cs="Arial" w:eastAsia="Arial" w:hAnsi="Arial"/>
          <w:sz w:val="22"/>
          <w:szCs w:val="22"/>
        </w:rPr>
        <w:t xml:space="preserve">Missing provisions include: auto-renewal terms and advance notice requirements (typically 30 days before renewal), procedures for price changes with advance notice (60–90 days), proration for mid-cycle cancellations, billing dispute resolution process, and free trial conversion terms. The recommended approach is to add a comprehensive "Subscription and Billing" section covering each of these elements.</w:t>
      </w:r>
    </w:p>
    <w:p>
      <w:pPr>
        <w:pStyle w:val="Heading2"/>
        <w:spacing w:after="150" w:before="300"/>
      </w:pPr>
      <w:r>
        <w:rPr>
          <w:rFonts w:ascii="Arial" w:cs="Arial" w:eastAsia="Arial" w:hAnsi="Arial"/>
        </w:rPr>
        <w:t xml:space="preserve">4.2 Children’s Privacy (Age Thresholds)</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T&amp;C references age 13 (COPPA standard) and age 18 in the same section, creating internal inconsistency. GDPR requires consent for data processing of individuals under 16.</w:t>
      </w:r>
    </w:p>
    <w:p>
      <w:pPr>
        <w:spacing w:after="120" w:line="276"/>
      </w:pPr>
      <w:r>
        <w:rPr>
          <w:rFonts w:ascii="Arial" w:cs="Arial" w:eastAsia="Arial" w:hAnsi="Arial"/>
          <w:sz w:val="22"/>
          <w:szCs w:val="22"/>
        </w:rPr>
        <w:t xml:space="preserve">Recommendation: Harmonize the age threshold to 16 for GDPR compliance, require verifiable parental consent for users under 16, and add COPPA-specific provisions if the platform could foreseeably be used by children under 13.</w:t>
      </w:r>
    </w:p>
    <w:p>
      <w:pPr>
        <w:pStyle w:val="Heading2"/>
        <w:spacing w:after="150" w:before="300"/>
      </w:pPr>
      <w:r>
        <w:rPr>
          <w:rFonts w:ascii="Arial" w:cs="Arial" w:eastAsia="Arial" w:hAnsi="Arial"/>
        </w:rPr>
        <w:t xml:space="preserve">4.3 Termination &amp; Data Access Post-Termination</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Josa.ai reserves the right to terminate access "at any time, without notice." For paying customers, this is commercially unreasonable and likely unenforceable.</w:t>
      </w:r>
    </w:p>
    <w:p>
      <w:pPr>
        <w:spacing w:after="120" w:line="276"/>
      </w:pPr>
      <w:r>
        <w:rPr>
          <w:rFonts w:ascii="Arial" w:cs="Arial" w:eastAsia="Arial" w:hAnsi="Arial"/>
          <w:sz w:val="22"/>
          <w:szCs w:val="22"/>
        </w:rPr>
        <w:t xml:space="preserve">Recommendation: Add a cure period for termination for cause (30 days for non-material breaches), require 30 days advance notice for termination for convenience, provide a data export window (30 days post-termination), and specify transition assistance obligations.</w:t>
      </w:r>
    </w:p>
    <w:p>
      <w:pPr>
        <w:pStyle w:val="Heading2"/>
        <w:spacing w:after="150" w:before="300"/>
      </w:pPr>
      <w:r>
        <w:rPr>
          <w:rFonts w:ascii="Arial" w:cs="Arial" w:eastAsia="Arial" w:hAnsi="Arial"/>
        </w:rPr>
        <w:t xml:space="preserve">4.4 Third-Party Data Sharing</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Users consent to Josa.ai sharing data "with any third party with whom Josa.ai has a contractual relationship." This blanket consent is overly broad and may not satisfy GDPR’s purpose limitation principle.</w:t>
      </w:r>
    </w:p>
    <w:p>
      <w:pPr>
        <w:spacing w:after="120" w:line="276"/>
      </w:pPr>
      <w:r>
        <w:rPr>
          <w:rFonts w:ascii="Arial" w:cs="Arial" w:eastAsia="Arial" w:hAnsi="Arial"/>
          <w:sz w:val="22"/>
          <w:szCs w:val="22"/>
        </w:rPr>
        <w:t xml:space="preserve">Recommendation: Limit data sharing to what is necessary to provide the services, maintain a publicly accessible list of sub-processors, require advance notice before adding new sub-processors, and ensure all sub-processors are bound by equivalent data protection obligations.</w:t>
      </w:r>
    </w:p>
    <w:p>
      <w:pPr>
        <w:pStyle w:val="Heading2"/>
        <w:spacing w:after="150" w:before="300"/>
      </w:pPr>
      <w:r>
        <w:rPr>
          <w:rFonts w:ascii="Arial" w:cs="Arial" w:eastAsia="Arial" w:hAnsi="Arial"/>
        </w:rPr>
        <w:t xml:space="preserve">4.5 Submissions License Grant</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The license grant on user submissions is very broad: rights to "copy, distribute, transmit, publicly display, publicly perform, reproduce, edit, translate and reformat" plus publish the user’s name. This is excessive for a SaaS platform.</w:t>
      </w:r>
    </w:p>
    <w:p>
      <w:pPr>
        <w:spacing w:after="120" w:line="276"/>
      </w:pPr>
      <w:r>
        <w:rPr>
          <w:rFonts w:ascii="Arial" w:cs="Arial" w:eastAsia="Arial" w:hAnsi="Arial"/>
          <w:sz w:val="22"/>
          <w:szCs w:val="22"/>
        </w:rPr>
        <w:t xml:space="preserve">Recommendation: Narrow the license to what is necessary to provide the services. Separate feedback (where a broader license may be appropriate) from customer data and content. Add explicit limitations that the license terminates upon account deletion except for aggregated, de-identified data.</w:t>
      </w:r>
    </w:p>
    <w:p>
      <w:pPr>
        <w:pStyle w:val="Heading2"/>
        <w:spacing w:after="150" w:before="300"/>
      </w:pPr>
      <w:r>
        <w:rPr>
          <w:rFonts w:ascii="Arial" w:cs="Arial" w:eastAsia="Arial" w:hAnsi="Arial"/>
        </w:rPr>
        <w:t xml:space="preserve">4.6 Arbitration &amp; Class Action Waiver</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Mandatory binding arbitration with a class action waiver. While enforceable in most U.S. jurisdictions, several elements could be strengthened.</w:t>
      </w:r>
    </w:p>
    <w:p>
      <w:pPr>
        <w:spacing w:after="120" w:line="276"/>
      </w:pPr>
      <w:r>
        <w:rPr>
          <w:rFonts w:ascii="Arial" w:cs="Arial" w:eastAsia="Arial" w:hAnsi="Arial"/>
          <w:sz w:val="22"/>
          <w:szCs w:val="22"/>
        </w:rPr>
        <w:t xml:space="preserve">Missing provisions include: a small claims court exception (claims under $10,000), a 30-day opt-out window for new users, an informal dispute resolution requirement before arbitration (e.g., 60-day negotiation period), specification of who bears arbitration costs, and a mass arbitration protocol for efficiency.</w:t>
      </w:r>
    </w:p>
    <w:p>
      <w:pPr>
        <w:pStyle w:val="Heading2"/>
        <w:spacing w:after="150" w:before="300"/>
      </w:pPr>
      <w:r>
        <w:rPr>
          <w:rFonts w:ascii="Arial" w:cs="Arial" w:eastAsia="Arial" w:hAnsi="Arial"/>
        </w:rPr>
        <w:t xml:space="preserve">4.7 Electronic Communications Consent</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Broad consent to all electronic communications with no opt-out mechanism. This may violate CAN-SPAM, TCPA (for SMS), and GDPR marketing consent requirements.</w:t>
      </w:r>
    </w:p>
    <w:p>
      <w:pPr>
        <w:spacing w:after="120" w:line="276"/>
      </w:pPr>
      <w:r>
        <w:rPr>
          <w:rFonts w:ascii="Arial" w:cs="Arial" w:eastAsia="Arial" w:hAnsi="Arial"/>
          <w:sz w:val="22"/>
          <w:szCs w:val="22"/>
        </w:rPr>
        <w:t xml:space="preserve">Recommendation: Separate transactional communications (account notices, security alerts) from marketing communications. Provide clear opt-out mechanisms for marketing. Obtain separate consent for SMS communications per TCPA requirements.</w:t>
      </w:r>
    </w:p>
    <w:p>
      <w:pPr>
        <w:pStyle w:val="Heading2"/>
        <w:spacing w:after="150" w:before="300"/>
      </w:pPr>
      <w:r>
        <w:rPr>
          <w:rFonts w:ascii="Arial" w:cs="Arial" w:eastAsia="Arial" w:hAnsi="Arial"/>
        </w:rPr>
        <w:t xml:space="preserve">4.8 Force Majeure</w:t>
      </w:r>
    </w:p>
    <w:p>
      <w:pPr>
        <w:spacing w:after="120" w:line="276"/>
      </w:pPr>
      <w:r>
        <w:rPr>
          <w:rFonts w:ascii="Arial" w:cs="Arial" w:eastAsia="Arial" w:hAnsi="Arial"/>
          <w:b/>
          <w:bCs/>
          <w:sz w:val="22"/>
          <w:szCs w:val="22"/>
        </w:rPr>
        <w:t xml:space="preserve">Current State: </w:t>
      </w:r>
      <w:r>
        <w:rPr>
          <w:rFonts w:ascii="Arial" w:cs="Arial" w:eastAsia="Arial" w:hAnsi="Arial"/>
          <w:sz w:val="22"/>
          <w:szCs w:val="22"/>
        </w:rPr>
        <w:t xml:space="preserve">No force majeure clause exists. For a SaaS platform, service interruptions due to events beyond the provider’s control (natural disasters, cyberattacks, infrastructure failures) should be addressed.</w:t>
      </w:r>
    </w:p>
    <w:p>
      <w:pPr>
        <w:spacing w:after="120" w:line="276"/>
      </w:pPr>
      <w:r>
        <w:rPr>
          <w:rFonts w:ascii="Arial" w:cs="Arial" w:eastAsia="Arial" w:hAnsi="Arial"/>
          <w:sz w:val="22"/>
          <w:szCs w:val="22"/>
        </w:rPr>
        <w:t xml:space="preserve">Recommendation: Add a force majeure clause covering natural disasters, government actions, pandemics, cyberattacks, and third-party infrastructure failures. Include notification requirements and a termination right if the force majeure event persists beyond 60 days.</w:t>
      </w:r>
    </w:p>
    <w:p>
      <w:r>
        <w:br w:type="page"/>
      </w:r>
    </w:p>
    <w:p>
      <w:pPr>
        <w:pStyle w:val="Heading1"/>
        <w:spacing w:after="150" w:before="300"/>
      </w:pPr>
      <w:r>
        <w:rPr>
          <w:rFonts w:ascii="Arial" w:cs="Arial" w:eastAsia="Arial" w:hAnsi="Arial"/>
        </w:rPr>
        <w:t xml:space="preserve">5. Additional Sections to Add</w:t>
      </w:r>
    </w:p>
    <w:p>
      <w:pPr>
        <w:spacing w:after="120" w:line="276"/>
      </w:pPr>
      <w:r>
        <w:rPr>
          <w:rFonts w:ascii="Arial" w:cs="Arial" w:eastAsia="Arial" w:hAnsi="Arial"/>
          <w:sz w:val="22"/>
          <w:szCs w:val="22"/>
        </w:rPr>
        <w:t xml:space="preserve">Beyond strengthening existing provisions, the following entirely new sections should be added to create a comprehensive, modern SaaS T&amp;C:</w:t>
      </w:r>
    </w:p>
    <w:p>
      <w:pPr>
        <w:pStyle w:val="Heading2"/>
        <w:spacing w:after="150" w:before="300"/>
      </w:pPr>
      <w:r>
        <w:rPr>
          <w:rFonts w:ascii="Arial" w:cs="Arial" w:eastAsia="Arial" w:hAnsi="Arial"/>
        </w:rPr>
        <w:t xml:space="preserve">5.1 Acceptable Use Policy (AUP)</w:t>
      </w:r>
    </w:p>
    <w:p>
      <w:pPr>
        <w:spacing w:after="120" w:line="276"/>
      </w:pPr>
      <w:r>
        <w:rPr>
          <w:rFonts w:ascii="Arial" w:cs="Arial" w:eastAsia="Arial" w:hAnsi="Arial"/>
          <w:sz w:val="22"/>
          <w:szCs w:val="22"/>
        </w:rPr>
        <w:t xml:space="preserve">Define prohibited uses specific to an AI SaaS platform: generating harmful content, attempting to reverse-engineer the AI models, circumventing usage limits, using the service for competitive benchmarking, and automated scraping. Include consequences for AUP violations and Josa.ai’s right to suspend (not just terminate) access.</w:t>
      </w:r>
    </w:p>
    <w:p>
      <w:pPr>
        <w:pStyle w:val="Heading2"/>
        <w:spacing w:after="150" w:before="300"/>
      </w:pPr>
      <w:r>
        <w:rPr>
          <w:rFonts w:ascii="Arial" w:cs="Arial" w:eastAsia="Arial" w:hAnsi="Arial"/>
        </w:rPr>
        <w:t xml:space="preserve">5.2 Confidentiality</w:t>
      </w:r>
    </w:p>
    <w:p>
      <w:pPr>
        <w:spacing w:after="120" w:line="276"/>
      </w:pPr>
      <w:r>
        <w:rPr>
          <w:rFonts w:ascii="Arial" w:cs="Arial" w:eastAsia="Arial" w:hAnsi="Arial"/>
          <w:sz w:val="22"/>
          <w:szCs w:val="22"/>
        </w:rPr>
        <w:t xml:space="preserve">Add mutual confidentiality obligations protecting both parties’ proprietary information, with standard exceptions (publicly known, independently developed, required by law). This is especially important for enterprise customers.</w:t>
      </w:r>
    </w:p>
    <w:p>
      <w:pPr>
        <w:pStyle w:val="Heading2"/>
        <w:spacing w:after="150" w:before="300"/>
      </w:pPr>
      <w:r>
        <w:rPr>
          <w:rFonts w:ascii="Arial" w:cs="Arial" w:eastAsia="Arial" w:hAnsi="Arial"/>
        </w:rPr>
        <w:t xml:space="preserve">5.3 Export Compliance</w:t>
      </w:r>
    </w:p>
    <w:p>
      <w:pPr>
        <w:spacing w:after="120" w:line="276"/>
      </w:pPr>
      <w:r>
        <w:rPr>
          <w:rFonts w:ascii="Arial" w:cs="Arial" w:eastAsia="Arial" w:hAnsi="Arial"/>
          <w:sz w:val="22"/>
          <w:szCs w:val="22"/>
        </w:rPr>
        <w:t xml:space="preserve">Add a provision requiring users to comply with U.S. export control laws (EAR, ITAR) and sanctions regulations (OFAC). This is particularly relevant for AI/technology services.</w:t>
      </w:r>
    </w:p>
    <w:p>
      <w:pPr>
        <w:pStyle w:val="Heading2"/>
        <w:spacing w:after="150" w:before="300"/>
      </w:pPr>
      <w:r>
        <w:rPr>
          <w:rFonts w:ascii="Arial" w:cs="Arial" w:eastAsia="Arial" w:hAnsi="Arial"/>
        </w:rPr>
        <w:t xml:space="preserve">5.4 DMCA / Copyright Infringement Procedure</w:t>
      </w:r>
    </w:p>
    <w:p>
      <w:pPr>
        <w:spacing w:after="120" w:line="276"/>
      </w:pPr>
      <w:r>
        <w:rPr>
          <w:rFonts w:ascii="Arial" w:cs="Arial" w:eastAsia="Arial" w:hAnsi="Arial"/>
          <w:sz w:val="22"/>
          <w:szCs w:val="22"/>
        </w:rPr>
        <w:t xml:space="preserve">Add a DMCA takedown procedure with a designated copyright agent, notice and counter-notice process, and repeat infringer policy. This provides safe harbor protections under 17 U.S.C. § 512.</w:t>
      </w:r>
    </w:p>
    <w:p>
      <w:pPr>
        <w:pStyle w:val="Heading2"/>
        <w:spacing w:after="150" w:before="300"/>
      </w:pPr>
      <w:r>
        <w:rPr>
          <w:rFonts w:ascii="Arial" w:cs="Arial" w:eastAsia="Arial" w:hAnsi="Arial"/>
        </w:rPr>
        <w:t xml:space="preserve">5.5 AI-Specific Terms</w:t>
      </w:r>
    </w:p>
    <w:p>
      <w:pPr>
        <w:spacing w:after="120" w:line="276"/>
      </w:pPr>
      <w:r>
        <w:rPr>
          <w:rFonts w:ascii="Arial" w:cs="Arial" w:eastAsia="Arial" w:hAnsi="Arial"/>
          <w:sz w:val="22"/>
          <w:szCs w:val="22"/>
        </w:rPr>
        <w:t xml:space="preserve">As an AI SaaS platform, Josa.ai should include: disclaimers about AI output accuracy and reliability, clarification of intellectual property rights in AI-generated outputs, transparency about how customer data may or may not be used for model training, automated decision-making disclosures (required under GDPR Article 22), and limitations on using AI outputs for regulated decisions (healthcare, legal, financial).</w:t>
      </w:r>
    </w:p>
    <w:p>
      <w:pPr>
        <w:pStyle w:val="Heading2"/>
        <w:spacing w:after="150" w:before="300"/>
      </w:pPr>
      <w:r>
        <w:rPr>
          <w:rFonts w:ascii="Arial" w:cs="Arial" w:eastAsia="Arial" w:hAnsi="Arial"/>
        </w:rPr>
        <w:t xml:space="preserve">5.6 Accessibility</w:t>
      </w:r>
    </w:p>
    <w:p>
      <w:pPr>
        <w:spacing w:after="120" w:line="276"/>
      </w:pPr>
      <w:r>
        <w:rPr>
          <w:rFonts w:ascii="Arial" w:cs="Arial" w:eastAsia="Arial" w:hAnsi="Arial"/>
          <w:sz w:val="22"/>
          <w:szCs w:val="22"/>
        </w:rPr>
        <w:t xml:space="preserve">Add a commitment to WCAG 2.1 AA compliance and a process for users to report accessibility barriers. This reduces ADA litigation risk and demonstrates good faith.</w:t>
      </w:r>
    </w:p>
    <w:p>
      <w:r>
        <w:br w:type="page"/>
      </w:r>
    </w:p>
    <w:p>
      <w:pPr>
        <w:pStyle w:val="Heading1"/>
        <w:spacing w:after="150" w:before="300"/>
      </w:pPr>
      <w:r>
        <w:rPr>
          <w:rFonts w:ascii="Arial" w:cs="Arial" w:eastAsia="Arial" w:hAnsi="Arial"/>
        </w:rPr>
        <w:t xml:space="preserve">6. Priority Action Plan</w:t>
      </w:r>
    </w:p>
    <w:p>
      <w:pPr>
        <w:spacing w:after="120" w:line="276"/>
      </w:pPr>
      <w:r>
        <w:rPr>
          <w:rFonts w:ascii="Arial" w:cs="Arial" w:eastAsia="Arial" w:hAnsi="Arial"/>
          <w:sz w:val="22"/>
          <w:szCs w:val="22"/>
        </w:rPr>
        <w:t xml:space="preserve">The following prioritized roadmap is recommended for strengthening the T&amp;C:</w:t>
      </w:r>
    </w:p>
    <w:p>
      <w:pPr>
        <w:pStyle w:val="Heading3"/>
        <w:spacing w:after="150" w:before="300"/>
      </w:pPr>
      <w:r>
        <w:rPr>
          <w:rFonts w:ascii="Arial" w:cs="Arial" w:eastAsia="Arial" w:hAnsi="Arial"/>
        </w:rPr>
        <w:t xml:space="preserve">Phase 1: Immediate (0–30 Days)</w:t>
      </w:r>
    </w:p>
    <w:p>
      <w:pPr>
        <w:pStyle w:val="ListParagraph"/>
        <w:numPr>
          <w:ilvl w:val="0"/>
          <w:numId w:val="7"/>
        </w:numPr>
        <w:spacing w:after="80" w:line="276"/>
      </w:pPr>
      <w:r>
        <w:rPr>
          <w:rFonts w:ascii="Arial" w:cs="Arial" w:eastAsia="Arial" w:hAnsi="Arial"/>
          <w:sz w:val="22"/>
          <w:szCs w:val="22"/>
        </w:rPr>
        <w:t xml:space="preserve">Add comprehensive Data Protection / Privacy section (GDPR + CCPA/CPRA compliance)</w:t>
      </w:r>
    </w:p>
    <w:p>
      <w:pPr>
        <w:pStyle w:val="ListParagraph"/>
        <w:numPr>
          <w:ilvl w:val="0"/>
          <w:numId w:val="7"/>
        </w:numPr>
        <w:spacing w:after="80" w:line="276"/>
      </w:pPr>
      <w:r>
        <w:rPr>
          <w:rFonts w:ascii="Arial" w:cs="Arial" w:eastAsia="Arial" w:hAnsi="Arial"/>
          <w:sz w:val="22"/>
          <w:szCs w:val="22"/>
        </w:rPr>
        <w:t xml:space="preserve">Add SaaS Service Definition and SLA terms</w:t>
      </w:r>
    </w:p>
    <w:p>
      <w:pPr>
        <w:pStyle w:val="ListParagraph"/>
        <w:numPr>
          <w:ilvl w:val="0"/>
          <w:numId w:val="7"/>
        </w:numPr>
        <w:spacing w:after="80" w:line="276"/>
      </w:pPr>
      <w:r>
        <w:rPr>
          <w:rFonts w:ascii="Arial" w:cs="Arial" w:eastAsia="Arial" w:hAnsi="Arial"/>
          <w:sz w:val="22"/>
          <w:szCs w:val="22"/>
        </w:rPr>
        <w:t xml:space="preserve">Add Data Ownership, Processing, and Portability provisions</w:t>
      </w:r>
    </w:p>
    <w:p>
      <w:pPr>
        <w:pStyle w:val="ListParagraph"/>
        <w:numPr>
          <w:ilvl w:val="0"/>
          <w:numId w:val="7"/>
        </w:numPr>
        <w:spacing w:after="80" w:line="276"/>
      </w:pPr>
      <w:r>
        <w:rPr>
          <w:rFonts w:ascii="Arial" w:cs="Arial" w:eastAsia="Arial" w:hAnsi="Arial"/>
          <w:sz w:val="22"/>
          <w:szCs w:val="22"/>
        </w:rPr>
        <w:t xml:space="preserve">Replace blanket liability disclaimer with capped, structured Limitation of Liability</w:t>
      </w:r>
    </w:p>
    <w:p>
      <w:pPr>
        <w:pStyle w:val="ListParagraph"/>
        <w:numPr>
          <w:ilvl w:val="0"/>
          <w:numId w:val="7"/>
        </w:numPr>
        <w:spacing w:after="80" w:line="276"/>
      </w:pPr>
      <w:r>
        <w:rPr>
          <w:rFonts w:ascii="Arial" w:cs="Arial" w:eastAsia="Arial" w:hAnsi="Arial"/>
          <w:sz w:val="22"/>
          <w:szCs w:val="22"/>
        </w:rPr>
        <w:t xml:space="preserve">Add mutual Indemnification with IP infringement coverage</w:t>
      </w:r>
    </w:p>
    <w:p>
      <w:pPr>
        <w:pStyle w:val="Heading3"/>
        <w:spacing w:after="150" w:before="300"/>
      </w:pPr>
      <w:r>
        <w:rPr>
          <w:rFonts w:ascii="Arial" w:cs="Arial" w:eastAsia="Arial" w:hAnsi="Arial"/>
        </w:rPr>
        <w:t xml:space="preserve">Phase 2: Near-Term (30–60 Days)</w:t>
      </w:r>
    </w:p>
    <w:p>
      <w:pPr>
        <w:pStyle w:val="ListParagraph"/>
        <w:numPr>
          <w:ilvl w:val="0"/>
          <w:numId w:val="8"/>
        </w:numPr>
        <w:spacing w:after="80" w:line="276"/>
      </w:pPr>
      <w:r>
        <w:rPr>
          <w:rFonts w:ascii="Arial" w:cs="Arial" w:eastAsia="Arial" w:hAnsi="Arial"/>
          <w:sz w:val="22"/>
          <w:szCs w:val="22"/>
        </w:rPr>
        <w:t xml:space="preserve">Add detailed Subscription, Billing, and Cancellation terms</w:t>
      </w:r>
    </w:p>
    <w:p>
      <w:pPr>
        <w:pStyle w:val="ListParagraph"/>
        <w:numPr>
          <w:ilvl w:val="0"/>
          <w:numId w:val="8"/>
        </w:numPr>
        <w:spacing w:after="80" w:line="276"/>
      </w:pPr>
      <w:r>
        <w:rPr>
          <w:rFonts w:ascii="Arial" w:cs="Arial" w:eastAsia="Arial" w:hAnsi="Arial"/>
          <w:sz w:val="22"/>
          <w:szCs w:val="22"/>
        </w:rPr>
        <w:t xml:space="preserve">Harmonize children’s privacy age thresholds</w:t>
      </w:r>
    </w:p>
    <w:p>
      <w:pPr>
        <w:pStyle w:val="ListParagraph"/>
        <w:numPr>
          <w:ilvl w:val="0"/>
          <w:numId w:val="8"/>
        </w:numPr>
        <w:spacing w:after="80" w:line="276"/>
      </w:pPr>
      <w:r>
        <w:rPr>
          <w:rFonts w:ascii="Arial" w:cs="Arial" w:eastAsia="Arial" w:hAnsi="Arial"/>
          <w:sz w:val="22"/>
          <w:szCs w:val="22"/>
        </w:rPr>
        <w:t xml:space="preserve">Strengthen Termination provisions with cure periods and data access</w:t>
      </w:r>
    </w:p>
    <w:p>
      <w:pPr>
        <w:pStyle w:val="ListParagraph"/>
        <w:numPr>
          <w:ilvl w:val="0"/>
          <w:numId w:val="8"/>
        </w:numPr>
        <w:spacing w:after="80" w:line="276"/>
      </w:pPr>
      <w:r>
        <w:rPr>
          <w:rFonts w:ascii="Arial" w:cs="Arial" w:eastAsia="Arial" w:hAnsi="Arial"/>
          <w:sz w:val="22"/>
          <w:szCs w:val="22"/>
        </w:rPr>
        <w:t xml:space="preserve">Narrow third-party data sharing and submissions license</w:t>
      </w:r>
    </w:p>
    <w:p>
      <w:pPr>
        <w:pStyle w:val="ListParagraph"/>
        <w:numPr>
          <w:ilvl w:val="0"/>
          <w:numId w:val="8"/>
        </w:numPr>
        <w:spacing w:after="80" w:line="276"/>
      </w:pPr>
      <w:r>
        <w:rPr>
          <w:rFonts w:ascii="Arial" w:cs="Arial" w:eastAsia="Arial" w:hAnsi="Arial"/>
          <w:sz w:val="22"/>
          <w:szCs w:val="22"/>
        </w:rPr>
        <w:t xml:space="preserve">Add Acceptable Use Policy and Confidentiality sections</w:t>
      </w:r>
    </w:p>
    <w:p>
      <w:pPr>
        <w:pStyle w:val="Heading3"/>
        <w:spacing w:after="150" w:before="300"/>
      </w:pPr>
      <w:r>
        <w:rPr>
          <w:rFonts w:ascii="Arial" w:cs="Arial" w:eastAsia="Arial" w:hAnsi="Arial"/>
        </w:rPr>
        <w:t xml:space="preserve">Phase 3: Medium-Term (60–90 Days)</w:t>
      </w:r>
    </w:p>
    <w:p>
      <w:pPr>
        <w:pStyle w:val="ListParagraph"/>
        <w:numPr>
          <w:ilvl w:val="0"/>
          <w:numId w:val="9"/>
        </w:numPr>
        <w:spacing w:after="80" w:line="276"/>
      </w:pPr>
      <w:r>
        <w:rPr>
          <w:rFonts w:ascii="Arial" w:cs="Arial" w:eastAsia="Arial" w:hAnsi="Arial"/>
          <w:sz w:val="22"/>
          <w:szCs w:val="22"/>
        </w:rPr>
        <w:t xml:space="preserve">Add AI-specific terms (output ownership, training data, automated decisions)</w:t>
      </w:r>
    </w:p>
    <w:p>
      <w:pPr>
        <w:pStyle w:val="ListParagraph"/>
        <w:numPr>
          <w:ilvl w:val="0"/>
          <w:numId w:val="9"/>
        </w:numPr>
        <w:spacing w:after="80" w:line="276"/>
      </w:pPr>
      <w:r>
        <w:rPr>
          <w:rFonts w:ascii="Arial" w:cs="Arial" w:eastAsia="Arial" w:hAnsi="Arial"/>
          <w:sz w:val="22"/>
          <w:szCs w:val="22"/>
        </w:rPr>
        <w:t xml:space="preserve">Add Force Majeure, Export Compliance, and DMCA procedures</w:t>
      </w:r>
    </w:p>
    <w:p>
      <w:pPr>
        <w:pStyle w:val="ListParagraph"/>
        <w:numPr>
          <w:ilvl w:val="0"/>
          <w:numId w:val="9"/>
        </w:numPr>
        <w:spacing w:after="80" w:line="276"/>
      </w:pPr>
      <w:r>
        <w:rPr>
          <w:rFonts w:ascii="Arial" w:cs="Arial" w:eastAsia="Arial" w:hAnsi="Arial"/>
          <w:sz w:val="22"/>
          <w:szCs w:val="22"/>
        </w:rPr>
        <w:t xml:space="preserve">Improve arbitration clause (small claims exception, opt-out window, cost allocation)</w:t>
      </w:r>
    </w:p>
    <w:p>
      <w:pPr>
        <w:pStyle w:val="ListParagraph"/>
        <w:numPr>
          <w:ilvl w:val="0"/>
          <w:numId w:val="9"/>
        </w:numPr>
        <w:spacing w:after="80" w:line="276"/>
      </w:pPr>
      <w:r>
        <w:rPr>
          <w:rFonts w:ascii="Arial" w:cs="Arial" w:eastAsia="Arial" w:hAnsi="Arial"/>
          <w:sz w:val="22"/>
          <w:szCs w:val="22"/>
        </w:rPr>
        <w:t xml:space="preserve">Add Accessibility commitment</w:t>
      </w:r>
    </w:p>
    <w:p>
      <w:pPr>
        <w:pStyle w:val="ListParagraph"/>
        <w:numPr>
          <w:ilvl w:val="0"/>
          <w:numId w:val="9"/>
        </w:numPr>
        <w:spacing w:after="80" w:line="276"/>
      </w:pPr>
      <w:r>
        <w:rPr>
          <w:rFonts w:ascii="Arial" w:cs="Arial" w:eastAsia="Arial" w:hAnsi="Arial"/>
          <w:sz w:val="22"/>
          <w:szCs w:val="22"/>
        </w:rPr>
        <w:t xml:space="preserve">Engage qualified legal counsel to review and finalize all changes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8"/>
              <w:bottom w:val="single" w:color="E74C3C" w:sz="2"/>
              <w:right w:val="single" w:color="E74C3C" w:sz="2"/>
            </w:tcBorders>
            <w:shd w:fill="FDEDEC"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IMPORTANT NOTICE</w:t>
            </w:r>
          </w:p>
          <w:p>
            <w:r>
              <w:rPr>
                <w:rFonts w:ascii="Arial" w:cs="Arial" w:eastAsia="Arial" w:hAnsi="Arial"/>
                <w:color w:val="666666"/>
                <w:sz w:val="18"/>
                <w:szCs w:val="18"/>
              </w:rPr>
              <w:t xml:space="preserve">This document identifies areas for improvement and provides general guidance. It does not constitute legal advice. The specific language for each recommended change should be drafted or reviewed by a licensed attorney familiar with SaaS agreements, privacy law, and the jurisdictions in which Josa.ai operates. Regulatory requirements are subject to change.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95A5A6"/>
        <w:sz w:val="16"/>
        <w:szCs w:val="16"/>
      </w:rPr>
      <w:t xml:space="preserve">Confidential — Prepared for Josato Group LLC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6" w:space="4"/>
      </w:pBdr>
    </w:pPr>
    <w:r>
      <w:rPr>
        <w:rFonts w:ascii="Arial" w:cs="Arial" w:eastAsia="Arial" w:hAnsi="Arial"/>
        <w:i/>
        <w:iCs/>
        <w:color w:val="7F8C8D"/>
        <w:sz w:val="18"/>
        <w:szCs w:val="18"/>
      </w:rPr>
      <w:t xml:space="preserve">LEGAL REVIEW: Josa.ai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2026-04-01T13:46:13.053Z</dcterms:created>
  <dcterms:modified xsi:type="dcterms:W3CDTF">2026-04-01T13:46:13.053Z</dcterms:modified>
</cp:coreProperties>
</file>

<file path=docProps/custom.xml><?xml version="1.0" encoding="utf-8"?>
<Properties xmlns="http://schemas.openxmlformats.org/officeDocument/2006/custom-properties" xmlns:vt="http://schemas.openxmlformats.org/officeDocument/2006/docPropsVTypes"/>
</file>