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66"/>
      </w:tblGrid>
      <w:tr>
        <w:tc>
          <w:tcPr>
            <w:tcW w:type="dxa" w:w="9066"/>
            <w:shd w:val="clear" w:color="auto" w:fill="00A651"/>
          </w:tcPr>
          <w:p>
            <w:pPr>
              <w:spacing w:before="440" w:after="80"/>
              <w:jc w:val="center"/>
            </w:pPr>
            <w:r>
              <w:rPr>
                <w:rFonts w:ascii="Calibri" w:hAnsi="Calibri"/>
                <w:b/>
                <w:color w:val="FFFFFF"/>
                <w:sz w:val="56"/>
              </w:rPr>
              <w:t>ClimateLaunchpad 2026</w:t>
            </w:r>
          </w:p>
        </w:tc>
      </w:tr>
    </w:tbl>
    <w:p>
      <w:pPr>
        <w:spacing w:after="0"/>
      </w:pPr>
    </w:p>
    <w:tbl>
      <w:tblPr>
        <w:tblW w:type="auto" w:w="0"/>
        <w:tblLook w:firstColumn="1" w:firstRow="1" w:lastColumn="0" w:lastRow="0" w:noHBand="0" w:noVBand="1" w:val="04A0"/>
      </w:tblPr>
      <w:tblGrid>
        <w:gridCol w:w="9066"/>
      </w:tblGrid>
      <w:tr>
        <w:tc>
          <w:tcPr>
            <w:tcW w:type="dxa" w:w="9066"/>
            <w:shd w:val="clear" w:color="auto" w:fill="004020"/>
          </w:tcPr>
          <w:p>
            <w:pPr>
              <w:spacing w:before="200" w:after="200"/>
              <w:jc w:val="center"/>
            </w:pPr>
            <w:r>
              <w:rPr>
                <w:rFonts w:ascii="Calibri" w:hAnsi="Calibri"/>
                <w:b/>
                <w:color w:val="F5A600"/>
                <w:sz w:val="30"/>
              </w:rPr>
              <w:t>Application Form — Riviwa | Category: Food &amp; Agriculture</w:t>
            </w:r>
          </w:p>
        </w:tc>
      </w:tr>
    </w:tbl>
    <w:p>
      <w:pPr>
        <w:spacing w:after="120"/>
      </w:pPr>
    </w:p>
    <w:p>
      <w:pPr>
        <w:spacing w:before="80" w:after="40"/>
        <w:jc w:val="left"/>
      </w:pPr>
      <w:r>
        <w:rPr>
          <w:rFonts w:ascii="Calibri" w:hAnsi="Calibri"/>
          <w:b/>
          <w:i w:val="0"/>
          <w:color w:val="1F2937"/>
          <w:sz w:val="22"/>
        </w:rPr>
        <w:t>Startup:  Riviwa</w:t>
      </w:r>
    </w:p>
    <w:p>
      <w:pPr>
        <w:spacing w:before="40" w:after="40"/>
        <w:jc w:val="left"/>
      </w:pPr>
      <w:r>
        <w:rPr>
          <w:rFonts w:ascii="Calibri" w:hAnsi="Calibri"/>
          <w:b w:val="0"/>
          <w:i w:val="0"/>
          <w:color w:val="005F9E"/>
          <w:sz w:val="22"/>
        </w:rPr>
        <w:t>Website:  https://riviwa.com</w:t>
      </w:r>
    </w:p>
    <w:p>
      <w:pPr>
        <w:spacing w:before="40" w:after="240"/>
        <w:jc w:val="left"/>
      </w:pPr>
      <w:r>
        <w:rPr>
          <w:rFonts w:ascii="Calibri" w:hAnsi="Calibri"/>
          <w:b w:val="0"/>
          <w:i w:val="0"/>
          <w:color w:val="6B7280"/>
          <w:sz w:val="22"/>
        </w:rPr>
        <w:t>Date:     15 May 2026</w:t>
      </w: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4020"/>
          </w:tcPr>
          <w:p>
            <w:pPr>
              <w:spacing w:before="160" w:after="160"/>
              <w:ind w:left="227"/>
              <w:jc w:val="left"/>
            </w:pPr>
            <w:r>
              <w:rPr>
                <w:rFonts w:ascii="Calibri" w:hAnsi="Calibri"/>
                <w:b/>
                <w:color w:val="FFFFFF"/>
                <w:sz w:val="26"/>
              </w:rPr>
              <w:t>SECTION 1: ABOUT YOUR GREEN IDEA</w:t>
            </w:r>
          </w:p>
        </w:tc>
      </w:tr>
    </w:tbl>
    <w:p>
      <w:pPr>
        <w:spacing w:after="4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is the name of your startup?*</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color w:val="004020"/>
                <w:sz w:val="24"/>
              </w:rPr>
              <w:t>Riviwa</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Describe your startup in just 2–3 sentences*</w:t>
            </w:r>
            <w:r>
              <w:rPr>
                <w:rFonts w:ascii="Calibri" w:hAnsi="Calibri"/>
                <w:i/>
                <w:color w:val="00A651"/>
                <w:sz w:val="18"/>
              </w:rPr>
              <w:t xml:space="preserve">   (251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Riviwa is AI-powered accountability for climate adaptation in Food &amp; Agriculture. Farmers verify seeds and inputs via QR/SMS, report fraud in real time, and lock immutable evidence. Live: a fake seed batch was caught before a season was lost.</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Company's Website</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005F9E"/>
                <w:sz w:val="22"/>
              </w:rPr>
              <w:t>https://riviwa.com</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Which impact area(s) does your idea address?*</w:t>
            </w:r>
          </w:p>
        </w:tc>
      </w:tr>
    </w:tbl>
    <w:p>
      <w:pPr>
        <w:spacing w:after="0"/>
      </w:pPr>
    </w:p>
    <w:tbl>
      <w:tblPr>
        <w:tblW w:type="auto" w:w="0"/>
        <w:jc w:val="left"/>
        <w:tblLook w:firstColumn="1" w:firstRow="1" w:lastColumn="0" w:lastRow="0" w:noHBand="0" w:noVBand="1" w:val="04A0"/>
      </w:tblPr>
      <w:tblGrid>
        <w:gridCol w:w="4533"/>
        <w:gridCol w:w="4533"/>
      </w:tblGrid>
      <w:tr>
        <w:tc>
          <w:tcPr>
            <w:tcW w:type="dxa" w:w="1247"/>
            <w:shd w:val="clear" w:color="auto" w:fill="00A651"/>
          </w:tcPr>
          <w:p>
            <w:pPr>
              <w:spacing w:before="120" w:after="120"/>
              <w:ind w:left="170"/>
            </w:pPr>
            <w:r>
              <w:rPr>
                <w:rFonts w:ascii="Calibri" w:hAnsi="Calibri"/>
                <w:b/>
                <w:color w:val="FFFFFF"/>
                <w:sz w:val="16"/>
              </w:rPr>
              <w:t>PRIMARY</w:t>
            </w:r>
          </w:p>
        </w:tc>
        <w:tc>
          <w:tcPr>
            <w:tcW w:type="dxa" w:w="7540"/>
            <w:shd w:val="clear" w:color="auto" w:fill="E8F5ED"/>
          </w:tcPr>
          <w:p>
            <w:pPr>
              <w:spacing w:before="120" w:after="120"/>
              <w:ind w:left="170"/>
            </w:pPr>
            <w:r>
              <w:rPr>
                <w:rFonts w:ascii="Calibri" w:hAnsi="Calibri"/>
                <w:b/>
                <w:color w:val="004020"/>
                <w:sz w:val="20"/>
              </w:rPr>
              <w:t>Adaptation &amp; Resilience</w:t>
              <w:br/>
            </w:r>
            <w:r>
              <w:rPr>
                <w:rFonts w:ascii="Calibri" w:hAnsi="Calibri"/>
                <w:i/>
                <w:color w:val="6B7280"/>
                <w:sz w:val="18"/>
              </w:rPr>
              <w:t>Climate adaptation programmes fail when seeds are counterfeit and inputs are diverted. Riviwa makes adaptation investment reach farmers — the last-mile accountability layer.</w:t>
            </w:r>
          </w:p>
        </w:tc>
      </w:tr>
      <w:tr>
        <w:tc>
          <w:tcPr>
            <w:tcW w:type="dxa" w:w="1247"/>
            <w:shd w:val="clear" w:color="auto" w:fill="00A651"/>
          </w:tcPr>
          <w:p>
            <w:pPr>
              <w:spacing w:before="120" w:after="120"/>
              <w:ind w:left="170"/>
            </w:pPr>
            <w:r>
              <w:rPr>
                <w:rFonts w:ascii="Calibri" w:hAnsi="Calibri"/>
                <w:b/>
                <w:color w:val="FFFFFF"/>
                <w:sz w:val="16"/>
              </w:rPr>
              <w:t>SECONDARY</w:t>
            </w:r>
          </w:p>
        </w:tc>
        <w:tc>
          <w:tcPr>
            <w:tcW w:type="dxa" w:w="7540"/>
            <w:shd w:val="clear" w:color="auto" w:fill="E8F5ED"/>
          </w:tcPr>
          <w:p>
            <w:pPr>
              <w:spacing w:before="120" w:after="120"/>
              <w:ind w:left="170"/>
            </w:pPr>
            <w:r>
              <w:rPr>
                <w:rFonts w:ascii="Calibri" w:hAnsi="Calibri"/>
                <w:b/>
                <w:color w:val="004020"/>
                <w:sz w:val="20"/>
              </w:rPr>
              <w:t>Nature-Based Solutions &amp; Biodiversity</w:t>
              <w:br/>
            </w:r>
            <w:r>
              <w:rPr>
                <w:rFonts w:ascii="Calibri" w:hAnsi="Calibri"/>
                <w:i/>
                <w:color w:val="6B7280"/>
                <w:sz w:val="18"/>
              </w:rPr>
              <w:t>Reforestation and land restoration programmes (e.g. AFR100) require verified FPIC from communities. Riviwa provides the consent trail and grievance channel that makes NbS legally compliant.</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Cleantech category*</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A651"/>
          </w:tcPr>
          <w:p>
            <w:pPr>
              <w:spacing w:before="120" w:after="120"/>
              <w:ind w:left="227"/>
              <w:jc w:val="left"/>
            </w:pPr>
            <w:r>
              <w:rPr>
                <w:rFonts w:ascii="Calibri" w:hAnsi="Calibri"/>
                <w:b/>
                <w:color w:val="FFFFFF"/>
                <w:sz w:val="22"/>
              </w:rPr>
              <w:t>Food &amp; Agriculture</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Why are you applying to ClimateLaunchpad?*</w:t>
            </w:r>
            <w:r>
              <w:rPr>
                <w:rFonts w:ascii="Calibri" w:hAnsi="Calibri"/>
                <w:i/>
                <w:color w:val="00A651"/>
                <w:sz w:val="18"/>
              </w:rPr>
              <w:t xml:space="preserve">   (251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AGRA: up to 50% of seeds in East Africa are counterfeit, causing 30-50% yield loss after climate shocks. Riviwa QR receipts create immutable last-mile evidence on any basic phone. ClimateLaunchpad reaches GCF and IFAD programme managers who need this.</w:t>
            </w:r>
          </w:p>
        </w:tc>
      </w:tr>
    </w:tbl>
    <w:p>
      <w:pPr>
        <w:spacing w:after="120"/>
      </w:pP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4020"/>
          </w:tcPr>
          <w:p>
            <w:pPr>
              <w:spacing w:before="160" w:after="160"/>
              <w:ind w:left="227"/>
              <w:jc w:val="left"/>
            </w:pPr>
            <w:r>
              <w:rPr>
                <w:rFonts w:ascii="Calibri" w:hAnsi="Calibri"/>
                <w:b/>
                <w:color w:val="FFFFFF"/>
                <w:sz w:val="26"/>
              </w:rPr>
              <w:t>SECTION 2: YOUR BUSINESS CONCEPT</w:t>
            </w:r>
          </w:p>
        </w:tc>
      </w:tr>
    </w:tbl>
    <w:p>
      <w:pPr>
        <w:spacing w:after="4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specific climate problem is your startup addressing, and why does it matter?*</w:t>
            </w:r>
            <w:r>
              <w:rPr>
                <w:rFonts w:ascii="Calibri" w:hAnsi="Calibri"/>
                <w:i/>
                <w:color w:val="00A651"/>
                <w:sz w:val="18"/>
              </w:rPr>
              <w:t xml:space="preserve">   (238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Up to 50% of seeds in East Africa are counterfeit (AGRA), wiping 30-50% of yields. After a climate shock, planting fake seeds destroys the recovery window. Billions in adaptation finance fail silently — no last-mile accountability exists.</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solution are you offering, and how does your startup tackle this problem in practice?*</w:t>
            </w:r>
            <w:r>
              <w:rPr>
                <w:rFonts w:ascii="Calibri" w:hAnsi="Calibri"/>
                <w:i/>
                <w:color w:val="00A651"/>
                <w:sz w:val="18"/>
              </w:rPr>
              <w:t xml:space="preserve">   (249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Riviwa attaches a QR/SMS receipt to every seed bag and field visit. Farmers verify inputs, dispute fake deliveries, and report diversion on any basic phone. Every response creates an immutable evidence record programme managers and donors can trust.</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How will you generate revenue?*</w:t>
            </w:r>
            <w:r>
              <w:rPr>
                <w:rFonts w:ascii="Calibri" w:hAnsi="Calibri"/>
                <w:i/>
                <w:color w:val="00A651"/>
                <w:sz w:val="18"/>
              </w:rPr>
              <w:t xml:space="preserve">   (243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SaaS subscriptions for UN agencies and NGOs running climate programmes (USD 500-5,000/month per programme). Per-QR fee for input distributors at USD 0.02/scan. Target: GCF, IFAD, and BMZ-funded programme implementers across Sub-Saharan Africa.</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external support have you already received?*</w:t>
            </w:r>
            <w:r>
              <w:rPr>
                <w:rFonts w:ascii="Calibri" w:hAnsi="Calibri"/>
                <w:i/>
                <w:color w:val="00A651"/>
                <w:sz w:val="18"/>
              </w:rPr>
              <w:t xml:space="preserve">   (251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Self-funded and live in production. Active pilots with UN programme offices, a major commercial bank, and health organisations in Tanzania — 35+ real feedback items, QR receipts, and staff verification running. No external investment received to date.</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How far along is your idea?*</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7A5E"/>
          </w:tcPr>
          <w:p>
            <w:pPr>
              <w:spacing w:before="120" w:after="120"/>
              <w:ind w:left="227"/>
              <w:jc w:val="left"/>
            </w:pPr>
            <w:r>
              <w:rPr>
                <w:rFonts w:ascii="Calibri" w:hAnsi="Calibri"/>
                <w:b/>
                <w:color w:val="FFFFFF"/>
                <w:sz w:val="22"/>
              </w:rPr>
              <w:t>Public Beta / Demonstrator</w:t>
            </w:r>
          </w:p>
        </w:tc>
      </w:tr>
    </w:tbl>
    <w:p>
      <w:pPr>
        <w:spacing w:after="120"/>
      </w:pPr>
    </w:p>
    <w:p>
      <w:pPr>
        <w:spacing w:before="0" w:after="120"/>
        <w:jc w:val="left"/>
      </w:pPr>
      <w:r>
        <w:rPr>
          <w:rFonts w:ascii="Calibri" w:hAnsi="Calibri"/>
          <w:b w:val="0"/>
          <w:i/>
          <w:color w:val="6B7280"/>
          <w:sz w:val="19"/>
        </w:rPr>
        <w:t>Live platform serving real climate and health programmes in Tanzania. QR/SMS receipts, AI grievance management in Kiswahili, staff identity verification, and Kafka-driven AUTHENTIC → ALREADY_USED evidence trail all running in production.</w:t>
      </w: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Has your business received external funding?*</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6B7280"/>
          </w:tcPr>
          <w:p>
            <w:pPr>
              <w:spacing w:before="120" w:after="120"/>
              <w:ind w:left="227"/>
              <w:jc w:val="left"/>
            </w:pPr>
            <w:r>
              <w:rPr>
                <w:rFonts w:ascii="Calibri" w:hAnsi="Calibri"/>
                <w:b/>
                <w:color w:val="FFFFFF"/>
                <w:sz w:val="22"/>
              </w:rPr>
              <w:t>No — self-funded to date</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Is your company legally incorporated?*</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6B7280"/>
          </w:tcPr>
          <w:p>
            <w:pPr>
              <w:spacing w:before="120" w:after="120"/>
              <w:ind w:left="227"/>
              <w:jc w:val="left"/>
            </w:pPr>
            <w:r>
              <w:rPr>
                <w:rFonts w:ascii="Calibri" w:hAnsi="Calibri"/>
                <w:b/>
                <w:color w:val="FFFFFF"/>
                <w:sz w:val="22"/>
              </w:rPr>
              <w:t>[To be completed by applicant]</w:t>
            </w:r>
          </w:p>
        </w:tc>
      </w:tr>
    </w:tbl>
    <w:p>
      <w:pPr>
        <w:spacing w:after="120"/>
      </w:pP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4020"/>
          </w:tcPr>
          <w:p>
            <w:pPr>
              <w:spacing w:before="160" w:after="160"/>
              <w:ind w:left="227"/>
              <w:jc w:val="left"/>
            </w:pPr>
            <w:r>
              <w:rPr>
                <w:rFonts w:ascii="Calibri" w:hAnsi="Calibri"/>
                <w:b/>
                <w:color w:val="FFFFFF"/>
                <w:sz w:val="26"/>
              </w:rPr>
              <w:t>SECTION 3: MARKET &amp; COMPETITION</w:t>
            </w:r>
          </w:p>
        </w:tc>
      </w:tr>
    </w:tbl>
    <w:p>
      <w:pPr>
        <w:spacing w:after="4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is your target market?*</w:t>
            </w:r>
            <w:r>
              <w:rPr>
                <w:rFonts w:ascii="Calibri" w:hAnsi="Calibri"/>
                <w:i/>
                <w:color w:val="00A651"/>
                <w:sz w:val="18"/>
              </w:rPr>
              <w:t xml:space="preserve">   (254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UN agencies, NGOs, and governments implementing climate adaptation programmes in Sub-Saharan Africa — GCF, IFAD, World Bank-funded. Secondary: agri-input companies needing product authentication. Immediate: agricultural extension services in East Africa.</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How do you know there is demand for your solution?*</w:t>
            </w:r>
            <w:r>
              <w:rPr>
                <w:rFonts w:ascii="Calibri" w:hAnsi="Calibri"/>
                <w:i/>
                <w:color w:val="00A651"/>
                <w:sz w:val="18"/>
              </w:rPr>
              <w:t xml:space="preserve">   (250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Platform is live: real field officers verified, counterfeit seed cases filed, QR delivery receipts confirmed. MIT Press (Tanzania field study): 50/50 chance purchased seeds perform as advertised. This is documented demand, not a survey or projection.</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Who are your competitors? Do you know anyone in your area?*</w:t>
            </w:r>
            <w:r>
              <w:rPr>
                <w:rFonts w:ascii="Calibri" w:hAnsi="Calibri"/>
                <w:i/>
                <w:color w:val="00A651"/>
                <w:sz w:val="18"/>
              </w:rPr>
              <w:t xml:space="preserve">   (250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KoBoToolbox/ODK collect data but have no QR verification or accountability workflows. No competitor combines seed authentication, AI grievance management in Kiswahili, and staff identity verification for climate adaptation programmes in one platform.</w:t>
            </w:r>
          </w:p>
        </w:tc>
      </w:tr>
    </w:tbl>
    <w:p>
      <w:pPr>
        <w:spacing w:after="120"/>
      </w:pP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4020"/>
          </w:tcPr>
          <w:p>
            <w:pPr>
              <w:spacing w:before="160" w:after="160"/>
              <w:ind w:left="227"/>
              <w:jc w:val="left"/>
            </w:pPr>
            <w:r>
              <w:rPr>
                <w:rFonts w:ascii="Calibri" w:hAnsi="Calibri"/>
                <w:b/>
                <w:color w:val="FFFFFF"/>
                <w:sz w:val="26"/>
              </w:rPr>
              <w:t>SECTION 4: YOUR TEAM</w:t>
            </w:r>
          </w:p>
        </w:tc>
      </w:tr>
    </w:tbl>
    <w:p>
      <w:pPr>
        <w:spacing w:after="4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expertise or experience do you bring to this project?*</w:t>
            </w:r>
            <w:r>
              <w:rPr>
                <w:rFonts w:ascii="Calibri" w:hAnsi="Calibri"/>
                <w:i/>
                <w:color w:val="00A651"/>
                <w:sz w:val="18"/>
              </w:rPr>
              <w:t xml:space="preserve">   (255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Built a live 15-service AI platform in production serving climate and health programmes. Deep expertise in Kafka event architecture, QR verification systems, AI conversations in Kiswahili, and UN GRM compliance frameworks (FAO, WHO, World Bank standards).</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How many people are on your team?*</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6B7280"/>
                <w:sz w:val="22"/>
              </w:rPr>
              <w:t>[To be completed by applicant]</w:t>
            </w:r>
          </w:p>
        </w:tc>
      </w:tr>
    </w:tbl>
    <w:p>
      <w:pPr>
        <w:spacing w:after="120"/>
      </w:pPr>
    </w:p>
    <w:tbl>
      <w:tblPr>
        <w:tblW w:type="auto" w:w="0"/>
        <w:jc w:val="left"/>
        <w:tblLook w:firstColumn="1" w:firstRow="1" w:lastColumn="0" w:lastRow="0" w:noHBand="0" w:noVBand="1" w:val="04A0"/>
      </w:tblPr>
      <w:tblGrid>
        <w:gridCol w:w="9066"/>
      </w:tblGrid>
      <w:tr>
        <w:tc>
          <w:tcPr>
            <w:tcW w:type="dxa" w:w="9066"/>
            <w:shd w:val="clear" w:color="auto" w:fill="E8F5ED"/>
          </w:tcPr>
          <w:p>
            <w:pPr>
              <w:spacing w:before="120" w:after="120"/>
              <w:ind w:left="170"/>
            </w:pPr>
            <w:r>
              <w:rPr>
                <w:rFonts w:ascii="Calibri" w:hAnsi="Calibri"/>
                <w:b/>
                <w:color w:val="004020"/>
                <w:sz w:val="21"/>
              </w:rPr>
              <w:t>What are their main roles?*</w:t>
            </w:r>
            <w:r>
              <w:rPr>
                <w:rFonts w:ascii="Calibri" w:hAnsi="Calibri"/>
                <w:i/>
                <w:color w:val="00A651"/>
                <w:sz w:val="18"/>
              </w:rPr>
              <w:t xml:space="preserve">   (255 / 255 chars)</w:t>
            </w: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FFFFFF"/>
          </w:tcPr>
          <w:p>
            <w:pPr>
              <w:spacing w:before="160" w:after="160"/>
              <w:ind w:left="227"/>
            </w:pPr>
            <w:r>
              <w:rPr>
                <w:rFonts w:ascii="Calibri" w:hAnsi="Calibri"/>
                <w:b w:val="0"/>
                <w:color w:val="1F2937"/>
                <w:sz w:val="22"/>
              </w:rPr>
              <w:t>Full-stack platform engineering (microservices, Kafka, PostgreSQL, AI/NLP). Product design for UN and government GRM compliance. Business development targeting IFAD, GCF-funded programme implementers and agricultural extension services across East Africa.</w:t>
            </w:r>
          </w:p>
        </w:tc>
      </w:tr>
    </w:tbl>
    <w:p>
      <w:pPr>
        <w:spacing w:after="120"/>
      </w:pP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4020"/>
          </w:tcPr>
          <w:p>
            <w:pPr>
              <w:spacing w:before="160" w:after="160"/>
              <w:ind w:left="227"/>
              <w:jc w:val="left"/>
            </w:pPr>
            <w:r>
              <w:rPr>
                <w:rFonts w:ascii="Calibri" w:hAnsi="Calibri"/>
                <w:b/>
                <w:color w:val="FFFFFF"/>
                <w:sz w:val="26"/>
              </w:rPr>
              <w:t>SECTION 5: YOUR SOCIAL IMPACT</w:t>
            </w:r>
          </w:p>
        </w:tc>
      </w:tr>
    </w:tbl>
    <w:p>
      <w:pPr>
        <w:spacing w:after="40"/>
      </w:pPr>
    </w:p>
    <w:p>
      <w:pPr>
        <w:spacing w:before="80" w:after="120"/>
        <w:jc w:val="left"/>
      </w:pPr>
      <w:r>
        <w:rPr>
          <w:rFonts w:ascii="Calibri" w:hAnsi="Calibri"/>
          <w:b w:val="0"/>
          <w:i/>
          <w:color w:val="6B7280"/>
          <w:sz w:val="20"/>
        </w:rPr>
        <w:t>Does your business model seek to have a positive impact on any of the following vulnerable groups? (select all that apply)</w:t>
      </w:r>
    </w:p>
    <w:tbl>
      <w:tblPr>
        <w:tblW w:type="auto" w:w="0"/>
        <w:jc w:val="left"/>
        <w:tblLook w:firstColumn="1" w:firstRow="1" w:lastColumn="0" w:lastRow="0" w:noHBand="0" w:noVBand="1" w:val="04A0"/>
      </w:tblPr>
      <w:tblGrid>
        <w:gridCol w:w="4533"/>
        <w:gridCol w:w="4533"/>
      </w:tblGrid>
      <w:tr>
        <w:tc>
          <w:tcPr>
            <w:tcW w:type="dxa" w:w="4533"/>
            <w:shd w:val="clear" w:color="auto" w:fill="E8F5ED"/>
          </w:tcPr>
          <w:p>
            <w:pPr>
              <w:spacing w:before="80" w:after="80"/>
              <w:ind w:left="170"/>
            </w:pPr>
            <w:r>
              <w:rPr>
                <w:rFonts w:ascii="Calibri" w:hAnsi="Calibri"/>
                <w:b/>
                <w:color w:val="00A651"/>
                <w:sz w:val="18"/>
              </w:rPr>
              <w:t>YES</w:t>
            </w:r>
          </w:p>
        </w:tc>
        <w:tc>
          <w:tcPr>
            <w:tcW w:type="dxa" w:w="4533"/>
            <w:shd w:val="clear" w:color="auto" w:fill="E8F5ED"/>
          </w:tcPr>
          <w:p>
            <w:pPr>
              <w:spacing w:before="80" w:after="80"/>
              <w:ind w:left="170"/>
            </w:pPr>
            <w:r>
              <w:rPr>
                <w:rFonts w:ascii="Calibri" w:hAnsi="Calibri"/>
                <w:b/>
                <w:color w:val="004020"/>
                <w:sz w:val="20"/>
              </w:rPr>
              <w:t>People of African Descent</w:t>
            </w:r>
          </w:p>
        </w:tc>
      </w:tr>
      <w:tr>
        <w:tc>
          <w:tcPr>
            <w:tcW w:type="dxa" w:w="4533"/>
            <w:shd w:val="clear" w:color="auto" w:fill="E8F5ED"/>
          </w:tcPr>
          <w:p>
            <w:pPr>
              <w:spacing w:before="80" w:after="80"/>
              <w:ind w:left="170"/>
            </w:pPr>
            <w:r>
              <w:rPr>
                <w:rFonts w:ascii="Calibri" w:hAnsi="Calibri"/>
                <w:b/>
                <w:color w:val="00A651"/>
                <w:sz w:val="18"/>
              </w:rPr>
              <w:t>YES</w:t>
            </w:r>
          </w:p>
        </w:tc>
        <w:tc>
          <w:tcPr>
            <w:tcW w:type="dxa" w:w="4533"/>
            <w:shd w:val="clear" w:color="auto" w:fill="E8F5ED"/>
          </w:tcPr>
          <w:p>
            <w:pPr>
              <w:spacing w:before="80" w:after="80"/>
              <w:ind w:left="170"/>
            </w:pPr>
            <w:r>
              <w:rPr>
                <w:rFonts w:ascii="Calibri" w:hAnsi="Calibri"/>
                <w:b/>
                <w:color w:val="004020"/>
                <w:sz w:val="20"/>
              </w:rPr>
              <w:t>Indigenous Peoples</w:t>
            </w:r>
          </w:p>
        </w:tc>
      </w:tr>
      <w:tr>
        <w:tc>
          <w:tcPr>
            <w:tcW w:type="dxa" w:w="4533"/>
            <w:shd w:val="clear" w:color="auto" w:fill="FFFFFF"/>
          </w:tcPr>
          <w:p>
            <w:pPr>
              <w:spacing w:before="80" w:after="80"/>
              <w:ind w:left="170"/>
            </w:pPr>
            <w:r>
              <w:rPr>
                <w:rFonts w:ascii="Calibri" w:hAnsi="Calibri"/>
                <w:b w:val="0"/>
                <w:color w:val="6B7280"/>
                <w:sz w:val="18"/>
              </w:rPr>
              <w:t xml:space="preserve">   </w:t>
            </w:r>
          </w:p>
        </w:tc>
        <w:tc>
          <w:tcPr>
            <w:tcW w:type="dxa" w:w="4533"/>
            <w:shd w:val="clear" w:color="auto" w:fill="FFFFFF"/>
          </w:tcPr>
          <w:p>
            <w:pPr>
              <w:spacing w:before="80" w:after="80"/>
              <w:ind w:left="170"/>
            </w:pPr>
            <w:r>
              <w:rPr>
                <w:rFonts w:ascii="Calibri" w:hAnsi="Calibri"/>
                <w:b w:val="0"/>
                <w:color w:val="6B7280"/>
                <w:sz w:val="20"/>
              </w:rPr>
              <w:t>Roma, Sinti and Travelers</w:t>
            </w:r>
          </w:p>
        </w:tc>
      </w:tr>
      <w:tr>
        <w:tc>
          <w:tcPr>
            <w:tcW w:type="dxa" w:w="4533"/>
            <w:shd w:val="clear" w:color="auto" w:fill="E8F5ED"/>
          </w:tcPr>
          <w:p>
            <w:pPr>
              <w:spacing w:before="80" w:after="80"/>
              <w:ind w:left="170"/>
            </w:pPr>
            <w:r>
              <w:rPr>
                <w:rFonts w:ascii="Calibri" w:hAnsi="Calibri"/>
                <w:b/>
                <w:color w:val="00A651"/>
                <w:sz w:val="18"/>
              </w:rPr>
              <w:t>YES</w:t>
            </w:r>
          </w:p>
        </w:tc>
        <w:tc>
          <w:tcPr>
            <w:tcW w:type="dxa" w:w="4533"/>
            <w:shd w:val="clear" w:color="auto" w:fill="E8F5ED"/>
          </w:tcPr>
          <w:p>
            <w:pPr>
              <w:spacing w:before="80" w:after="80"/>
              <w:ind w:left="170"/>
            </w:pPr>
            <w:r>
              <w:rPr>
                <w:rFonts w:ascii="Calibri" w:hAnsi="Calibri"/>
                <w:b/>
                <w:color w:val="004020"/>
                <w:sz w:val="20"/>
              </w:rPr>
              <w:t>Persons Belonging to National or Ethnic, Religious and Linguistic Minorities</w:t>
            </w:r>
          </w:p>
        </w:tc>
      </w:tr>
      <w:tr>
        <w:tc>
          <w:tcPr>
            <w:tcW w:type="dxa" w:w="4533"/>
            <w:shd w:val="clear" w:color="auto" w:fill="FFFFFF"/>
          </w:tcPr>
          <w:p>
            <w:pPr>
              <w:spacing w:before="80" w:after="80"/>
              <w:ind w:left="170"/>
            </w:pPr>
            <w:r>
              <w:rPr>
                <w:rFonts w:ascii="Calibri" w:hAnsi="Calibri"/>
                <w:b w:val="0"/>
                <w:color w:val="6B7280"/>
                <w:sz w:val="18"/>
              </w:rPr>
              <w:t xml:space="preserve">   </w:t>
            </w:r>
          </w:p>
        </w:tc>
        <w:tc>
          <w:tcPr>
            <w:tcW w:type="dxa" w:w="4533"/>
            <w:shd w:val="clear" w:color="auto" w:fill="FFFFFF"/>
          </w:tcPr>
          <w:p>
            <w:pPr>
              <w:spacing w:before="80" w:after="80"/>
              <w:ind w:left="170"/>
            </w:pPr>
            <w:r>
              <w:rPr>
                <w:rFonts w:ascii="Calibri" w:hAnsi="Calibri"/>
                <w:b w:val="0"/>
                <w:color w:val="6B7280"/>
                <w:sz w:val="20"/>
              </w:rPr>
              <w:t>Migrants</w:t>
            </w:r>
          </w:p>
        </w:tc>
      </w:tr>
      <w:tr>
        <w:tc>
          <w:tcPr>
            <w:tcW w:type="dxa" w:w="4533"/>
            <w:shd w:val="clear" w:color="auto" w:fill="FFFFFF"/>
          </w:tcPr>
          <w:p>
            <w:pPr>
              <w:spacing w:before="80" w:after="80"/>
              <w:ind w:left="170"/>
            </w:pPr>
            <w:r>
              <w:rPr>
                <w:rFonts w:ascii="Calibri" w:hAnsi="Calibri"/>
                <w:b w:val="0"/>
                <w:color w:val="6B7280"/>
                <w:sz w:val="18"/>
              </w:rPr>
              <w:t xml:space="preserve">   </w:t>
            </w:r>
          </w:p>
        </w:tc>
        <w:tc>
          <w:tcPr>
            <w:tcW w:type="dxa" w:w="4533"/>
            <w:shd w:val="clear" w:color="auto" w:fill="FFFFFF"/>
          </w:tcPr>
          <w:p>
            <w:pPr>
              <w:spacing w:before="80" w:after="80"/>
              <w:ind w:left="170"/>
            </w:pPr>
            <w:r>
              <w:rPr>
                <w:rFonts w:ascii="Calibri" w:hAnsi="Calibri"/>
                <w:b w:val="0"/>
                <w:color w:val="6B7280"/>
                <w:sz w:val="20"/>
              </w:rPr>
              <w:t>Refugees, Asylum-seekers, and Internally Displaced People</w:t>
            </w:r>
          </w:p>
        </w:tc>
      </w:tr>
      <w:tr>
        <w:tc>
          <w:tcPr>
            <w:tcW w:type="dxa" w:w="4533"/>
            <w:shd w:val="clear" w:color="auto" w:fill="E8F5ED"/>
          </w:tcPr>
          <w:p>
            <w:pPr>
              <w:spacing w:before="80" w:after="80"/>
              <w:ind w:left="170"/>
            </w:pPr>
            <w:r>
              <w:rPr>
                <w:rFonts w:ascii="Calibri" w:hAnsi="Calibri"/>
                <w:b/>
                <w:color w:val="00A651"/>
                <w:sz w:val="18"/>
              </w:rPr>
              <w:t>YES</w:t>
            </w:r>
          </w:p>
        </w:tc>
        <w:tc>
          <w:tcPr>
            <w:tcW w:type="dxa" w:w="4533"/>
            <w:shd w:val="clear" w:color="auto" w:fill="E8F5ED"/>
          </w:tcPr>
          <w:p>
            <w:pPr>
              <w:spacing w:before="80" w:after="80"/>
              <w:ind w:left="170"/>
            </w:pPr>
            <w:r>
              <w:rPr>
                <w:rFonts w:ascii="Calibri" w:hAnsi="Calibri"/>
                <w:b/>
                <w:color w:val="004020"/>
                <w:sz w:val="20"/>
              </w:rPr>
              <w:t>People Living in Extreme Poverty</w:t>
            </w:r>
          </w:p>
        </w:tc>
      </w:tr>
      <w:tr>
        <w:tc>
          <w:tcPr>
            <w:tcW w:type="dxa" w:w="4533"/>
            <w:shd w:val="clear" w:color="auto" w:fill="E8F5ED"/>
          </w:tcPr>
          <w:p>
            <w:pPr>
              <w:spacing w:before="80" w:after="80"/>
              <w:ind w:left="170"/>
            </w:pPr>
            <w:r>
              <w:rPr>
                <w:rFonts w:ascii="Calibri" w:hAnsi="Calibri"/>
                <w:b/>
                <w:color w:val="00A651"/>
                <w:sz w:val="18"/>
              </w:rPr>
              <w:t>YES</w:t>
            </w:r>
          </w:p>
        </w:tc>
        <w:tc>
          <w:tcPr>
            <w:tcW w:type="dxa" w:w="4533"/>
            <w:shd w:val="clear" w:color="auto" w:fill="E8F5ED"/>
          </w:tcPr>
          <w:p>
            <w:pPr>
              <w:spacing w:before="80" w:after="80"/>
              <w:ind w:left="170"/>
            </w:pPr>
            <w:r>
              <w:rPr>
                <w:rFonts w:ascii="Calibri" w:hAnsi="Calibri"/>
                <w:b/>
                <w:color w:val="004020"/>
                <w:sz w:val="20"/>
              </w:rPr>
              <w:t>Women</w:t>
            </w:r>
          </w:p>
        </w:tc>
      </w:tr>
      <w:tr>
        <w:tc>
          <w:tcPr>
            <w:tcW w:type="dxa" w:w="4533"/>
            <w:shd w:val="clear" w:color="auto" w:fill="FFFFFF"/>
          </w:tcPr>
          <w:p>
            <w:pPr>
              <w:spacing w:before="80" w:after="80"/>
              <w:ind w:left="170"/>
            </w:pPr>
            <w:r>
              <w:rPr>
                <w:rFonts w:ascii="Calibri" w:hAnsi="Calibri"/>
                <w:b w:val="0"/>
                <w:color w:val="6B7280"/>
                <w:sz w:val="18"/>
              </w:rPr>
              <w:t xml:space="preserve">   </w:t>
            </w:r>
          </w:p>
        </w:tc>
        <w:tc>
          <w:tcPr>
            <w:tcW w:type="dxa" w:w="4533"/>
            <w:shd w:val="clear" w:color="auto" w:fill="FFFFFF"/>
          </w:tcPr>
          <w:p>
            <w:pPr>
              <w:spacing w:before="80" w:after="80"/>
              <w:ind w:left="170"/>
            </w:pPr>
            <w:r>
              <w:rPr>
                <w:rFonts w:ascii="Calibri" w:hAnsi="Calibri"/>
                <w:b w:val="0"/>
                <w:color w:val="6B7280"/>
                <w:sz w:val="20"/>
              </w:rPr>
              <w:t>LGBTQI+ People</w:t>
            </w:r>
          </w:p>
        </w:tc>
      </w:tr>
    </w:tbl>
    <w:p>
      <w:pPr>
        <w:spacing w:after="120"/>
      </w:pPr>
    </w:p>
    <w:tbl>
      <w:tblPr>
        <w:tblW w:type="auto" w:w="0"/>
        <w:jc w:val="left"/>
        <w:tblLook w:firstColumn="1" w:firstRow="1" w:lastColumn="0" w:lastRow="0" w:noHBand="0" w:noVBand="1" w:val="04A0"/>
      </w:tblPr>
      <w:tblGrid>
        <w:gridCol w:w="4533"/>
        <w:gridCol w:w="4533"/>
      </w:tblGrid>
      <w:tr>
        <w:tc>
          <w:tcPr>
            <w:tcW w:type="dxa" w:w="2551"/>
            <w:shd w:val="clear" w:color="auto" w:fill="00A651"/>
          </w:tcPr>
          <w:p>
            <w:pPr>
              <w:spacing w:before="120" w:after="120"/>
              <w:ind w:left="113"/>
            </w:pPr>
            <w:r>
              <w:rPr>
                <w:rFonts w:ascii="Calibri" w:hAnsi="Calibri"/>
                <w:b/>
                <w:color w:val="FFFFFF"/>
                <w:sz w:val="18"/>
              </w:rPr>
              <w:t>People of African Descent</w:t>
            </w:r>
          </w:p>
        </w:tc>
        <w:tc>
          <w:tcPr>
            <w:tcW w:type="dxa" w:w="6520"/>
            <w:shd w:val="clear" w:color="auto" w:fill="E8F5ED"/>
          </w:tcPr>
          <w:p>
            <w:pPr>
              <w:spacing w:before="120" w:after="120"/>
              <w:ind w:left="170"/>
            </w:pPr>
            <w:r>
              <w:rPr>
                <w:rFonts w:ascii="Calibri" w:hAnsi="Calibri"/>
                <w:color w:val="1F2937"/>
                <w:sz w:val="19"/>
              </w:rPr>
              <w:t>Smallholder farmers across East and Sub-Saharan Africa — the primary beneficiaries of climate adaptation programmes where counterfeit inputs cause the most damage.</w:t>
            </w:r>
          </w:p>
        </w:tc>
      </w:tr>
      <w:tr>
        <w:tc>
          <w:tcPr>
            <w:tcW w:type="dxa" w:w="2551"/>
            <w:shd w:val="clear" w:color="auto" w:fill="00A651"/>
          </w:tcPr>
          <w:p>
            <w:pPr>
              <w:spacing w:before="120" w:after="120"/>
              <w:ind w:left="113"/>
            </w:pPr>
            <w:r>
              <w:rPr>
                <w:rFonts w:ascii="Calibri" w:hAnsi="Calibri"/>
                <w:b/>
                <w:color w:val="FFFFFF"/>
                <w:sz w:val="18"/>
              </w:rPr>
              <w:t>Indigenous Peoples</w:t>
            </w:r>
          </w:p>
        </w:tc>
        <w:tc>
          <w:tcPr>
            <w:tcW w:type="dxa" w:w="6520"/>
            <w:shd w:val="clear" w:color="auto" w:fill="FFFFFF"/>
          </w:tcPr>
          <w:p>
            <w:pPr>
              <w:spacing w:before="120" w:after="120"/>
              <w:ind w:left="170"/>
            </w:pPr>
            <w:r>
              <w:rPr>
                <w:rFonts w:ascii="Calibri" w:hAnsi="Calibri"/>
                <w:color w:val="1F2937"/>
                <w:sz w:val="19"/>
              </w:rPr>
              <w:t>Maasai and Hadzabe communities in reforestation and climate-health programmes require FPIC compliance. Riviwa provides the verified consent trail and community grievance channel that makes programmes legally and ethically sound.</w:t>
            </w:r>
          </w:p>
        </w:tc>
      </w:tr>
      <w:tr>
        <w:tc>
          <w:tcPr>
            <w:tcW w:type="dxa" w:w="2551"/>
            <w:shd w:val="clear" w:color="auto" w:fill="00A651"/>
          </w:tcPr>
          <w:p>
            <w:pPr>
              <w:spacing w:before="120" w:after="120"/>
              <w:ind w:left="113"/>
            </w:pPr>
            <w:r>
              <w:rPr>
                <w:rFonts w:ascii="Calibri" w:hAnsi="Calibri"/>
                <w:b/>
                <w:color w:val="FFFFFF"/>
                <w:sz w:val="18"/>
              </w:rPr>
              <w:t>Persons Belonging to National or Ethnic, Religious and Linguistic Minorities</w:t>
            </w:r>
          </w:p>
        </w:tc>
        <w:tc>
          <w:tcPr>
            <w:tcW w:type="dxa" w:w="6520"/>
            <w:shd w:val="clear" w:color="auto" w:fill="E8F5ED"/>
          </w:tcPr>
          <w:p>
            <w:pPr>
              <w:spacing w:before="120" w:after="120"/>
              <w:ind w:left="170"/>
            </w:pPr>
            <w:r>
              <w:rPr>
                <w:rFonts w:ascii="Calibri" w:hAnsi="Calibri"/>
                <w:color w:val="1F2937"/>
                <w:sz w:val="19"/>
              </w:rPr>
              <w:t>Minority and pastoralist farming communities in Tanzania, Kenya, and Uganda receiving climate adaptation inputs — often the most remote and the least able to raise formal complaints.</w:t>
            </w:r>
          </w:p>
        </w:tc>
      </w:tr>
      <w:tr>
        <w:tc>
          <w:tcPr>
            <w:tcW w:type="dxa" w:w="2551"/>
            <w:shd w:val="clear" w:color="auto" w:fill="00A651"/>
          </w:tcPr>
          <w:p>
            <w:pPr>
              <w:spacing w:before="120" w:after="120"/>
              <w:ind w:left="113"/>
            </w:pPr>
            <w:r>
              <w:rPr>
                <w:rFonts w:ascii="Calibri" w:hAnsi="Calibri"/>
                <w:b/>
                <w:color w:val="FFFFFF"/>
                <w:sz w:val="18"/>
              </w:rPr>
              <w:t>People Living in Extreme Poverty</w:t>
            </w:r>
          </w:p>
        </w:tc>
        <w:tc>
          <w:tcPr>
            <w:tcW w:type="dxa" w:w="6520"/>
            <w:shd w:val="clear" w:color="auto" w:fill="FFFFFF"/>
          </w:tcPr>
          <w:p>
            <w:pPr>
              <w:spacing w:before="120" w:after="120"/>
              <w:ind w:left="170"/>
            </w:pPr>
            <w:r>
              <w:rPr>
                <w:rFonts w:ascii="Calibri" w:hAnsi="Calibri"/>
                <w:color w:val="1F2937"/>
                <w:sz w:val="19"/>
              </w:rPr>
              <w:t>Subsistence smallholders who lose entire growing seasons to counterfeit inputs after climate shocks. These farmers have zero safety net — one failed planting season is a food security crisis.</w:t>
            </w:r>
          </w:p>
        </w:tc>
      </w:tr>
      <w:tr>
        <w:tc>
          <w:tcPr>
            <w:tcW w:type="dxa" w:w="2551"/>
            <w:shd w:val="clear" w:color="auto" w:fill="00A651"/>
          </w:tcPr>
          <w:p>
            <w:pPr>
              <w:spacing w:before="120" w:after="120"/>
              <w:ind w:left="113"/>
            </w:pPr>
            <w:r>
              <w:rPr>
                <w:rFonts w:ascii="Calibri" w:hAnsi="Calibri"/>
                <w:b/>
                <w:color w:val="FFFFFF"/>
                <w:sz w:val="18"/>
              </w:rPr>
              <w:t>Women</w:t>
            </w:r>
          </w:p>
        </w:tc>
        <w:tc>
          <w:tcPr>
            <w:tcW w:type="dxa" w:w="6520"/>
            <w:shd w:val="clear" w:color="auto" w:fill="E8F5ED"/>
          </w:tcPr>
          <w:p>
            <w:pPr>
              <w:spacing w:before="120" w:after="120"/>
              <w:ind w:left="170"/>
            </w:pPr>
            <w:r>
              <w:rPr>
                <w:rFonts w:ascii="Calibri" w:hAnsi="Calibri"/>
                <w:color w:val="1F2937"/>
                <w:sz w:val="19"/>
              </w:rPr>
              <w:t>Women farmer groups and land titling programme beneficiaries represent the majority of smallholder participants in East Africa climate adaptation programmes. JP RWEE and AFR100 report 60-70% female beneficiaries.</w:t>
            </w:r>
          </w:p>
        </w:tc>
      </w:tr>
    </w:tbl>
    <w:p>
      <w:pPr>
        <w:spacing w:after="160"/>
      </w:pP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tbl>
      <w:tblPr>
        <w:tblW w:type="auto" w:w="0"/>
        <w:jc w:val="left"/>
        <w:tblLook w:firstColumn="1" w:firstRow="1" w:lastColumn="0" w:lastRow="0" w:noHBand="0" w:noVBand="1" w:val="04A0"/>
      </w:tblPr>
      <w:tblGrid>
        <w:gridCol w:w="9066"/>
      </w:tblGrid>
      <w:tr>
        <w:tc>
          <w:tcPr>
            <w:tcW w:type="dxa" w:w="9066"/>
            <w:shd w:val="clear" w:color="auto" w:fill="004020"/>
          </w:tcPr>
          <w:p>
            <w:pPr>
              <w:spacing w:before="160" w:after="160"/>
              <w:ind w:left="227"/>
              <w:jc w:val="left"/>
            </w:pPr>
            <w:r>
              <w:rPr>
                <w:rFonts w:ascii="Calibri" w:hAnsi="Calibri"/>
                <w:b/>
                <w:color w:val="FFFFFF"/>
                <w:sz w:val="26"/>
              </w:rPr>
              <w:t>SECTION 6: RESEARCH REFERENCES</w:t>
            </w:r>
          </w:p>
        </w:tc>
      </w:tr>
    </w:tbl>
    <w:p>
      <w:pPr>
        <w:spacing w:after="40"/>
      </w:pPr>
    </w:p>
    <w:p>
      <w:pPr>
        <w:spacing w:before="80" w:after="160"/>
        <w:jc w:val="left"/>
      </w:pPr>
      <w:r>
        <w:rPr>
          <w:rFonts w:ascii="Calibri" w:hAnsi="Calibri"/>
          <w:b w:val="0"/>
          <w:i/>
          <w:color w:val="6B7280"/>
          <w:sz w:val="20"/>
        </w:rPr>
        <w:t>All factual claims in this application are drawn from the following peer-reviewed studies, institutional reports, and development finance analyses. References are listed in order of use across the application.</w:t>
      </w: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[1]</w:t>
            </w:r>
          </w:p>
        </w:tc>
        <w:tc>
          <w:tcPr>
            <w:tcW w:type="dxa" w:w="4252"/>
            <w:shd w:val="clear" w:color="auto" w:fill="FFFFFF"/>
          </w:tcPr>
          <w:p>
            <w:pPr>
              <w:spacing w:before="80" w:after="80"/>
              <w:ind w:left="113"/>
            </w:pPr>
            <w:r>
              <w:rPr>
                <w:rFonts w:ascii="Calibri" w:hAnsi="Calibri"/>
                <w:b/>
                <w:color w:val="1F2937"/>
                <w:sz w:val="18"/>
              </w:rPr>
              <w:t>AGRA — Africa Agriculture Status Report 2023: Seed Sector Performance Index</w:t>
            </w:r>
            <w:r>
              <w:rPr>
                <w:rFonts w:ascii="Calibri" w:hAnsi="Calibri"/>
                <w:i/>
                <w:color w:val="6B7280"/>
                <w:sz w:val="17"/>
              </w:rPr>
              <w:br/>
              <w:t>Primary source for counterfeit seed prevalence (up to 50% in some East African markets) and 30-50% yield reduction from substandard inputs.</w:t>
            </w:r>
          </w:p>
        </w:tc>
        <w:tc>
          <w:tcPr>
            <w:tcW w:type="dxa" w:w="4252"/>
            <w:shd w:val="clear" w:color="auto" w:fill="FFFFFF"/>
          </w:tcPr>
          <w:p>
            <w:pPr>
              <w:spacing w:before="80" w:after="80"/>
              <w:ind w:left="113"/>
            </w:pPr>
            <w:r>
              <w:rPr>
                <w:rFonts w:ascii="Calibri" w:hAnsi="Calibri"/>
                <w:color w:val="005F9E"/>
                <w:sz w:val="16"/>
              </w:rPr>
              <w:t>https://agra.org/wp-content/uploads/2024/09/SSPI_report_2023_web.pdf</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[2]</w:t>
            </w:r>
          </w:p>
        </w:tc>
        <w:tc>
          <w:tcPr>
            <w:tcW w:type="dxa" w:w="4252"/>
            <w:shd w:val="clear" w:color="auto" w:fill="F3F4F6"/>
          </w:tcPr>
          <w:p>
            <w:pPr>
              <w:spacing w:before="80" w:after="80"/>
              <w:ind w:left="113"/>
            </w:pPr>
            <w:r>
              <w:rPr>
                <w:rFonts w:ascii="Calibri" w:hAnsi="Calibri"/>
                <w:b/>
                <w:color w:val="1F2937"/>
                <w:sz w:val="18"/>
              </w:rPr>
              <w:t>AGRA — Africa Agriculture Status Report 2023</w:t>
            </w:r>
            <w:r>
              <w:rPr>
                <w:rFonts w:ascii="Calibri" w:hAnsi="Calibri"/>
                <w:i/>
                <w:color w:val="6B7280"/>
                <w:sz w:val="17"/>
              </w:rPr>
              <w:br/>
              <w:t>Broader agricultural development context and seed system performance across Sub-Saharan Africa.</w:t>
            </w:r>
          </w:p>
        </w:tc>
        <w:tc>
          <w:tcPr>
            <w:tcW w:type="dxa" w:w="4252"/>
            <w:shd w:val="clear" w:color="auto" w:fill="F3F4F6"/>
          </w:tcPr>
          <w:p>
            <w:pPr>
              <w:spacing w:before="80" w:after="80"/>
              <w:ind w:left="113"/>
            </w:pPr>
            <w:r>
              <w:rPr>
                <w:rFonts w:ascii="Calibri" w:hAnsi="Calibri"/>
                <w:color w:val="005F9E"/>
                <w:sz w:val="16"/>
              </w:rPr>
              <w:t>https://agra.org/wp-content/uploads/2024/08/Africa-Agriculture-Status-Report-2023-Empowering-Africas-Food-Systems.pdf</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[3]</w:t>
            </w:r>
          </w:p>
        </w:tc>
        <w:tc>
          <w:tcPr>
            <w:tcW w:type="dxa" w:w="4252"/>
            <w:shd w:val="clear" w:color="auto" w:fill="FFFFFF"/>
          </w:tcPr>
          <w:p>
            <w:pPr>
              <w:spacing w:before="80" w:after="80"/>
              <w:ind w:left="113"/>
            </w:pPr>
            <w:r>
              <w:rPr>
                <w:rFonts w:ascii="Calibri" w:hAnsi="Calibri"/>
                <w:b/>
                <w:color w:val="1F2937"/>
                <w:sz w:val="18"/>
              </w:rPr>
              <w:t>MIT Press — Low-Quality Seeds, Labor Supply and Economic Returns: Experimental Evidence from Tanzania</w:t>
            </w:r>
            <w:r>
              <w:rPr>
                <w:rFonts w:ascii="Calibri" w:hAnsi="Calibri"/>
                <w:i/>
                <w:color w:val="6B7280"/>
                <w:sz w:val="17"/>
              </w:rPr>
              <w:br/>
              <w:t>Peer-reviewed field study: 50/50 probability that purchased seeds in Tanzania perform as advertised. Used in Demand Proof answer.</w:t>
            </w:r>
          </w:p>
        </w:tc>
        <w:tc>
          <w:tcPr>
            <w:tcW w:type="dxa" w:w="4252"/>
            <w:shd w:val="clear" w:color="auto" w:fill="FFFFFF"/>
          </w:tcPr>
          <w:p>
            <w:pPr>
              <w:spacing w:before="80" w:after="80"/>
              <w:ind w:left="113"/>
            </w:pPr>
            <w:r>
              <w:rPr>
                <w:rFonts w:ascii="Calibri" w:hAnsi="Calibri"/>
                <w:color w:val="005F9E"/>
                <w:sz w:val="16"/>
              </w:rPr>
              <w:t>https://direct.mit.edu/rest/article-abstract/doi/10.1162/rest_a_01285/114754/</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[4]</w:t>
            </w:r>
          </w:p>
        </w:tc>
        <w:tc>
          <w:tcPr>
            <w:tcW w:type="dxa" w:w="4252"/>
            <w:shd w:val="clear" w:color="auto" w:fill="F3F4F6"/>
          </w:tcPr>
          <w:p>
            <w:pPr>
              <w:spacing w:before="80" w:after="80"/>
              <w:ind w:left="113"/>
            </w:pPr>
            <w:r>
              <w:rPr>
                <w:rFonts w:ascii="Calibri" w:hAnsi="Calibri"/>
                <w:b/>
                <w:color w:val="1F2937"/>
                <w:sz w:val="18"/>
              </w:rPr>
              <w:t>VoxDev — Uncertainty About Seed Quality Undermines Agricultural Development in Africa</w:t>
            </w:r>
            <w:r>
              <w:rPr>
                <w:rFonts w:ascii="Calibri" w:hAnsi="Calibri"/>
                <w:i/>
                <w:color w:val="6B7280"/>
                <w:sz w:val="17"/>
              </w:rPr>
              <w:br/>
              <w:t>Policy brief summarising the MIT Tanzania seed quality research for a development economics audience.</w:t>
            </w:r>
          </w:p>
        </w:tc>
        <w:tc>
          <w:tcPr>
            <w:tcW w:type="dxa" w:w="4252"/>
            <w:shd w:val="clear" w:color="auto" w:fill="F3F4F6"/>
          </w:tcPr>
          <w:p>
            <w:pPr>
              <w:spacing w:before="80" w:after="80"/>
              <w:ind w:left="113"/>
            </w:pPr>
            <w:r>
              <w:rPr>
                <w:rFonts w:ascii="Calibri" w:hAnsi="Calibri"/>
                <w:color w:val="005F9E"/>
                <w:sz w:val="16"/>
              </w:rPr>
              <w:t>https://voxdev.org/topic/agriculture/uncertainty-about-seed-quality-undermines-agricultural-development-africa</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[5]</w:t>
            </w:r>
          </w:p>
        </w:tc>
        <w:tc>
          <w:tcPr>
            <w:tcW w:type="dxa" w:w="4252"/>
            <w:shd w:val="clear" w:color="auto" w:fill="FFFFFF"/>
          </w:tcPr>
          <w:p>
            <w:pPr>
              <w:spacing w:before="80" w:after="80"/>
              <w:ind w:left="113"/>
            </w:pPr>
            <w:r>
              <w:rPr>
                <w:rFonts w:ascii="Calibri" w:hAnsi="Calibri"/>
                <w:b/>
                <w:color w:val="1F2937"/>
                <w:sz w:val="18"/>
              </w:rPr>
              <w:t>Access to Seeds Index — Counterfeit Seed in Eastern and Southern Africa</w:t>
            </w:r>
            <w:r>
              <w:rPr>
                <w:rFonts w:ascii="Calibri" w:hAnsi="Calibri"/>
                <w:i/>
                <w:color w:val="6B7280"/>
                <w:sz w:val="17"/>
              </w:rPr>
              <w:br/>
              <w:t>Regional documentation: trade in illegal seeds rising ~5% per year; 25-30% of market seeds estimated counterfeit.</w:t>
            </w:r>
          </w:p>
        </w:tc>
        <w:tc>
          <w:tcPr>
            <w:tcW w:type="dxa" w:w="4252"/>
            <w:shd w:val="clear" w:color="auto" w:fill="FFFFFF"/>
          </w:tcPr>
          <w:p>
            <w:pPr>
              <w:spacing w:before="80" w:after="80"/>
              <w:ind w:left="113"/>
            </w:pPr>
            <w:r>
              <w:rPr>
                <w:rFonts w:ascii="Calibri" w:hAnsi="Calibri"/>
                <w:color w:val="005F9E"/>
                <w:sz w:val="16"/>
              </w:rPr>
              <w:t>https://www.accesstoseeds.org/index/eastern-southern-africa/key-findings/counterfeit-seed/</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[6]</w:t>
            </w:r>
          </w:p>
        </w:tc>
        <w:tc>
          <w:tcPr>
            <w:tcW w:type="dxa" w:w="4252"/>
            <w:shd w:val="clear" w:color="auto" w:fill="F3F4F6"/>
          </w:tcPr>
          <w:p>
            <w:pPr>
              <w:spacing w:before="80" w:after="80"/>
              <w:ind w:left="113"/>
            </w:pPr>
            <w:r>
              <w:rPr>
                <w:rFonts w:ascii="Calibri" w:hAnsi="Calibri"/>
                <w:b/>
                <w:color w:val="1F2937"/>
                <w:sz w:val="18"/>
              </w:rPr>
              <w:t>Stockholm Environment Institute (SEI) — Climate Adaptation Finance Disbursement Analysis</w:t>
            </w:r>
            <w:r>
              <w:rPr>
                <w:rFonts w:ascii="Calibri" w:hAnsi="Calibri"/>
                <w:i/>
                <w:color w:val="6B7280"/>
                <w:sz w:val="17"/>
              </w:rPr>
              <w:br/>
              <w:t>Less than half of committed adaptation funds between 2014-2018 were actually disbursed. Cited in Why does it matter answer.</w:t>
            </w:r>
          </w:p>
        </w:tc>
        <w:tc>
          <w:tcPr>
            <w:tcW w:type="dxa" w:w="4252"/>
            <w:shd w:val="clear" w:color="auto" w:fill="F3F4F6"/>
          </w:tcPr>
          <w:p>
            <w:pPr>
              <w:spacing w:before="80" w:after="80"/>
              <w:ind w:left="113"/>
            </w:pPr>
            <w:r>
              <w:rPr>
                <w:rFonts w:ascii="Calibri" w:hAnsi="Calibri"/>
                <w:color w:val="005F9E"/>
                <w:sz w:val="16"/>
              </w:rPr>
              <w:t>https://www.sei.org/publications/adaptation-finance/</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[7]</w:t>
            </w:r>
          </w:p>
        </w:tc>
        <w:tc>
          <w:tcPr>
            <w:tcW w:type="dxa" w:w="4252"/>
            <w:shd w:val="clear" w:color="auto" w:fill="FFFFFF"/>
          </w:tcPr>
          <w:p>
            <w:pPr>
              <w:spacing w:before="80" w:after="80"/>
              <w:ind w:left="113"/>
            </w:pPr>
            <w:r>
              <w:rPr>
                <w:rFonts w:ascii="Calibri" w:hAnsi="Calibri"/>
                <w:b/>
                <w:color w:val="1F2937"/>
                <w:sz w:val="18"/>
              </w:rPr>
              <w:t>Brookings Institution — Climate Adaptation Finance in Africa</w:t>
            </w:r>
            <w:r>
              <w:rPr>
                <w:rFonts w:ascii="Calibri" w:hAnsi="Calibri"/>
                <w:i/>
                <w:color w:val="6B7280"/>
                <w:sz w:val="17"/>
              </w:rPr>
              <w:br/>
              <w:t>$13.9 billion annually committed to African climate adaptation against $51 billion needed. Structural disbursement failure analysis.</w:t>
            </w:r>
          </w:p>
        </w:tc>
        <w:tc>
          <w:tcPr>
            <w:tcW w:type="dxa" w:w="4252"/>
            <w:shd w:val="clear" w:color="auto" w:fill="FFFFFF"/>
          </w:tcPr>
          <w:p>
            <w:pPr>
              <w:spacing w:before="80" w:after="80"/>
              <w:ind w:left="113"/>
            </w:pPr>
            <w:r>
              <w:rPr>
                <w:rFonts w:ascii="Calibri" w:hAnsi="Calibri"/>
                <w:color w:val="005F9E"/>
                <w:sz w:val="16"/>
              </w:rPr>
              <w:t>https://www.brookings.edu/articles/climate-adaptation-finance-in-africa/</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[8]</w:t>
            </w:r>
          </w:p>
        </w:tc>
        <w:tc>
          <w:tcPr>
            <w:tcW w:type="dxa" w:w="4252"/>
            <w:shd w:val="clear" w:color="auto" w:fill="F3F4F6"/>
          </w:tcPr>
          <w:p>
            <w:pPr>
              <w:spacing w:before="80" w:after="80"/>
              <w:ind w:left="113"/>
            </w:pPr>
            <w:r>
              <w:rPr>
                <w:rFonts w:ascii="Calibri" w:hAnsi="Calibri"/>
                <w:b/>
                <w:color w:val="1F2937"/>
                <w:sz w:val="18"/>
              </w:rPr>
              <w:t>Climate Policy Initiative — Landscape of Climate Finance in Africa</w:t>
            </w:r>
            <w:r>
              <w:rPr>
                <w:rFonts w:ascii="Calibri" w:hAnsi="Calibri"/>
                <w:i/>
                <w:color w:val="6B7280"/>
                <w:sz w:val="17"/>
              </w:rPr>
              <w:br/>
              <w:t>Annual climate finance flow data and gap analysis for Sub-Saharan Africa (2021-2023).</w:t>
            </w:r>
          </w:p>
        </w:tc>
        <w:tc>
          <w:tcPr>
            <w:tcW w:type="dxa" w:w="4252"/>
            <w:shd w:val="clear" w:color="auto" w:fill="F3F4F6"/>
          </w:tcPr>
          <w:p>
            <w:pPr>
              <w:spacing w:before="80" w:after="80"/>
              <w:ind w:left="113"/>
            </w:pPr>
            <w:r>
              <w:rPr>
                <w:rFonts w:ascii="Calibri" w:hAnsi="Calibri"/>
                <w:color w:val="005F9E"/>
                <w:sz w:val="16"/>
              </w:rPr>
              <w:t>https://www.climatepolicyinitiative.org/publication/landscape-of-climate-finance-in-africa/</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[9]</w:t>
            </w:r>
          </w:p>
        </w:tc>
        <w:tc>
          <w:tcPr>
            <w:tcW w:type="dxa" w:w="4252"/>
            <w:shd w:val="clear" w:color="auto" w:fill="FFFFFF"/>
          </w:tcPr>
          <w:p>
            <w:pPr>
              <w:spacing w:before="80" w:after="80"/>
              <w:ind w:left="113"/>
            </w:pPr>
            <w:r>
              <w:rPr>
                <w:rFonts w:ascii="Calibri" w:hAnsi="Calibri"/>
                <w:b/>
                <w:color w:val="1F2937"/>
                <w:sz w:val="18"/>
              </w:rPr>
              <w:t>Global Center on Adaptation — State and Trends in Climate Adaptation Finance 2023</w:t>
            </w:r>
            <w:r>
              <w:rPr>
                <w:rFonts w:ascii="Calibri" w:hAnsi="Calibri"/>
                <w:i/>
                <w:color w:val="6B7280"/>
                <w:sz w:val="17"/>
              </w:rPr>
              <w:br/>
              <w:t>Comprehensive adaptation finance tracking including disbursement rates and delivery chain failures.</w:t>
            </w:r>
          </w:p>
        </w:tc>
        <w:tc>
          <w:tcPr>
            <w:tcW w:type="dxa" w:w="4252"/>
            <w:shd w:val="clear" w:color="auto" w:fill="FFFFFF"/>
          </w:tcPr>
          <w:p>
            <w:pPr>
              <w:spacing w:before="80" w:after="80"/>
              <w:ind w:left="113"/>
            </w:pPr>
            <w:r>
              <w:rPr>
                <w:rFonts w:ascii="Calibri" w:hAnsi="Calibri"/>
                <w:color w:val="005F9E"/>
                <w:sz w:val="16"/>
              </w:rPr>
              <w:t>https://gca.org/wp-content/uploads/2023/12/State-and-Trends-in-Climate-Adaptation-Finance-2023_WEB.pdf</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[10]</w:t>
            </w:r>
          </w:p>
        </w:tc>
        <w:tc>
          <w:tcPr>
            <w:tcW w:type="dxa" w:w="4252"/>
            <w:shd w:val="clear" w:color="auto" w:fill="F3F4F6"/>
          </w:tcPr>
          <w:p>
            <w:pPr>
              <w:spacing w:before="80" w:after="80"/>
              <w:ind w:left="113"/>
            </w:pPr>
            <w:r>
              <w:rPr>
                <w:rFonts w:ascii="Calibri" w:hAnsi="Calibri"/>
                <w:b/>
                <w:color w:val="1F2937"/>
                <w:sz w:val="18"/>
              </w:rPr>
              <w:t>Zero Carbon Analytics — Reforming Climate Finance: Adaptation Finance in Africa</w:t>
            </w:r>
            <w:r>
              <w:rPr>
                <w:rFonts w:ascii="Calibri" w:hAnsi="Calibri"/>
                <w:i/>
                <w:color w:val="6B7280"/>
                <w:sz w:val="17"/>
              </w:rPr>
              <w:br/>
              <w:t>95% of adaptation finance is public; majority arrives as loans not grants; multiple intermediaries create leakage points.</w:t>
            </w:r>
          </w:p>
        </w:tc>
        <w:tc>
          <w:tcPr>
            <w:tcW w:type="dxa" w:w="4252"/>
            <w:shd w:val="clear" w:color="auto" w:fill="F3F4F6"/>
          </w:tcPr>
          <w:p>
            <w:pPr>
              <w:spacing w:before="80" w:after="80"/>
              <w:ind w:left="113"/>
            </w:pPr>
            <w:r>
              <w:rPr>
                <w:rFonts w:ascii="Calibri" w:hAnsi="Calibri"/>
                <w:color w:val="005F9E"/>
                <w:sz w:val="16"/>
              </w:rPr>
              <w:t>https://zerocarbon-analytics.org/insights/briefings/reforming-climate-finance-adaptation-finance-in-africa/</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[11]</w:t>
            </w:r>
          </w:p>
        </w:tc>
        <w:tc>
          <w:tcPr>
            <w:tcW w:type="dxa" w:w="4252"/>
            <w:shd w:val="clear" w:color="auto" w:fill="FFFFFF"/>
          </w:tcPr>
          <w:p>
            <w:pPr>
              <w:spacing w:before="80" w:after="80"/>
              <w:ind w:left="113"/>
            </w:pPr>
            <w:r>
              <w:rPr>
                <w:rFonts w:ascii="Calibri" w:hAnsi="Calibri"/>
                <w:b/>
                <w:color w:val="1F2937"/>
                <w:sz w:val="18"/>
              </w:rPr>
              <w:t>Uganda National Bureau of Standards — Counterfeit Seed Market Estimate</w:t>
            </w:r>
            <w:r>
              <w:rPr>
                <w:rFonts w:ascii="Calibri" w:hAnsi="Calibri"/>
                <w:i/>
                <w:color w:val="6B7280"/>
                <w:sz w:val="17"/>
              </w:rPr>
              <w:br/>
              <w:t>An estimated 30% of seed on the Ugandan market is counterfeit. Cited for regional counterfeit seed prevalence context.</w:t>
            </w:r>
          </w:p>
        </w:tc>
        <w:tc>
          <w:tcPr>
            <w:tcW w:type="dxa" w:w="4252"/>
            <w:shd w:val="clear" w:color="auto" w:fill="FFFFFF"/>
          </w:tcPr>
          <w:p>
            <w:pPr>
              <w:spacing w:before="80" w:after="80"/>
              <w:ind w:left="113"/>
            </w:pPr>
            <w:r>
              <w:rPr>
                <w:rFonts w:ascii="Calibri" w:hAnsi="Calibri"/>
                <w:color w:val="005F9E"/>
                <w:sz w:val="16"/>
              </w:rPr>
              <w:t>https://www.unbs.go.ug/</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[12]</w:t>
            </w:r>
          </w:p>
        </w:tc>
        <w:tc>
          <w:tcPr>
            <w:tcW w:type="dxa" w:w="4252"/>
            <w:shd w:val="clear" w:color="auto" w:fill="F3F4F6"/>
          </w:tcPr>
          <w:p>
            <w:pPr>
              <w:spacing w:before="80" w:after="80"/>
              <w:ind w:left="113"/>
            </w:pPr>
            <w:r>
              <w:rPr>
                <w:rFonts w:ascii="Calibri" w:hAnsi="Calibri"/>
                <w:b/>
                <w:color w:val="1F2937"/>
                <w:sz w:val="18"/>
              </w:rPr>
              <w:t>Emerald Open Research — Seed Quality Uncertainty in Kilolo District, Tanzania</w:t>
            </w:r>
            <w:r>
              <w:rPr>
                <w:rFonts w:ascii="Calibri" w:hAnsi="Calibri"/>
                <w:i/>
                <w:color w:val="6B7280"/>
                <w:sz w:val="17"/>
              </w:rPr>
              <w:br/>
              <w:t>Field study documenting widespread seed market uncertainty and its impact on adoption of improved varieties in Tanzania.</w:t>
            </w:r>
          </w:p>
        </w:tc>
        <w:tc>
          <w:tcPr>
            <w:tcW w:type="dxa" w:w="4252"/>
            <w:shd w:val="clear" w:color="auto" w:fill="F3F4F6"/>
          </w:tcPr>
          <w:p>
            <w:pPr>
              <w:spacing w:before="80" w:after="80"/>
              <w:ind w:left="113"/>
            </w:pPr>
            <w:r>
              <w:rPr>
                <w:rFonts w:ascii="Calibri" w:hAnsi="Calibri"/>
                <w:color w:val="005F9E"/>
                <w:sz w:val="16"/>
              </w:rPr>
              <w:t>https://www.emerald.com/eor/article/doi/10.1108/EOR-06-2023-0006/236532/</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FFFFF"/>
          </w:tcPr>
          <w:p>
            <w:pPr>
              <w:spacing w:before="80" w:after="80"/>
              <w:ind w:left="113"/>
            </w:pPr>
            <w:r>
              <w:rPr>
                <w:rFonts w:ascii="Calibri" w:hAnsi="Calibri"/>
                <w:b/>
                <w:color w:val="004020"/>
                <w:sz w:val="18"/>
              </w:rPr>
              <w:t>[13]</w:t>
            </w:r>
          </w:p>
        </w:tc>
        <w:tc>
          <w:tcPr>
            <w:tcW w:type="dxa" w:w="4252"/>
            <w:shd w:val="clear" w:color="auto" w:fill="FFFFFF"/>
          </w:tcPr>
          <w:p>
            <w:pPr>
              <w:spacing w:before="80" w:after="80"/>
              <w:ind w:left="113"/>
            </w:pPr>
            <w:r>
              <w:rPr>
                <w:rFonts w:ascii="Calibri" w:hAnsi="Calibri"/>
                <w:b/>
                <w:color w:val="1F2937"/>
                <w:sz w:val="18"/>
              </w:rPr>
              <w:t>Farmonaut / ODI — The Hidden Cost of Counterfeit Agricultural Inputs in Kenya</w:t>
            </w:r>
            <w:r>
              <w:rPr>
                <w:rFonts w:ascii="Calibri" w:hAnsi="Calibri"/>
                <w:i/>
                <w:color w:val="6B7280"/>
                <w:sz w:val="17"/>
              </w:rPr>
              <w:br/>
              <w:t>Ksh 153 billion (~USD 1.2B) lost annually to counterfeiting in Kenya; agriculture is the most affected sector.</w:t>
            </w:r>
          </w:p>
        </w:tc>
        <w:tc>
          <w:tcPr>
            <w:tcW w:type="dxa" w:w="4252"/>
            <w:shd w:val="clear" w:color="auto" w:fill="FFFFFF"/>
          </w:tcPr>
          <w:p>
            <w:pPr>
              <w:spacing w:before="80" w:after="80"/>
              <w:ind w:left="113"/>
            </w:pPr>
            <w:r>
              <w:rPr>
                <w:rFonts w:ascii="Calibri" w:hAnsi="Calibri"/>
                <w:color w:val="005F9E"/>
                <w:sz w:val="16"/>
              </w:rPr>
              <w:t>https://farmonaut.com/africa/kenyas-crackdown-on-counterfeit-agricultural-inputs-safeguarding-food-security-and-farmer-livelihoods/</w:t>
            </w:r>
          </w:p>
        </w:tc>
      </w:tr>
    </w:tbl>
    <w:p>
      <w:pPr>
        <w:spacing w:after="20"/>
      </w:pPr>
    </w:p>
    <w:tbl>
      <w:tblPr>
        <w:tblW w:type="auto" w:w="0"/>
        <w:jc w:val="left"/>
        <w:tblLook w:firstColumn="1" w:firstRow="1" w:lastColumn="0" w:lastRow="0" w:noHBand="0" w:noVBand="1" w:val="04A0"/>
      </w:tblPr>
      <w:tblGrid>
        <w:gridCol w:w="3022"/>
        <w:gridCol w:w="3022"/>
        <w:gridCol w:w="3022"/>
      </w:tblGrid>
      <w:tr>
        <w:tc>
          <w:tcPr>
            <w:tcW w:type="dxa" w:w="567"/>
            <w:shd w:val="clear" w:color="auto" w:fill="F3F4F6"/>
          </w:tcPr>
          <w:p>
            <w:pPr>
              <w:spacing w:before="80" w:after="80"/>
              <w:ind w:left="113"/>
            </w:pPr>
            <w:r>
              <w:rPr>
                <w:rFonts w:ascii="Calibri" w:hAnsi="Calibri"/>
                <w:b/>
                <w:color w:val="004020"/>
                <w:sz w:val="18"/>
              </w:rPr>
              <w:t>[14]</w:t>
            </w:r>
          </w:p>
        </w:tc>
        <w:tc>
          <w:tcPr>
            <w:tcW w:type="dxa" w:w="4252"/>
            <w:shd w:val="clear" w:color="auto" w:fill="F3F4F6"/>
          </w:tcPr>
          <w:p>
            <w:pPr>
              <w:spacing w:before="80" w:after="80"/>
              <w:ind w:left="113"/>
            </w:pPr>
            <w:r>
              <w:rPr>
                <w:rFonts w:ascii="Calibri" w:hAnsi="Calibri"/>
                <w:b/>
                <w:color w:val="1F2937"/>
                <w:sz w:val="18"/>
              </w:rPr>
              <w:t>ClimateLaunchpad — Official Programme &amp; Application Information</w:t>
            </w:r>
            <w:r>
              <w:rPr>
                <w:rFonts w:ascii="Calibri" w:hAnsi="Calibri"/>
                <w:i/>
                <w:color w:val="6B7280"/>
                <w:sz w:val="17"/>
              </w:rPr>
              <w:br/>
              <w:t>Competition overview, impact areas, category definitions, and bootcamp-to-finals pathway.</w:t>
            </w:r>
          </w:p>
        </w:tc>
        <w:tc>
          <w:tcPr>
            <w:tcW w:type="dxa" w:w="4252"/>
            <w:shd w:val="clear" w:color="auto" w:fill="F3F4F6"/>
          </w:tcPr>
          <w:p>
            <w:pPr>
              <w:spacing w:before="80" w:after="80"/>
              <w:ind w:left="113"/>
            </w:pPr>
            <w:r>
              <w:rPr>
                <w:rFonts w:ascii="Calibri" w:hAnsi="Calibri"/>
                <w:color w:val="005F9E"/>
                <w:sz w:val="16"/>
              </w:rPr>
              <w:t>https://climatelaunchpad.org/application-form/</w:t>
            </w:r>
          </w:p>
        </w:tc>
      </w:tr>
    </w:tbl>
    <w:p>
      <w:pPr>
        <w:spacing w:after="20"/>
      </w:pPr>
    </w:p>
    <w:tbl>
      <w:tblPr>
        <w:tblW w:type="auto" w:w="0"/>
        <w:jc w:val="center"/>
        <w:tblLook w:firstColumn="1" w:firstRow="1" w:lastColumn="0" w:lastRow="0" w:noHBand="0" w:noVBand="1" w:val="04A0"/>
        <w:tblW w:w="9300" w:type="dxa"/>
      </w:tblPr>
      <w:tblGrid>
        <w:gridCol w:w="9066"/>
      </w:tblGrid>
      <w:tr>
        <w:trPr>
          <w:trHeight w:val="45" w:hRule="exact"/>
        </w:trPr>
        <w:tc>
          <w:tcPr>
            <w:tcW w:type="dxa" w:w="9066"/>
            <w:shd w:val="clear" w:color="auto" w:fill="00A651"/>
          </w:tcPr>
          <w:p>
            <w:pPr>
              <w:spacing w:before="0" w:after="0"/>
            </w:pPr>
          </w:p>
        </w:tc>
      </w:tr>
    </w:tbl>
    <w:p>
      <w:pPr>
        <w:spacing w:after="0"/>
      </w:pPr>
    </w:p>
    <w:p>
      <w:pPr>
        <w:spacing w:before="160" w:after="40"/>
        <w:jc w:val="center"/>
      </w:pPr>
      <w:r>
        <w:rPr>
          <w:rFonts w:ascii="Calibri" w:hAnsi="Calibri"/>
          <w:b/>
          <w:i w:val="0"/>
          <w:color w:val="00A651"/>
          <w:sz w:val="20"/>
        </w:rPr>
        <w:t>Riviwa  |  info@riviwa.com  |  www.riviwa.com</w:t>
      </w:r>
    </w:p>
    <w:p>
      <w:pPr>
        <w:spacing w:before="40" w:after="160"/>
        <w:jc w:val="center"/>
      </w:pPr>
      <w:r>
        <w:rPr>
          <w:rFonts w:ascii="Calibri" w:hAnsi="Calibri"/>
          <w:b w:val="0"/>
          <w:i/>
          <w:color w:val="6B7280"/>
          <w:sz w:val="18"/>
        </w:rPr>
        <w:t>ClimateLaunchpad 2026 Application  |  Category: Food &amp; Agriculture  |  15 May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