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004B87"/>
          </w:tcPr>
          <w:p>
            <w:pPr>
              <w:spacing w:before="440" w:after="120"/>
              <w:jc w:val="center"/>
            </w:pPr>
            <w:r>
              <w:rPr>
                <w:rFonts w:ascii="Calibri" w:hAnsi="Calibri"/>
                <w:b/>
                <w:color w:val="FFFFFF"/>
                <w:sz w:val="88"/>
              </w:rPr>
              <w:t>RIVIWA</w:t>
            </w:r>
            <w:r>
              <w:rPr>
                <w:rFonts w:ascii="Calibri" w:hAnsi="Calibri"/>
                <w:color w:val="E8A000"/>
                <w:sz w:val="56"/>
              </w:rPr>
              <w:t xml:space="preserve">  x  </w:t>
            </w:r>
            <w:r>
              <w:rPr>
                <w:rFonts w:ascii="Calibri" w:hAnsi="Calibri"/>
                <w:b/>
                <w:color w:val="FFFFFF"/>
                <w:sz w:val="76"/>
              </w:rPr>
              <w:t>MUHIMBILI</w:t>
            </w:r>
          </w:p>
        </w:tc>
      </w:tr>
    </w:tbl>
    <w:p>
      <w:pPr>
        <w:spacing w:after="0"/>
      </w:pPr>
    </w:p>
    <w:tbl>
      <w:tblPr>
        <w:tblW w:type="auto" w:w="0"/>
        <w:tblLook w:firstColumn="1" w:firstRow="1" w:lastColumn="0" w:lastRow="0" w:noHBand="0" w:noVBand="1" w:val="04A0"/>
      </w:tblPr>
      <w:tblGrid>
        <w:gridCol w:w="9406"/>
      </w:tblGrid>
      <w:tr>
        <w:tc>
          <w:tcPr>
            <w:tcW w:type="dxa" w:w="9406"/>
            <w:shd w:val="clear" w:color="auto" w:fill="004B87"/>
          </w:tcPr>
          <w:p>
            <w:pPr>
              <w:spacing w:before="40" w:after="360"/>
              <w:jc w:val="center"/>
            </w:pPr>
            <w:r>
              <w:rPr>
                <w:rFonts w:ascii="Calibri" w:hAnsi="Calibri"/>
                <w:b/>
                <w:color w:val="E8A000"/>
                <w:sz w:val="60"/>
              </w:rPr>
              <w:t>NATIONAL HOSPITAL</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007A87"/>
          </w:tcPr>
          <w:p>
            <w:pPr>
              <w:spacing w:before="280" w:after="280"/>
              <w:jc w:val="center"/>
            </w:pPr>
            <w:r>
              <w:rPr>
                <w:rFonts w:ascii="Calibri" w:hAnsi="Calibri"/>
                <w:b/>
                <w:color w:val="FFFFFF"/>
                <w:sz w:val="28"/>
              </w:rPr>
              <w:t>Transforming Tanzania's Premier Teaching Hospital with Real-Time Patient Feedback, Staff Accountability &amp; Clinical Intelligence</w:t>
            </w:r>
          </w:p>
        </w:tc>
      </w:tr>
    </w:tbl>
    <w:p>
      <w:pPr>
        <w:spacing w:after="120"/>
      </w:pPr>
    </w:p>
    <w:p>
      <w:pPr>
        <w:spacing w:before="80" w:after="120"/>
        <w:jc w:val="center"/>
      </w:pPr>
      <w:r>
        <w:rPr>
          <w:rFonts w:ascii="Calibri" w:hAnsi="Calibri"/>
          <w:b w:val="0"/>
          <w:i w:val="0"/>
          <w:color w:val="6B7280"/>
          <w:sz w:val="22"/>
        </w:rPr>
        <w:t>A comprehensive case for deploying Riviwa as MNH's Patient Feedback, Grievance &amp; Staff Accountability platform — covering all 25 departments, 2,700 staff, 1,500 beds, and 200+ daily emergency patients. Addressing documented challenges: bribery in maternity wards, delayed specialist care, medicine stock-outs, oxygen shortages, and anonymous staff whistleblowing.</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4B87"/>
          </w:tcPr>
          <w:p>
            <w:pPr>
              <w:spacing w:before="160" w:after="160"/>
              <w:jc w:val="center"/>
            </w:pPr>
            <w:r>
              <w:rPr>
                <w:rFonts w:ascii="Calibri" w:hAnsi="Calibri"/>
                <w:b/>
                <w:color w:val="FFFFFF"/>
                <w:sz w:val="32"/>
              </w:rPr>
              <w:t>1,500</w:t>
              <w:br/>
            </w:r>
            <w:r>
              <w:rPr>
                <w:rFonts w:ascii="Calibri" w:hAnsi="Calibri"/>
                <w:color w:val="FFFFFF"/>
                <w:sz w:val="17"/>
              </w:rPr>
              <w:t>Licensed Beds</w:t>
            </w:r>
          </w:p>
        </w:tc>
        <w:tc>
          <w:tcPr>
            <w:tcW w:type="dxa" w:w="1568"/>
            <w:shd w:val="clear" w:color="auto" w:fill="007A87"/>
          </w:tcPr>
          <w:p>
            <w:pPr>
              <w:spacing w:before="160" w:after="160"/>
              <w:jc w:val="center"/>
            </w:pPr>
            <w:r>
              <w:rPr>
                <w:rFonts w:ascii="Calibri" w:hAnsi="Calibri"/>
                <w:b/>
                <w:color w:val="FFFFFF"/>
                <w:sz w:val="32"/>
              </w:rPr>
              <w:t>2,700</w:t>
              <w:br/>
            </w:r>
            <w:r>
              <w:rPr>
                <w:rFonts w:ascii="Calibri" w:hAnsi="Calibri"/>
                <w:color w:val="FFFFFF"/>
                <w:sz w:val="17"/>
              </w:rPr>
              <w:t>Clinical Staff</w:t>
            </w:r>
          </w:p>
        </w:tc>
        <w:tc>
          <w:tcPr>
            <w:tcW w:type="dxa" w:w="1568"/>
            <w:shd w:val="clear" w:color="auto" w:fill="007A3D"/>
          </w:tcPr>
          <w:p>
            <w:pPr>
              <w:spacing w:before="160" w:after="160"/>
              <w:jc w:val="center"/>
            </w:pPr>
            <w:r>
              <w:rPr>
                <w:rFonts w:ascii="Calibri" w:hAnsi="Calibri"/>
                <w:b/>
                <w:color w:val="FFFFFF"/>
                <w:sz w:val="32"/>
              </w:rPr>
              <w:t>200+</w:t>
              <w:br/>
            </w:r>
            <w:r>
              <w:rPr>
                <w:rFonts w:ascii="Calibri" w:hAnsi="Calibri"/>
                <w:color w:val="FFFFFF"/>
                <w:sz w:val="17"/>
              </w:rPr>
              <w:t>Daily ER Patients</w:t>
            </w:r>
          </w:p>
        </w:tc>
        <w:tc>
          <w:tcPr>
            <w:tcW w:type="dxa" w:w="1568"/>
            <w:shd w:val="clear" w:color="auto" w:fill="E8A000"/>
          </w:tcPr>
          <w:p>
            <w:pPr>
              <w:spacing w:before="160" w:after="160"/>
              <w:jc w:val="center"/>
            </w:pPr>
            <w:r>
              <w:rPr>
                <w:rFonts w:ascii="Calibri" w:hAnsi="Calibri"/>
                <w:b/>
                <w:color w:val="FFFFFF"/>
                <w:sz w:val="32"/>
              </w:rPr>
              <w:t>25</w:t>
              <w:br/>
            </w:r>
            <w:r>
              <w:rPr>
                <w:rFonts w:ascii="Calibri" w:hAnsi="Calibri"/>
                <w:color w:val="FFFFFF"/>
                <w:sz w:val="17"/>
              </w:rPr>
              <w:t>Departments</w:t>
            </w:r>
          </w:p>
        </w:tc>
        <w:tc>
          <w:tcPr>
            <w:tcW w:type="dxa" w:w="1568"/>
            <w:shd w:val="clear" w:color="auto" w:fill="DC2626"/>
          </w:tcPr>
          <w:p>
            <w:pPr>
              <w:spacing w:before="160" w:after="160"/>
              <w:jc w:val="center"/>
            </w:pPr>
            <w:r>
              <w:rPr>
                <w:rFonts w:ascii="Calibri" w:hAnsi="Calibri"/>
                <w:b/>
                <w:color w:val="FFFFFF"/>
                <w:sz w:val="32"/>
              </w:rPr>
              <w:t>1 (desk)</w:t>
              <w:br/>
            </w:r>
            <w:r>
              <w:rPr>
                <w:rFonts w:ascii="Calibri" w:hAnsi="Calibri"/>
                <w:color w:val="FFFFFF"/>
                <w:sz w:val="17"/>
              </w:rPr>
              <w:t>Current Complaint Channel</w:t>
            </w:r>
          </w:p>
        </w:tc>
        <w:tc>
          <w:tcPr>
            <w:tcW w:type="dxa" w:w="1568"/>
            <w:shd w:val="clear" w:color="auto" w:fill="059669"/>
          </w:tcPr>
          <w:p>
            <w:pPr>
              <w:spacing w:before="160" w:after="160"/>
              <w:jc w:val="center"/>
            </w:pPr>
            <w:r>
              <w:rPr>
                <w:rFonts w:ascii="Calibri" w:hAnsi="Calibri"/>
                <w:b/>
                <w:color w:val="FFFFFF"/>
                <w:sz w:val="32"/>
              </w:rPr>
              <w:t>8</w:t>
              <w:br/>
            </w:r>
            <w:r>
              <w:rPr>
                <w:rFonts w:ascii="Calibri" w:hAnsi="Calibri"/>
                <w:color w:val="FFFFFF"/>
                <w:sz w:val="17"/>
              </w:rPr>
              <w:t>Riviwa Channels</w:t>
            </w:r>
          </w:p>
        </w:tc>
      </w:tr>
    </w:tbl>
    <w:p>
      <w:pPr>
        <w:spacing w:after="40"/>
      </w:pPr>
    </w:p>
    <w:p>
      <w:pPr>
        <w:spacing w:before="160" w:after="40"/>
        <w:jc w:val="center"/>
      </w:pPr>
      <w:r>
        <w:rPr>
          <w:rFonts w:ascii="Calibri" w:hAnsi="Calibri"/>
          <w:b w:val="0"/>
          <w:i/>
          <w:color w:val="6B7280"/>
          <w:sz w:val="20"/>
        </w:rPr>
        <w:t>Submitted to: Muhimbili National Hospital — Chief Executive Officer &amp; Hospital Management Board</w:t>
      </w:r>
    </w:p>
    <w:p>
      <w:pPr>
        <w:spacing w:before="40" w:after="40"/>
        <w:jc w:val="center"/>
      </w:pPr>
      <w:r>
        <w:rPr>
          <w:rFonts w:ascii="Calibri" w:hAnsi="Calibri"/>
          <w:b w:val="0"/>
          <w:i/>
          <w:color w:val="6B7280"/>
          <w:sz w:val="20"/>
        </w:rPr>
        <w:t>Prepared by: Riviwa GRM Platform  |  info@riviwa.com  |  www.riviwa.com  |  13 May 2026</w:t>
      </w:r>
    </w:p>
    <w:p>
      <w:pPr>
        <w:spacing w:before="80" w:after="240"/>
        <w:jc w:val="center"/>
      </w:pPr>
      <w:r>
        <w:rPr>
          <w:rFonts w:ascii="Calibri" w:hAnsi="Calibri"/>
          <w:b/>
          <w:i w:val="0"/>
          <w:color w:val="DC2626"/>
          <w:sz w:val="19"/>
        </w:rPr>
        <w:t>CONFIDENTIAL — For MNH Board review only</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4B87"/>
          </w:tcPr>
          <w:p>
            <w:pPr>
              <w:spacing w:before="0" w:after="0"/>
            </w:pPr>
          </w:p>
        </w:tc>
      </w:tr>
    </w:tbl>
    <w:p>
      <w:pPr>
        <w:spacing w:after="0"/>
      </w:pPr>
    </w:p>
    <w:p>
      <w:pPr>
        <w:spacing w:before="280" w:after="120"/>
        <w:jc w:val="left"/>
      </w:pPr>
      <w:r>
        <w:rPr>
          <w:rFonts w:ascii="Calibri" w:hAnsi="Calibri"/>
          <w:b/>
          <w:i w:val="0"/>
          <w:color w:val="004B87"/>
          <w:sz w:val="36"/>
        </w:rPr>
        <w:t>1.  THE ACCOUNTABILITY CRISIS AT TANZANIA'S NATIONAL REFERRAL HOSPITAL</w:t>
      </w:r>
    </w:p>
    <w:p>
      <w:pPr>
        <w:spacing w:before="120" w:after="80"/>
        <w:jc w:val="left"/>
      </w:pPr>
      <w:r>
        <w:rPr>
          <w:rFonts w:ascii="Calibri" w:hAnsi="Calibri"/>
          <w:b w:val="0"/>
          <w:i w:val="0"/>
          <w:color w:val="1F2937"/>
          <w:sz w:val="22"/>
        </w:rPr>
        <w:t>Muhimbili National Hospital is Tanzania's most important healthcare institution: the sole national referral hospital, the clinical training ground for MUHAS, and the provider of last resort for patients from all 26 regions. With 1,500 beds, 2,700 staff, and over 200 critically ill patients arriving at the emergency department every day, MNH carries a responsibility that no other hospital in Tanzania can match. Yet its patient accountability infrastructure is critically underdeveloped.</w:t>
      </w:r>
    </w:p>
    <w:p>
      <w:pPr>
        <w:spacing w:before="80" w:after="120"/>
        <w:jc w:val="left"/>
      </w:pPr>
      <w:r>
        <w:rPr>
          <w:rFonts w:ascii="Calibri" w:hAnsi="Calibri"/>
          <w:b w:val="0"/>
          <w:i w:val="0"/>
          <w:color w:val="1F2937"/>
          <w:sz w:val="22"/>
        </w:rPr>
        <w:t>In May 2026, the Minister of Health directed a formal investigation into MNH following a surge of patient complaints about delayed specialist care — patients reportedly waiting months without a single specialist review. This investigation is the most recent in a pattern of documented accountability failures that Riviwa is specifically designed to prevent.</w:t>
      </w:r>
    </w:p>
    <w:tbl>
      <w:tblPr>
        <w:tblW w:type="auto" w:w="0"/>
        <w:jc w:val="left"/>
        <w:tblLook w:firstColumn="1" w:firstRow="1" w:lastColumn="0" w:lastRow="0" w:noHBand="0" w:noVBand="1" w:val="04A0"/>
      </w:tblPr>
      <w:tblGrid>
        <w:gridCol w:w="9406"/>
      </w:tblGrid>
      <w:tr>
        <w:tc>
          <w:tcPr>
            <w:tcW w:type="dxa" w:w="9406"/>
            <w:shd w:val="clear" w:color="auto" w:fill="DC2626"/>
          </w:tcPr>
          <w:p>
            <w:pPr>
              <w:spacing w:before="80" w:after="80"/>
              <w:ind w:left="170"/>
            </w:pPr>
            <w:r>
              <w:rPr>
                <w:rFonts w:ascii="Calibri" w:hAnsi="Calibri"/>
                <w:b/>
                <w:color w:val="FFFFFF"/>
                <w:sz w:val="20"/>
              </w:rPr>
              <w:t>DOCUMENTED ACCOUNTABILITY FAILURES AT MNH — VERIFIED SOURCES</w:t>
            </w:r>
          </w:p>
        </w:tc>
      </w:tr>
      <w:tr>
        <w:tc>
          <w:tcPr>
            <w:tcW w:type="dxa" w:w="9406"/>
            <w:shd w:val="clear" w:color="auto" w:fill="FFF5F5"/>
          </w:tcPr>
          <w:p>
            <w:pPr>
              <w:spacing w:before="100" w:after="100"/>
              <w:ind w:left="170"/>
            </w:pPr>
            <w:r>
              <w:rPr>
                <w:rFonts w:ascii="Calibri" w:hAnsi="Calibri"/>
                <w:color w:val="1F2937"/>
                <w:sz w:val="20"/>
              </w:rPr>
              <w:t>DELAYED SPECIALIST CARE (May 2026): Health Minister directs formal investigation into MNH after patients report waiting months without specialist review. No structured complaint channel existed to flag this trend before it reached ministerial level.</w:t>
              <w:br/>
              <w:br/>
              <w:t>OXYGEN SHORTAGE (2025): Patients who are oxygen-dependent cannot access radiology (X-ray, CT scans) due to oxygen cylinder shortages. No real-time supply alert system.</w:t>
              <w:br/>
              <w:br/>
              <w:t>MATERNITY BRIBERY ("Kitu Kidogo"): Documented by Dr. Sebalda Leshabari (MNH College for Midwives): pregnant women in labour are pressured to pay midwives for services that are officially free. Verbal abuse and extortion documented.</w:t>
              <w:br/>
              <w:br/>
              <w:t>MATERNAL MORTALITY: 1,541 deaths per 100,000 live births (MNH baseline). 82.3% of maternal deaths had identifiable substandard care factors — including blood unavailability (19.3%), inadequate transfusions (26.1%), and treatment delays (18.3%).</w:t>
              <w:br/>
              <w:br/>
              <w:t>PCCB INTERVENTION: The Prevention and Combating of Corruption Bureau has already implemented anti-corruption education programmes at MNH — evidence that bribery is endemic enough to require government anti-corruption intervention.</w:t>
            </w:r>
          </w:p>
        </w:tc>
      </w:tr>
    </w:tbl>
    <w:p>
      <w:pPr>
        <w:spacing w:after="120"/>
      </w:pPr>
    </w:p>
    <w:p>
      <w:pPr>
        <w:spacing w:before="280" w:after="120"/>
        <w:jc w:val="left"/>
      </w:pPr>
      <w:r>
        <w:rPr>
          <w:rFonts w:ascii="Calibri" w:hAnsi="Calibri"/>
          <w:b/>
          <w:i w:val="0"/>
          <w:color w:val="004B87"/>
          <w:sz w:val="28"/>
        </w:rPr>
        <w:t>1.1  What These Failures Have in Common</w:t>
      </w:r>
    </w:p>
    <w:p>
      <w:pPr>
        <w:spacing w:before="80" w:after="120"/>
        <w:jc w:val="left"/>
      </w:pPr>
      <w:r>
        <w:rPr>
          <w:rFonts w:ascii="Calibri" w:hAnsi="Calibri"/>
          <w:b w:val="0"/>
          <w:i w:val="0"/>
          <w:color w:val="1F2937"/>
          <w:sz w:val="22"/>
        </w:rPr>
        <w:t>Every documented MNH accountability failure shares a single root cause: there is no structured, real-time mechanism for patients, family members, and staff to report problems as they happen. By the time issues reach hospital management — through verbal complaints, media reports, or ministerial investigations — the harm has already been done, repeated, and normalised.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4B87"/>
          </w:tcPr>
          <w:p>
            <w:pPr>
              <w:spacing w:before="80" w:after="80"/>
              <w:ind w:left="113"/>
            </w:pPr>
            <w:r>
              <w:rPr>
                <w:rFonts w:ascii="Calibri" w:hAnsi="Calibri"/>
                <w:b/>
                <w:color w:val="FFFFFF"/>
                <w:sz w:val="19"/>
              </w:rPr>
              <w:t>Failure Mode</w:t>
            </w:r>
          </w:p>
        </w:tc>
        <w:tc>
          <w:tcPr>
            <w:tcW w:type="dxa" w:w="3135"/>
            <w:shd w:val="clear" w:color="auto" w:fill="004B87"/>
          </w:tcPr>
          <w:p>
            <w:pPr>
              <w:spacing w:before="80" w:after="80"/>
              <w:ind w:left="113"/>
            </w:pPr>
            <w:r>
              <w:rPr>
                <w:rFonts w:ascii="Calibri" w:hAnsi="Calibri"/>
                <w:b/>
                <w:color w:val="FFFFFF"/>
                <w:sz w:val="19"/>
              </w:rPr>
              <w:t>Root Cause</w:t>
            </w:r>
          </w:p>
        </w:tc>
        <w:tc>
          <w:tcPr>
            <w:tcW w:type="dxa" w:w="3135"/>
            <w:shd w:val="clear" w:color="auto" w:fill="004B87"/>
          </w:tcPr>
          <w:p>
            <w:pPr>
              <w:spacing w:before="80" w:after="80"/>
              <w:ind w:left="113"/>
            </w:pPr>
            <w:r>
              <w:rPr>
                <w:rFonts w:ascii="Calibri" w:hAnsi="Calibri"/>
                <w:b/>
                <w:color w:val="FFFFFF"/>
                <w:sz w:val="19"/>
              </w:rPr>
              <w:t>What Riviwa Provides</w:t>
            </w:r>
          </w:p>
        </w:tc>
      </w:tr>
      <w:tr>
        <w:tc>
          <w:tcPr>
            <w:tcW w:type="dxa" w:w="3135"/>
            <w:shd w:val="clear" w:color="auto" w:fill="FFFFFF"/>
          </w:tcPr>
          <w:p>
            <w:pPr>
              <w:spacing w:before="80" w:after="80"/>
              <w:ind w:left="113"/>
            </w:pPr>
            <w:r>
              <w:rPr>
                <w:rFonts w:ascii="Calibri" w:hAnsi="Calibri"/>
                <w:color w:val="1F2937"/>
                <w:sz w:val="19"/>
              </w:rPr>
              <w:t>Delayed specialist care reaches ministerial level before management knows</w:t>
            </w:r>
          </w:p>
        </w:tc>
        <w:tc>
          <w:tcPr>
            <w:tcW w:type="dxa" w:w="3135"/>
            <w:shd w:val="clear" w:color="auto" w:fill="FFFFFF"/>
          </w:tcPr>
          <w:p>
            <w:pPr>
              <w:spacing w:before="80" w:after="80"/>
              <w:ind w:left="113"/>
            </w:pPr>
            <w:r>
              <w:rPr>
                <w:rFonts w:ascii="Calibri" w:hAnsi="Calibri"/>
                <w:color w:val="1F2937"/>
                <w:sz w:val="19"/>
              </w:rPr>
              <w:t>No real-time patient feedback on wait times or specialist access</w:t>
            </w:r>
          </w:p>
        </w:tc>
        <w:tc>
          <w:tcPr>
            <w:tcW w:type="dxa" w:w="3135"/>
            <w:shd w:val="clear" w:color="auto" w:fill="FFFFFF"/>
          </w:tcPr>
          <w:p>
            <w:pPr>
              <w:spacing w:before="80" w:after="80"/>
              <w:ind w:left="113"/>
            </w:pPr>
            <w:r>
              <w:rPr>
                <w:rFonts w:ascii="Calibri" w:hAnsi="Calibri"/>
                <w:color w:val="1F2937"/>
                <w:sz w:val="19"/>
              </w:rPr>
              <w:t>QR scan at every ward bed; daily wait-time dashboard for CEO; SLA alerts at Day 3/7/14</w:t>
            </w:r>
          </w:p>
        </w:tc>
      </w:tr>
      <w:tr>
        <w:tc>
          <w:tcPr>
            <w:tcW w:type="dxa" w:w="3135"/>
            <w:shd w:val="clear" w:color="auto" w:fill="F3F4F6"/>
          </w:tcPr>
          <w:p>
            <w:pPr>
              <w:spacing w:before="80" w:after="80"/>
              <w:ind w:left="113"/>
            </w:pPr>
            <w:r>
              <w:rPr>
                <w:rFonts w:ascii="Calibri" w:hAnsi="Calibri"/>
                <w:color w:val="1F2937"/>
                <w:sz w:val="19"/>
              </w:rPr>
              <w:t>Maternity bribery ("kitu kidogo") continues despite PCCB programmes</w:t>
            </w:r>
          </w:p>
        </w:tc>
        <w:tc>
          <w:tcPr>
            <w:tcW w:type="dxa" w:w="3135"/>
            <w:shd w:val="clear" w:color="auto" w:fill="F3F4F6"/>
          </w:tcPr>
          <w:p>
            <w:pPr>
              <w:spacing w:before="80" w:after="80"/>
              <w:ind w:left="113"/>
            </w:pPr>
            <w:r>
              <w:rPr>
                <w:rFonts w:ascii="Calibri" w:hAnsi="Calibri"/>
                <w:color w:val="1F2937"/>
                <w:sz w:val="19"/>
              </w:rPr>
              <w:t>No anonymous complaint channel; patients fear retaliation if they report by name</w:t>
            </w:r>
          </w:p>
        </w:tc>
        <w:tc>
          <w:tcPr>
            <w:tcW w:type="dxa" w:w="3135"/>
            <w:shd w:val="clear" w:color="auto" w:fill="F3F4F6"/>
          </w:tcPr>
          <w:p>
            <w:pPr>
              <w:spacing w:before="80" w:after="80"/>
              <w:ind w:left="113"/>
            </w:pPr>
            <w:r>
              <w:rPr>
                <w:rFonts w:ascii="Calibri" w:hAnsi="Calibri"/>
                <w:color w:val="1F2937"/>
                <w:sz w:val="19"/>
              </w:rPr>
              <w:t>Anonymous WhatsApp/SMS: zero PII stored; complaint creates case without exposing patient</w:t>
            </w:r>
          </w:p>
        </w:tc>
      </w:tr>
      <w:tr>
        <w:tc>
          <w:tcPr>
            <w:tcW w:type="dxa" w:w="3135"/>
            <w:shd w:val="clear" w:color="auto" w:fill="FFFFFF"/>
          </w:tcPr>
          <w:p>
            <w:pPr>
              <w:spacing w:before="80" w:after="80"/>
              <w:ind w:left="113"/>
            </w:pPr>
            <w:r>
              <w:rPr>
                <w:rFonts w:ascii="Calibri" w:hAnsi="Calibri"/>
                <w:color w:val="1F2937"/>
                <w:sz w:val="19"/>
              </w:rPr>
              <w:t>Oxygen cylinder shortage blocks radiology for dependent patients</w:t>
            </w:r>
          </w:p>
        </w:tc>
        <w:tc>
          <w:tcPr>
            <w:tcW w:type="dxa" w:w="3135"/>
            <w:shd w:val="clear" w:color="auto" w:fill="FFFFFF"/>
          </w:tcPr>
          <w:p>
            <w:pPr>
              <w:spacing w:before="80" w:after="80"/>
              <w:ind w:left="113"/>
            </w:pPr>
            <w:r>
              <w:rPr>
                <w:rFonts w:ascii="Calibri" w:hAnsi="Calibri"/>
                <w:color w:val="1F2937"/>
                <w:sz w:val="19"/>
              </w:rPr>
              <w:t>No supply shortage alert system; staff report verbally upward through slow channels</w:t>
            </w:r>
          </w:p>
        </w:tc>
        <w:tc>
          <w:tcPr>
            <w:tcW w:type="dxa" w:w="3135"/>
            <w:shd w:val="clear" w:color="auto" w:fill="FFFFFF"/>
          </w:tcPr>
          <w:p>
            <w:pPr>
              <w:spacing w:before="80" w:after="80"/>
              <w:ind w:left="113"/>
            </w:pPr>
            <w:r>
              <w:rPr>
                <w:rFonts w:ascii="Calibri" w:hAnsi="Calibri"/>
                <w:color w:val="1F2937"/>
                <w:sz w:val="19"/>
              </w:rPr>
              <w:t>QR-linked supply check-in; WhatsApp report from any nurse; auto-escalation to procurement in &lt;1 hour</w:t>
            </w:r>
          </w:p>
        </w:tc>
      </w:tr>
      <w:tr>
        <w:tc>
          <w:tcPr>
            <w:tcW w:type="dxa" w:w="3135"/>
            <w:shd w:val="clear" w:color="auto" w:fill="F3F4F6"/>
          </w:tcPr>
          <w:p>
            <w:pPr>
              <w:spacing w:before="80" w:after="80"/>
              <w:ind w:left="113"/>
            </w:pPr>
            <w:r>
              <w:rPr>
                <w:rFonts w:ascii="Calibri" w:hAnsi="Calibri"/>
                <w:color w:val="1F2937"/>
                <w:sz w:val="19"/>
              </w:rPr>
              <w:t>82.3% of maternal deaths have substandard care factors — undetected in real time</w:t>
            </w:r>
          </w:p>
        </w:tc>
        <w:tc>
          <w:tcPr>
            <w:tcW w:type="dxa" w:w="3135"/>
            <w:shd w:val="clear" w:color="auto" w:fill="F3F4F6"/>
          </w:tcPr>
          <w:p>
            <w:pPr>
              <w:spacing w:before="80" w:after="80"/>
              <w:ind w:left="113"/>
            </w:pPr>
            <w:r>
              <w:rPr>
                <w:rFonts w:ascii="Calibri" w:hAnsi="Calibri"/>
                <w:color w:val="1F2937"/>
                <w:sz w:val="19"/>
              </w:rPr>
              <w:t>Post-hoc audit of death records; no near-miss or care gap reporting system</w:t>
            </w:r>
          </w:p>
        </w:tc>
        <w:tc>
          <w:tcPr>
            <w:tcW w:type="dxa" w:w="3135"/>
            <w:shd w:val="clear" w:color="auto" w:fill="F3F4F6"/>
          </w:tcPr>
          <w:p>
            <w:pPr>
              <w:spacing w:before="80" w:after="80"/>
              <w:ind w:left="113"/>
            </w:pPr>
            <w:r>
              <w:rPr>
                <w:rFonts w:ascii="Calibri" w:hAnsi="Calibri"/>
                <w:color w:val="1F2937"/>
                <w:sz w:val="19"/>
              </w:rPr>
              <w:t>Anonymous near-miss reporting by staff; real-time maternity care checklist via mobile app</w:t>
            </w:r>
          </w:p>
        </w:tc>
      </w:tr>
      <w:tr>
        <w:tc>
          <w:tcPr>
            <w:tcW w:type="dxa" w:w="3135"/>
            <w:shd w:val="clear" w:color="auto" w:fill="FFFFFF"/>
          </w:tcPr>
          <w:p>
            <w:pPr>
              <w:spacing w:before="80" w:after="80"/>
              <w:ind w:left="113"/>
            </w:pPr>
            <w:r>
              <w:rPr>
                <w:rFonts w:ascii="Calibri" w:hAnsi="Calibri"/>
                <w:color w:val="1F2937"/>
                <w:sz w:val="19"/>
              </w:rPr>
              <w:t>Blood unavailability contributes to 19.3% of maternal deaths</w:t>
            </w:r>
          </w:p>
        </w:tc>
        <w:tc>
          <w:tcPr>
            <w:tcW w:type="dxa" w:w="3135"/>
            <w:shd w:val="clear" w:color="auto" w:fill="FFFFFF"/>
          </w:tcPr>
          <w:p>
            <w:pPr>
              <w:spacing w:before="80" w:after="80"/>
              <w:ind w:left="113"/>
            </w:pPr>
            <w:r>
              <w:rPr>
                <w:rFonts w:ascii="Calibri" w:hAnsi="Calibri"/>
                <w:color w:val="1F2937"/>
                <w:sz w:val="19"/>
              </w:rPr>
              <w:t>Blood bank stock not visible to ward staff in real time</w:t>
            </w:r>
          </w:p>
        </w:tc>
        <w:tc>
          <w:tcPr>
            <w:tcW w:type="dxa" w:w="3135"/>
            <w:shd w:val="clear" w:color="auto" w:fill="FFFFFF"/>
          </w:tcPr>
          <w:p>
            <w:pPr>
              <w:spacing w:before="80" w:after="80"/>
              <w:ind w:left="113"/>
            </w:pPr>
            <w:r>
              <w:rPr>
                <w:rFonts w:ascii="Calibri" w:hAnsi="Calibri"/>
                <w:color w:val="1F2937"/>
                <w:sz w:val="19"/>
              </w:rPr>
              <w:t>Blood bank QR inventory linked to ward-level request tracking and auto-procurement alert</w:t>
            </w:r>
          </w:p>
        </w:tc>
      </w:tr>
      <w:tr>
        <w:tc>
          <w:tcPr>
            <w:tcW w:type="dxa" w:w="3135"/>
            <w:shd w:val="clear" w:color="auto" w:fill="F3F4F6"/>
          </w:tcPr>
          <w:p>
            <w:pPr>
              <w:spacing w:before="80" w:after="80"/>
              <w:ind w:left="113"/>
            </w:pPr>
            <w:r>
              <w:rPr>
                <w:rFonts w:ascii="Calibri" w:hAnsi="Calibri"/>
                <w:color w:val="1F2937"/>
                <w:sz w:val="19"/>
              </w:rPr>
              <w:t>Staff verbal abuse documented but rarely disciplined</w:t>
            </w:r>
          </w:p>
        </w:tc>
        <w:tc>
          <w:tcPr>
            <w:tcW w:type="dxa" w:w="3135"/>
            <w:shd w:val="clear" w:color="auto" w:fill="F3F4F6"/>
          </w:tcPr>
          <w:p>
            <w:pPr>
              <w:spacing w:before="80" w:after="80"/>
              <w:ind w:left="113"/>
            </w:pPr>
            <w:r>
              <w:rPr>
                <w:rFonts w:ascii="Calibri" w:hAnsi="Calibri"/>
                <w:color w:val="1F2937"/>
                <w:sz w:val="19"/>
              </w:rPr>
              <w:t>Patients too intimidated to file formal complaint at the desk in front of staff</w:t>
            </w:r>
          </w:p>
        </w:tc>
        <w:tc>
          <w:tcPr>
            <w:tcW w:type="dxa" w:w="3135"/>
            <w:shd w:val="clear" w:color="auto" w:fill="F3F4F6"/>
          </w:tcPr>
          <w:p>
            <w:pPr>
              <w:spacing w:before="80" w:after="80"/>
              <w:ind w:left="113"/>
            </w:pPr>
            <w:r>
              <w:rPr>
                <w:rFonts w:ascii="Calibri" w:hAnsi="Calibri"/>
                <w:color w:val="1F2937"/>
                <w:sz w:val="19"/>
              </w:rPr>
              <w:t>QR code at bedside: patient scans and reports staff conduct anonymously within 30 seconds</w:t>
            </w:r>
          </w:p>
        </w:tc>
      </w:tr>
      <w:tr>
        <w:tc>
          <w:tcPr>
            <w:tcW w:type="dxa" w:w="3135"/>
            <w:shd w:val="clear" w:color="auto" w:fill="FFFFFF"/>
          </w:tcPr>
          <w:p>
            <w:pPr>
              <w:spacing w:before="80" w:after="80"/>
              <w:ind w:left="113"/>
            </w:pPr>
            <w:r>
              <w:rPr>
                <w:rFonts w:ascii="Calibri" w:hAnsi="Calibri"/>
                <w:color w:val="1F2937"/>
                <w:sz w:val="19"/>
              </w:rPr>
              <w:t>Patient satisfaction data: last published study is from 2008</w:t>
            </w:r>
          </w:p>
        </w:tc>
        <w:tc>
          <w:tcPr>
            <w:tcW w:type="dxa" w:w="3135"/>
            <w:shd w:val="clear" w:color="auto" w:fill="FFFFFF"/>
          </w:tcPr>
          <w:p>
            <w:pPr>
              <w:spacing w:before="80" w:after="80"/>
              <w:ind w:left="113"/>
            </w:pPr>
            <w:r>
              <w:rPr>
                <w:rFonts w:ascii="Calibri" w:hAnsi="Calibri"/>
                <w:color w:val="1F2937"/>
                <w:sz w:val="19"/>
              </w:rPr>
              <w:t>No systematic patient experience measurement system at MNH</w:t>
            </w:r>
          </w:p>
        </w:tc>
        <w:tc>
          <w:tcPr>
            <w:tcW w:type="dxa" w:w="3135"/>
            <w:shd w:val="clear" w:color="auto" w:fill="FFFFFF"/>
          </w:tcPr>
          <w:p>
            <w:pPr>
              <w:spacing w:before="80" w:after="80"/>
              <w:ind w:left="113"/>
            </w:pPr>
            <w:r>
              <w:rPr>
                <w:rFonts w:ascii="Calibri" w:hAnsi="Calibri"/>
                <w:color w:val="1F2937"/>
                <w:sz w:val="19"/>
              </w:rPr>
              <w:t>Automated discharge survey via SMS; monthly satisfaction dashboard by department and ward</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4B87"/>
          </w:tcPr>
          <w:p>
            <w:pPr>
              <w:spacing w:before="0" w:after="0"/>
            </w:pPr>
          </w:p>
        </w:tc>
      </w:tr>
    </w:tbl>
    <w:p>
      <w:pPr>
        <w:spacing w:after="0"/>
      </w:pPr>
    </w:p>
    <w:p>
      <w:pPr>
        <w:spacing w:before="280" w:after="120"/>
        <w:jc w:val="left"/>
      </w:pPr>
      <w:r>
        <w:rPr>
          <w:rFonts w:ascii="Calibri" w:hAnsi="Calibri"/>
          <w:b/>
          <w:i w:val="0"/>
          <w:color w:val="004B87"/>
          <w:sz w:val="36"/>
        </w:rPr>
        <w:t>2.  RIVIWA FOR MNH: EIGHT CHANNELS, EVERY PATIENT, EVERY STAFF MEMBER</w:t>
      </w:r>
    </w:p>
    <w:p>
      <w:pPr>
        <w:spacing w:before="120" w:after="120"/>
        <w:jc w:val="left"/>
      </w:pPr>
      <w:r>
        <w:rPr>
          <w:rFonts w:ascii="Calibri" w:hAnsi="Calibri"/>
          <w:b w:val="0"/>
          <w:i w:val="0"/>
          <w:color w:val="1F2937"/>
          <w:sz w:val="22"/>
        </w:rPr>
        <w:t>Riviwa is not a suggestion box digitised. It is a full clinical accountability intelligence platform — designed for a hospital environment where patients may be unable to speak, too scared to complain in person, or too ill to visit a desk. Every feedback channel works independently; when one is unavailable, the others continue.</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04B87"/>
          </w:tcPr>
          <w:p>
            <w:pPr>
              <w:spacing w:before="160" w:after="160"/>
              <w:jc w:val="center"/>
            </w:pPr>
            <w:r>
              <w:rPr>
                <w:rFonts w:ascii="Calibri" w:hAnsi="Calibri"/>
                <w:b/>
                <w:color w:val="FFFFFF"/>
                <w:sz w:val="32"/>
              </w:rPr>
              <w:t>Scan &amp; report</w:t>
              <w:br/>
            </w:r>
            <w:r>
              <w:rPr>
                <w:rFonts w:ascii="Calibri" w:hAnsi="Calibri"/>
                <w:color w:val="FFFFFF"/>
                <w:sz w:val="17"/>
              </w:rPr>
              <w:t>QR at Bedside</w:t>
            </w:r>
          </w:p>
        </w:tc>
        <w:tc>
          <w:tcPr>
            <w:tcW w:type="dxa" w:w="2351"/>
            <w:shd w:val="clear" w:color="auto" w:fill="007A87"/>
          </w:tcPr>
          <w:p>
            <w:pPr>
              <w:spacing w:before="160" w:after="160"/>
              <w:jc w:val="center"/>
            </w:pPr>
            <w:r>
              <w:rPr>
                <w:rFonts w:ascii="Calibri" w:hAnsi="Calibri"/>
                <w:b/>
                <w:color w:val="FFFFFF"/>
                <w:sz w:val="32"/>
              </w:rPr>
              <w:t>Any phone</w:t>
              <w:br/>
            </w:r>
            <w:r>
              <w:rPr>
                <w:rFonts w:ascii="Calibri" w:hAnsi="Calibri"/>
                <w:color w:val="FFFFFF"/>
                <w:sz w:val="17"/>
              </w:rPr>
              <w:t>SMS Shortcode</w:t>
            </w:r>
          </w:p>
        </w:tc>
        <w:tc>
          <w:tcPr>
            <w:tcW w:type="dxa" w:w="2351"/>
            <w:shd w:val="clear" w:color="auto" w:fill="007A3D"/>
          </w:tcPr>
          <w:p>
            <w:pPr>
              <w:spacing w:before="160" w:after="160"/>
              <w:jc w:val="center"/>
            </w:pPr>
            <w:r>
              <w:rPr>
                <w:rFonts w:ascii="Calibri" w:hAnsi="Calibri"/>
                <w:b/>
                <w:color w:val="FFFFFF"/>
                <w:sz w:val="32"/>
              </w:rPr>
              <w:t>Family members</w:t>
              <w:br/>
            </w:r>
            <w:r>
              <w:rPr>
                <w:rFonts w:ascii="Calibri" w:hAnsi="Calibri"/>
                <w:color w:val="FFFFFF"/>
                <w:sz w:val="17"/>
              </w:rPr>
              <w:t>WhatsApp</w:t>
            </w:r>
          </w:p>
        </w:tc>
        <w:tc>
          <w:tcPr>
            <w:tcW w:type="dxa" w:w="2351"/>
            <w:shd w:val="clear" w:color="auto" w:fill="E8A000"/>
          </w:tcPr>
          <w:p>
            <w:pPr>
              <w:spacing w:before="160" w:after="160"/>
              <w:jc w:val="center"/>
            </w:pPr>
            <w:r>
              <w:rPr>
                <w:rFonts w:ascii="Calibri" w:hAnsi="Calibri"/>
                <w:b/>
                <w:color w:val="FFFFFF"/>
                <w:sz w:val="32"/>
              </w:rPr>
              <w:t>Staff &amp; patients</w:t>
              <w:br/>
            </w:r>
            <w:r>
              <w:rPr>
                <w:rFonts w:ascii="Calibri" w:hAnsi="Calibri"/>
                <w:color w:val="FFFFFF"/>
                <w:sz w:val="17"/>
              </w:rPr>
              <w:t>Mobile App</w:t>
            </w:r>
          </w:p>
        </w:tc>
      </w:tr>
    </w:tbl>
    <w:p>
      <w:pPr>
        <w:spacing w:after="40"/>
      </w:pP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59669"/>
          </w:tcPr>
          <w:p>
            <w:pPr>
              <w:spacing w:before="160" w:after="160"/>
              <w:jc w:val="center"/>
            </w:pPr>
            <w:r>
              <w:rPr>
                <w:rFonts w:ascii="Calibri" w:hAnsi="Calibri"/>
                <w:b/>
                <w:color w:val="FFFFFF"/>
                <w:sz w:val="32"/>
              </w:rPr>
              <w:t>Non-literate</w:t>
              <w:br/>
            </w:r>
            <w:r>
              <w:rPr>
                <w:rFonts w:ascii="Calibri" w:hAnsi="Calibri"/>
                <w:color w:val="FFFFFF"/>
                <w:sz w:val="17"/>
              </w:rPr>
              <w:t>IVR / Voice</w:t>
            </w:r>
          </w:p>
        </w:tc>
        <w:tc>
          <w:tcPr>
            <w:tcW w:type="dxa" w:w="2351"/>
            <w:shd w:val="clear" w:color="auto" w:fill="6B7280"/>
          </w:tcPr>
          <w:p>
            <w:pPr>
              <w:spacing w:before="160" w:after="160"/>
              <w:jc w:val="center"/>
            </w:pPr>
            <w:r>
              <w:rPr>
                <w:rFonts w:ascii="Calibri" w:hAnsi="Calibri"/>
                <w:b/>
                <w:color w:val="FFFFFF"/>
                <w:sz w:val="32"/>
              </w:rPr>
              <w:t>Self-service</w:t>
              <w:br/>
            </w:r>
            <w:r>
              <w:rPr>
                <w:rFonts w:ascii="Calibri" w:hAnsi="Calibri"/>
                <w:color w:val="FFFFFF"/>
                <w:sz w:val="17"/>
              </w:rPr>
              <w:t>Web Portal</w:t>
            </w:r>
          </w:p>
        </w:tc>
        <w:tc>
          <w:tcPr>
            <w:tcW w:type="dxa" w:w="2351"/>
            <w:shd w:val="clear" w:color="auto" w:fill="1E3A8A"/>
          </w:tcPr>
          <w:p>
            <w:pPr>
              <w:spacing w:before="160" w:after="160"/>
              <w:jc w:val="center"/>
            </w:pPr>
            <w:r>
              <w:rPr>
                <w:rFonts w:ascii="Calibri" w:hAnsi="Calibri"/>
                <w:b/>
                <w:color w:val="FFFFFF"/>
                <w:sz w:val="32"/>
              </w:rPr>
              <w:t>Officer-assisted</w:t>
              <w:br/>
            </w:r>
            <w:r>
              <w:rPr>
                <w:rFonts w:ascii="Calibri" w:hAnsi="Calibri"/>
                <w:color w:val="FFFFFF"/>
                <w:sz w:val="17"/>
              </w:rPr>
              <w:t>In-Person Desk</w:t>
            </w:r>
          </w:p>
        </w:tc>
        <w:tc>
          <w:tcPr>
            <w:tcW w:type="dxa" w:w="2351"/>
            <w:shd w:val="clear" w:color="auto" w:fill="374759"/>
          </w:tcPr>
          <w:p>
            <w:pPr>
              <w:spacing w:before="160" w:after="160"/>
              <w:jc w:val="center"/>
            </w:pPr>
            <w:r>
              <w:rPr>
                <w:rFonts w:ascii="Calibri" w:hAnsi="Calibri"/>
                <w:b/>
                <w:color w:val="FFFFFF"/>
                <w:sz w:val="32"/>
              </w:rPr>
              <w:t>Offline wards</w:t>
              <w:br/>
            </w:r>
            <w:r>
              <w:rPr>
                <w:rFonts w:ascii="Calibri" w:hAnsi="Calibri"/>
                <w:color w:val="FFFFFF"/>
                <w:sz w:val="17"/>
              </w:rPr>
              <w:t>Paper Form</w:t>
            </w:r>
          </w:p>
        </w:tc>
      </w:tr>
    </w:tbl>
    <w:p>
      <w:pPr>
        <w:spacing w:after="40"/>
      </w:pPr>
    </w:p>
    <w:p>
      <w:pPr>
        <w:spacing w:before="80" w:after="160"/>
        <w:jc w:val="left"/>
      </w:pPr>
      <w:r>
        <w:rPr>
          <w:rFonts w:ascii="Calibri" w:hAnsi="Calibri"/>
          <w:b w:val="0"/>
          <w:i w:val="0"/>
          <w:color w:val="1F2937"/>
          <w:sz w:val="22"/>
        </w:rPr>
        <w:t>The most important channel for MNH is the QR code at the bedside. A patient who cannot speak, a family member sitting beside a patient waiting for surgery, a nurse who wants to file an anonymous near-miss report — all can scan a QR code and submit in under 60 seconds. No registration. No login. No name required if they choose anonymous. The submission creates a tracked case in the MNH dashboard immediately.</w:t>
      </w:r>
    </w:p>
    <w:p>
      <w:pPr>
        <w:spacing w:before="280" w:after="120"/>
        <w:jc w:val="left"/>
      </w:pPr>
      <w:r>
        <w:rPr>
          <w:rFonts w:ascii="Calibri" w:hAnsi="Calibri"/>
          <w:b/>
          <w:i w:val="0"/>
          <w:color w:val="004B87"/>
          <w:sz w:val="28"/>
        </w:rPr>
        <w:t>2.1  What Riviwa Delivers for Each MNH Stakeholder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4B87"/>
          </w:tcPr>
          <w:p>
            <w:pPr>
              <w:spacing w:before="80" w:after="80"/>
              <w:ind w:left="113"/>
            </w:pPr>
            <w:r>
              <w:rPr>
                <w:rFonts w:ascii="Calibri" w:hAnsi="Calibri"/>
                <w:b/>
                <w:color w:val="FFFFFF"/>
                <w:sz w:val="19"/>
              </w:rPr>
              <w:t>Stakeholder</w:t>
            </w:r>
          </w:p>
        </w:tc>
        <w:tc>
          <w:tcPr>
            <w:tcW w:type="dxa" w:w="3135"/>
            <w:shd w:val="clear" w:color="auto" w:fill="004B87"/>
          </w:tcPr>
          <w:p>
            <w:pPr>
              <w:spacing w:before="80" w:after="80"/>
              <w:ind w:left="113"/>
            </w:pPr>
            <w:r>
              <w:rPr>
                <w:rFonts w:ascii="Calibri" w:hAnsi="Calibri"/>
                <w:b/>
                <w:color w:val="FFFFFF"/>
                <w:sz w:val="19"/>
              </w:rPr>
              <w:t>Their Problem Today</w:t>
            </w:r>
          </w:p>
        </w:tc>
        <w:tc>
          <w:tcPr>
            <w:tcW w:type="dxa" w:w="3135"/>
            <w:shd w:val="clear" w:color="auto" w:fill="004B87"/>
          </w:tcPr>
          <w:p>
            <w:pPr>
              <w:spacing w:before="80" w:after="80"/>
              <w:ind w:left="113"/>
            </w:pPr>
            <w:r>
              <w:rPr>
                <w:rFonts w:ascii="Calibri" w:hAnsi="Calibri"/>
                <w:b/>
                <w:color w:val="FFFFFF"/>
                <w:sz w:val="19"/>
              </w:rPr>
              <w:t>What Riviwa Gives Them</w:t>
            </w:r>
          </w:p>
        </w:tc>
      </w:tr>
      <w:tr>
        <w:tc>
          <w:tcPr>
            <w:tcW w:type="dxa" w:w="3135"/>
            <w:shd w:val="clear" w:color="auto" w:fill="FFFFFF"/>
          </w:tcPr>
          <w:p>
            <w:pPr>
              <w:spacing w:before="80" w:after="80"/>
              <w:ind w:left="113"/>
            </w:pPr>
            <w:r>
              <w:rPr>
                <w:rFonts w:ascii="Calibri" w:hAnsi="Calibri"/>
                <w:color w:val="1F2937"/>
                <w:sz w:val="19"/>
              </w:rPr>
              <w:t>Patient in ward</w:t>
            </w:r>
          </w:p>
        </w:tc>
        <w:tc>
          <w:tcPr>
            <w:tcW w:type="dxa" w:w="3135"/>
            <w:shd w:val="clear" w:color="auto" w:fill="FFFFFF"/>
          </w:tcPr>
          <w:p>
            <w:pPr>
              <w:spacing w:before="80" w:after="80"/>
              <w:ind w:left="113"/>
            </w:pPr>
            <w:r>
              <w:rPr>
                <w:rFonts w:ascii="Calibri" w:hAnsi="Calibri"/>
                <w:color w:val="1F2937"/>
                <w:sz w:val="19"/>
              </w:rPr>
              <w:t>Cannot complain without being identified; fears staff retaliation</w:t>
            </w:r>
          </w:p>
        </w:tc>
        <w:tc>
          <w:tcPr>
            <w:tcW w:type="dxa" w:w="3135"/>
            <w:shd w:val="clear" w:color="auto" w:fill="FFFFFF"/>
          </w:tcPr>
          <w:p>
            <w:pPr>
              <w:spacing w:before="80" w:after="80"/>
              <w:ind w:left="113"/>
            </w:pPr>
            <w:r>
              <w:rPr>
                <w:rFonts w:ascii="Calibri" w:hAnsi="Calibri"/>
                <w:color w:val="1F2937"/>
                <w:sz w:val="19"/>
              </w:rPr>
              <w:t>QR at bedside — anonymous report in 30 seconds; instant tracking number via SMS</w:t>
            </w:r>
          </w:p>
        </w:tc>
      </w:tr>
      <w:tr>
        <w:tc>
          <w:tcPr>
            <w:tcW w:type="dxa" w:w="3135"/>
            <w:shd w:val="clear" w:color="auto" w:fill="F3F4F6"/>
          </w:tcPr>
          <w:p>
            <w:pPr>
              <w:spacing w:before="80" w:after="80"/>
              <w:ind w:left="113"/>
            </w:pPr>
            <w:r>
              <w:rPr>
                <w:rFonts w:ascii="Calibri" w:hAnsi="Calibri"/>
                <w:color w:val="1F2937"/>
                <w:sz w:val="19"/>
              </w:rPr>
              <w:t>Family member</w:t>
            </w:r>
          </w:p>
        </w:tc>
        <w:tc>
          <w:tcPr>
            <w:tcW w:type="dxa" w:w="3135"/>
            <w:shd w:val="clear" w:color="auto" w:fill="F3F4F6"/>
          </w:tcPr>
          <w:p>
            <w:pPr>
              <w:spacing w:before="80" w:after="80"/>
              <w:ind w:left="113"/>
            </w:pPr>
            <w:r>
              <w:rPr>
                <w:rFonts w:ascii="Calibri" w:hAnsi="Calibri"/>
                <w:color w:val="1F2937"/>
                <w:sz w:val="19"/>
              </w:rPr>
              <w:t>Visits outside hours; cannot reach management; complaint desk is intimidating</w:t>
            </w:r>
          </w:p>
        </w:tc>
        <w:tc>
          <w:tcPr>
            <w:tcW w:type="dxa" w:w="3135"/>
            <w:shd w:val="clear" w:color="auto" w:fill="F3F4F6"/>
          </w:tcPr>
          <w:p>
            <w:pPr>
              <w:spacing w:before="80" w:after="80"/>
              <w:ind w:left="113"/>
            </w:pPr>
            <w:r>
              <w:rPr>
                <w:rFonts w:ascii="Calibri" w:hAnsi="Calibri"/>
                <w:color w:val="1F2937"/>
                <w:sz w:val="19"/>
              </w:rPr>
              <w:t>WhatsApp from outside hospital; AI collects complaint in Kiswahili; reference number in minutes</w:t>
            </w:r>
          </w:p>
        </w:tc>
      </w:tr>
      <w:tr>
        <w:tc>
          <w:tcPr>
            <w:tcW w:type="dxa" w:w="3135"/>
            <w:shd w:val="clear" w:color="auto" w:fill="FFFFFF"/>
          </w:tcPr>
          <w:p>
            <w:pPr>
              <w:spacing w:before="80" w:after="80"/>
              <w:ind w:left="113"/>
            </w:pPr>
            <w:r>
              <w:rPr>
                <w:rFonts w:ascii="Calibri" w:hAnsi="Calibri"/>
                <w:color w:val="1F2937"/>
                <w:sz w:val="19"/>
              </w:rPr>
              <w:t>Nurse / clinical staff</w:t>
            </w:r>
          </w:p>
        </w:tc>
        <w:tc>
          <w:tcPr>
            <w:tcW w:type="dxa" w:w="3135"/>
            <w:shd w:val="clear" w:color="auto" w:fill="FFFFFF"/>
          </w:tcPr>
          <w:p>
            <w:pPr>
              <w:spacing w:before="80" w:after="80"/>
              <w:ind w:left="113"/>
            </w:pPr>
            <w:r>
              <w:rPr>
                <w:rFonts w:ascii="Calibri" w:hAnsi="Calibri"/>
                <w:color w:val="1F2937"/>
                <w:sz w:val="19"/>
              </w:rPr>
              <w:t>Cannot report near-misses or medication errors without career risk; no anonymous route</w:t>
            </w:r>
          </w:p>
        </w:tc>
        <w:tc>
          <w:tcPr>
            <w:tcW w:type="dxa" w:w="3135"/>
            <w:shd w:val="clear" w:color="auto" w:fill="FFFFFF"/>
          </w:tcPr>
          <w:p>
            <w:pPr>
              <w:spacing w:before="80" w:after="80"/>
              <w:ind w:left="113"/>
            </w:pPr>
            <w:r>
              <w:rPr>
                <w:rFonts w:ascii="Calibri" w:hAnsi="Calibri"/>
                <w:color w:val="1F2937"/>
                <w:sz w:val="19"/>
              </w:rPr>
              <w:t>Anonymous staff channel via mobile app; near-miss report classified internally — not patient-visible</w:t>
            </w:r>
          </w:p>
        </w:tc>
      </w:tr>
      <w:tr>
        <w:tc>
          <w:tcPr>
            <w:tcW w:type="dxa" w:w="3135"/>
            <w:shd w:val="clear" w:color="auto" w:fill="F3F4F6"/>
          </w:tcPr>
          <w:p>
            <w:pPr>
              <w:spacing w:before="80" w:after="80"/>
              <w:ind w:left="113"/>
            </w:pPr>
            <w:r>
              <w:rPr>
                <w:rFonts w:ascii="Calibri" w:hAnsi="Calibri"/>
                <w:color w:val="1F2937"/>
                <w:sz w:val="19"/>
              </w:rPr>
              <w:t>Ward sister / charge nurse</w:t>
            </w:r>
          </w:p>
        </w:tc>
        <w:tc>
          <w:tcPr>
            <w:tcW w:type="dxa" w:w="3135"/>
            <w:shd w:val="clear" w:color="auto" w:fill="F3F4F6"/>
          </w:tcPr>
          <w:p>
            <w:pPr>
              <w:spacing w:before="80" w:after="80"/>
              <w:ind w:left="113"/>
            </w:pPr>
            <w:r>
              <w:rPr>
                <w:rFonts w:ascii="Calibri" w:hAnsi="Calibri"/>
                <w:color w:val="1F2937"/>
                <w:sz w:val="19"/>
              </w:rPr>
              <w:t>Has no real-time view of patient complaints in their ward</w:t>
            </w:r>
          </w:p>
        </w:tc>
        <w:tc>
          <w:tcPr>
            <w:tcW w:type="dxa" w:w="3135"/>
            <w:shd w:val="clear" w:color="auto" w:fill="F3F4F6"/>
          </w:tcPr>
          <w:p>
            <w:pPr>
              <w:spacing w:before="80" w:after="80"/>
              <w:ind w:left="113"/>
            </w:pPr>
            <w:r>
              <w:rPr>
                <w:rFonts w:ascii="Calibri" w:hAnsi="Calibri"/>
                <w:color w:val="1F2937"/>
                <w:sz w:val="19"/>
              </w:rPr>
              <w:t>Riviwa ward dashboard: live complaints, SLA status, unresolved cases — visible from any smartphone</w:t>
            </w:r>
          </w:p>
        </w:tc>
      </w:tr>
      <w:tr>
        <w:tc>
          <w:tcPr>
            <w:tcW w:type="dxa" w:w="3135"/>
            <w:shd w:val="clear" w:color="auto" w:fill="FFFFFF"/>
          </w:tcPr>
          <w:p>
            <w:pPr>
              <w:spacing w:before="80" w:after="80"/>
              <w:ind w:left="113"/>
            </w:pPr>
            <w:r>
              <w:rPr>
                <w:rFonts w:ascii="Calibri" w:hAnsi="Calibri"/>
                <w:color w:val="1F2937"/>
                <w:sz w:val="19"/>
              </w:rPr>
              <w:t>Department head</w:t>
            </w:r>
          </w:p>
        </w:tc>
        <w:tc>
          <w:tcPr>
            <w:tcW w:type="dxa" w:w="3135"/>
            <w:shd w:val="clear" w:color="auto" w:fill="FFFFFF"/>
          </w:tcPr>
          <w:p>
            <w:pPr>
              <w:spacing w:before="80" w:after="80"/>
              <w:ind w:left="113"/>
            </w:pPr>
            <w:r>
              <w:rPr>
                <w:rFonts w:ascii="Calibri" w:hAnsi="Calibri"/>
                <w:color w:val="1F2937"/>
                <w:sz w:val="19"/>
              </w:rPr>
              <w:t>Learns about problems from media or ministerial investigation, not from data</w:t>
            </w:r>
          </w:p>
        </w:tc>
        <w:tc>
          <w:tcPr>
            <w:tcW w:type="dxa" w:w="3135"/>
            <w:shd w:val="clear" w:color="auto" w:fill="FFFFFF"/>
          </w:tcPr>
          <w:p>
            <w:pPr>
              <w:spacing w:before="80" w:after="80"/>
              <w:ind w:left="113"/>
            </w:pPr>
            <w:r>
              <w:rPr>
                <w:rFonts w:ascii="Calibri" w:hAnsi="Calibri"/>
                <w:color w:val="1F2937"/>
                <w:sz w:val="19"/>
              </w:rPr>
              <w:t>Department analytics: complaint trend by day/week; staff conduct incidents; response SLA compliance</w:t>
            </w:r>
          </w:p>
        </w:tc>
      </w:tr>
      <w:tr>
        <w:tc>
          <w:tcPr>
            <w:tcW w:type="dxa" w:w="3135"/>
            <w:shd w:val="clear" w:color="auto" w:fill="F3F4F6"/>
          </w:tcPr>
          <w:p>
            <w:pPr>
              <w:spacing w:before="80" w:after="80"/>
              <w:ind w:left="113"/>
            </w:pPr>
            <w:r>
              <w:rPr>
                <w:rFonts w:ascii="Calibri" w:hAnsi="Calibri"/>
                <w:color w:val="1F2937"/>
                <w:sz w:val="19"/>
              </w:rPr>
              <w:t>CEO / Board</w:t>
            </w:r>
          </w:p>
        </w:tc>
        <w:tc>
          <w:tcPr>
            <w:tcW w:type="dxa" w:w="3135"/>
            <w:shd w:val="clear" w:color="auto" w:fill="F3F4F6"/>
          </w:tcPr>
          <w:p>
            <w:pPr>
              <w:spacing w:before="80" w:after="80"/>
              <w:ind w:left="113"/>
            </w:pPr>
            <w:r>
              <w:rPr>
                <w:rFonts w:ascii="Calibri" w:hAnsi="Calibri"/>
                <w:color w:val="1F2937"/>
                <w:sz w:val="19"/>
              </w:rPr>
              <w:t>No hospital-wide patient experience data; relies on anecdotal reports</w:t>
            </w:r>
          </w:p>
        </w:tc>
        <w:tc>
          <w:tcPr>
            <w:tcW w:type="dxa" w:w="3135"/>
            <w:shd w:val="clear" w:color="auto" w:fill="F3F4F6"/>
          </w:tcPr>
          <w:p>
            <w:pPr>
              <w:spacing w:before="80" w:after="80"/>
              <w:ind w:left="113"/>
            </w:pPr>
            <w:r>
              <w:rPr>
                <w:rFonts w:ascii="Calibri" w:hAnsi="Calibri"/>
                <w:color w:val="1F2937"/>
                <w:sz w:val="19"/>
              </w:rPr>
              <w:t>Executive dashboard: all 25 departments; daily complaint volume; CRITICAL alert escalation; monthly board report</w:t>
            </w:r>
          </w:p>
        </w:tc>
      </w:tr>
      <w:tr>
        <w:tc>
          <w:tcPr>
            <w:tcW w:type="dxa" w:w="3135"/>
            <w:shd w:val="clear" w:color="auto" w:fill="FFFFFF"/>
          </w:tcPr>
          <w:p>
            <w:pPr>
              <w:spacing w:before="80" w:after="80"/>
              <w:ind w:left="113"/>
            </w:pPr>
            <w:r>
              <w:rPr>
                <w:rFonts w:ascii="Calibri" w:hAnsi="Calibri"/>
                <w:color w:val="1F2937"/>
                <w:sz w:val="19"/>
              </w:rPr>
              <w:t>PCCB / Ministry of Health</w:t>
            </w:r>
          </w:p>
        </w:tc>
        <w:tc>
          <w:tcPr>
            <w:tcW w:type="dxa" w:w="3135"/>
            <w:shd w:val="clear" w:color="auto" w:fill="FFFFFF"/>
          </w:tcPr>
          <w:p>
            <w:pPr>
              <w:spacing w:before="80" w:after="80"/>
              <w:ind w:left="113"/>
            </w:pPr>
            <w:r>
              <w:rPr>
                <w:rFonts w:ascii="Calibri" w:hAnsi="Calibri"/>
                <w:color w:val="1F2937"/>
                <w:sz w:val="19"/>
              </w:rPr>
              <w:t>Corruption education programmes with no outcome measurement</w:t>
            </w:r>
          </w:p>
        </w:tc>
        <w:tc>
          <w:tcPr>
            <w:tcW w:type="dxa" w:w="3135"/>
            <w:shd w:val="clear" w:color="auto" w:fill="FFFFFF"/>
          </w:tcPr>
          <w:p>
            <w:pPr>
              <w:spacing w:before="80" w:after="80"/>
              <w:ind w:left="113"/>
            </w:pPr>
            <w:r>
              <w:rPr>
                <w:rFonts w:ascii="Calibri" w:hAnsi="Calibri"/>
                <w:color w:val="1F2937"/>
                <w:sz w:val="19"/>
              </w:rPr>
              <w:t>Anonymous bribery complaint data; trend tracking; named-case investigation trail for PCCB referral</w:t>
            </w:r>
          </w:p>
        </w:tc>
      </w:tr>
      <w:tr>
        <w:tc>
          <w:tcPr>
            <w:tcW w:type="dxa" w:w="3135"/>
            <w:shd w:val="clear" w:color="auto" w:fill="F3F4F6"/>
          </w:tcPr>
          <w:p>
            <w:pPr>
              <w:spacing w:before="80" w:after="80"/>
              <w:ind w:left="113"/>
            </w:pPr>
            <w:r>
              <w:rPr>
                <w:rFonts w:ascii="Calibri" w:hAnsi="Calibri"/>
                <w:color w:val="1F2937"/>
                <w:sz w:val="19"/>
              </w:rPr>
              <w:t>Medical students / interns (MUHAS)</w:t>
            </w:r>
          </w:p>
        </w:tc>
        <w:tc>
          <w:tcPr>
            <w:tcW w:type="dxa" w:w="3135"/>
            <w:shd w:val="clear" w:color="auto" w:fill="F3F4F6"/>
          </w:tcPr>
          <w:p>
            <w:pPr>
              <w:spacing w:before="80" w:after="80"/>
              <w:ind w:left="113"/>
            </w:pPr>
            <w:r>
              <w:rPr>
                <w:rFonts w:ascii="Calibri" w:hAnsi="Calibri"/>
                <w:color w:val="1F2937"/>
                <w:sz w:val="19"/>
              </w:rPr>
              <w:t>No structured feedback on clinical training environment</w:t>
            </w:r>
          </w:p>
        </w:tc>
        <w:tc>
          <w:tcPr>
            <w:tcW w:type="dxa" w:w="3135"/>
            <w:shd w:val="clear" w:color="auto" w:fill="F3F4F6"/>
          </w:tcPr>
          <w:p>
            <w:pPr>
              <w:spacing w:before="80" w:after="80"/>
              <w:ind w:left="113"/>
            </w:pPr>
            <w:r>
              <w:rPr>
                <w:rFonts w:ascii="Calibri" w:hAnsi="Calibri"/>
                <w:color w:val="1F2937"/>
                <w:sz w:val="19"/>
              </w:rPr>
              <w:t>MUHAS training feedback module; anonymous intern experience reporting; teaching quality analytics</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4B87"/>
          </w:tcPr>
          <w:p>
            <w:pPr>
              <w:spacing w:before="0" w:after="0"/>
            </w:pPr>
          </w:p>
        </w:tc>
      </w:tr>
    </w:tbl>
    <w:p>
      <w:pPr>
        <w:spacing w:after="0"/>
      </w:pPr>
    </w:p>
    <w:p>
      <w:pPr>
        <w:spacing w:before="280" w:after="120"/>
        <w:jc w:val="left"/>
      </w:pPr>
      <w:r>
        <w:rPr>
          <w:rFonts w:ascii="Calibri" w:hAnsi="Calibri"/>
          <w:b/>
          <w:i w:val="0"/>
          <w:color w:val="004B87"/>
          <w:sz w:val="36"/>
        </w:rPr>
        <w:t>3.  DEPARTMENT-BY-DEPARTMENT: RIVIWA IN EVERY WARD</w:t>
      </w:r>
    </w:p>
    <w:p>
      <w:pPr>
        <w:spacing w:before="80" w:after="120"/>
        <w:jc w:val="left"/>
      </w:pPr>
      <w:r>
        <w:rPr>
          <w:rFonts w:ascii="Calibri" w:hAnsi="Calibri"/>
          <w:b w:val="0"/>
          <w:i w:val="0"/>
          <w:color w:val="1F2937"/>
          <w:sz w:val="22"/>
        </w:rPr>
        <w:t>MNH has 25 departments across 7 directorates. Every department has a specific accountability need. Riviwa addresses each one.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4B87"/>
          </w:tcPr>
          <w:p>
            <w:pPr>
              <w:spacing w:before="80" w:after="80"/>
              <w:ind w:left="113"/>
            </w:pPr>
            <w:r>
              <w:rPr>
                <w:rFonts w:ascii="Calibri" w:hAnsi="Calibri"/>
                <w:b/>
                <w:color w:val="FFFFFF"/>
                <w:sz w:val="19"/>
              </w:rPr>
              <w:t>Department</w:t>
            </w:r>
          </w:p>
        </w:tc>
        <w:tc>
          <w:tcPr>
            <w:tcW w:type="dxa" w:w="2351"/>
            <w:shd w:val="clear" w:color="auto" w:fill="004B87"/>
          </w:tcPr>
          <w:p>
            <w:pPr>
              <w:spacing w:before="80" w:after="80"/>
              <w:ind w:left="113"/>
            </w:pPr>
            <w:r>
              <w:rPr>
                <w:rFonts w:ascii="Calibri" w:hAnsi="Calibri"/>
                <w:b/>
                <w:color w:val="FFFFFF"/>
                <w:sz w:val="19"/>
              </w:rPr>
              <w:t>Key Accountability Challenge</w:t>
            </w:r>
          </w:p>
        </w:tc>
        <w:tc>
          <w:tcPr>
            <w:tcW w:type="dxa" w:w="2351"/>
            <w:shd w:val="clear" w:color="auto" w:fill="004B87"/>
          </w:tcPr>
          <w:p>
            <w:pPr>
              <w:spacing w:before="80" w:after="80"/>
              <w:ind w:left="113"/>
            </w:pPr>
            <w:r>
              <w:rPr>
                <w:rFonts w:ascii="Calibri" w:hAnsi="Calibri"/>
                <w:b/>
                <w:color w:val="FFFFFF"/>
                <w:sz w:val="19"/>
              </w:rPr>
              <w:t>Riviwa Solution</w:t>
            </w:r>
          </w:p>
        </w:tc>
        <w:tc>
          <w:tcPr>
            <w:tcW w:type="dxa" w:w="2351"/>
            <w:shd w:val="clear" w:color="auto" w:fill="004B87"/>
          </w:tcPr>
          <w:p>
            <w:pPr>
              <w:spacing w:before="80" w:after="80"/>
              <w:ind w:left="113"/>
            </w:pPr>
            <w:r>
              <w:rPr>
                <w:rFonts w:ascii="Calibri" w:hAnsi="Calibri"/>
                <w:b/>
                <w:color w:val="FFFFFF"/>
                <w:sz w:val="19"/>
              </w:rPr>
              <w:t>Performance KPI</w:t>
            </w:r>
          </w:p>
        </w:tc>
      </w:tr>
      <w:tr>
        <w:tc>
          <w:tcPr>
            <w:tcW w:type="dxa" w:w="2351"/>
            <w:shd w:val="clear" w:color="auto" w:fill="007A87"/>
          </w:tcPr>
          <w:p>
            <w:pPr>
              <w:spacing w:before="60" w:after="60"/>
              <w:ind w:left="113"/>
            </w:pPr>
            <w:r>
              <w:rPr>
                <w:rFonts w:ascii="Calibri" w:hAnsi="Calibri"/>
                <w:b/>
                <w:color w:val="FFFFFF"/>
                <w:sz w:val="17"/>
              </w:rPr>
              <w:t>Emergency Dept (A&amp;E)</w:t>
            </w:r>
          </w:p>
        </w:tc>
        <w:tc>
          <w:tcPr>
            <w:tcW w:type="dxa" w:w="2351"/>
            <w:shd w:val="clear" w:color="auto" w:fill="FFFFFF"/>
          </w:tcPr>
          <w:p>
            <w:pPr>
              <w:spacing w:before="60" w:after="60"/>
              <w:ind w:left="113"/>
            </w:pPr>
            <w:r>
              <w:rPr>
                <w:rFonts w:ascii="Calibri" w:hAnsi="Calibri"/>
                <w:color w:val="1F2937"/>
                <w:sz w:val="17"/>
              </w:rPr>
              <w:t>Triage delays; 150-200 critical patients daily; no wait-time visibility for management</w:t>
            </w:r>
          </w:p>
        </w:tc>
        <w:tc>
          <w:tcPr>
            <w:tcW w:type="dxa" w:w="2351"/>
            <w:shd w:val="clear" w:color="auto" w:fill="F3F4F6"/>
          </w:tcPr>
          <w:p>
            <w:pPr>
              <w:spacing w:before="60" w:after="60"/>
              <w:ind w:left="113"/>
            </w:pPr>
            <w:r>
              <w:rPr>
                <w:rFonts w:ascii="Calibri" w:hAnsi="Calibri"/>
                <w:color w:val="1F2937"/>
                <w:sz w:val="17"/>
              </w:rPr>
              <w:t>QR at triage registration; real-time wait-time dashboard; CRITICAL alert if patient not seen in 30 min</w:t>
            </w:r>
          </w:p>
        </w:tc>
        <w:tc>
          <w:tcPr>
            <w:tcW w:type="dxa" w:w="2351"/>
            <w:shd w:val="clear" w:color="auto" w:fill="E8F4FF"/>
          </w:tcPr>
          <w:p>
            <w:pPr>
              <w:spacing w:before="60" w:after="60"/>
              <w:ind w:left="113"/>
            </w:pPr>
            <w:r>
              <w:rPr>
                <w:rFonts w:ascii="Calibri" w:hAnsi="Calibri"/>
                <w:color w:val="1F2937"/>
                <w:sz w:val="17"/>
              </w:rPr>
              <w:t>Average triage-to-clinician time; CRITICAL response SLA; patient satisfaction at discharge</w:t>
            </w:r>
          </w:p>
        </w:tc>
      </w:tr>
      <w:tr>
        <w:tc>
          <w:tcPr>
            <w:tcW w:type="dxa" w:w="2351"/>
            <w:shd w:val="clear" w:color="auto" w:fill="007A87"/>
          </w:tcPr>
          <w:p>
            <w:pPr>
              <w:spacing w:before="60" w:after="60"/>
              <w:ind w:left="113"/>
            </w:pPr>
            <w:r>
              <w:rPr>
                <w:rFonts w:ascii="Calibri" w:hAnsi="Calibri"/>
                <w:b/>
                <w:color w:val="FFFFFF"/>
                <w:sz w:val="17"/>
              </w:rPr>
              <w:t>Maternity &amp; Labour Ward</w:t>
            </w:r>
          </w:p>
        </w:tc>
        <w:tc>
          <w:tcPr>
            <w:tcW w:type="dxa" w:w="2351"/>
            <w:shd w:val="clear" w:color="auto" w:fill="FFFFFF"/>
          </w:tcPr>
          <w:p>
            <w:pPr>
              <w:spacing w:before="60" w:after="60"/>
              <w:ind w:left="113"/>
            </w:pPr>
            <w:r>
              <w:rPr>
                <w:rFonts w:ascii="Calibri" w:hAnsi="Calibri"/>
                <w:color w:val="1F2937"/>
                <w:sz w:val="17"/>
              </w:rPr>
              <w:t>"Kitu kidogo" bribery documented; verbal abuse by midwives; 82.3% of maternal deaths linked to substandard care</w:t>
            </w:r>
          </w:p>
        </w:tc>
        <w:tc>
          <w:tcPr>
            <w:tcW w:type="dxa" w:w="2351"/>
            <w:shd w:val="clear" w:color="auto" w:fill="F3F4F6"/>
          </w:tcPr>
          <w:p>
            <w:pPr>
              <w:spacing w:before="60" w:after="60"/>
              <w:ind w:left="113"/>
            </w:pPr>
            <w:r>
              <w:rPr>
                <w:rFonts w:ascii="Calibri" w:hAnsi="Calibri"/>
                <w:color w:val="1F2937"/>
                <w:sz w:val="17"/>
              </w:rPr>
              <w:t>Anonymous QR at bedside; midwife conduct reporting; near-miss checklist via mobile app; blood availability alert</w:t>
            </w:r>
          </w:p>
        </w:tc>
        <w:tc>
          <w:tcPr>
            <w:tcW w:type="dxa" w:w="2351"/>
            <w:shd w:val="clear" w:color="auto" w:fill="E8F4FF"/>
          </w:tcPr>
          <w:p>
            <w:pPr>
              <w:spacing w:before="60" w:after="60"/>
              <w:ind w:left="113"/>
            </w:pPr>
            <w:r>
              <w:rPr>
                <w:rFonts w:ascii="Calibri" w:hAnsi="Calibri"/>
                <w:color w:val="1F2937"/>
                <w:sz w:val="17"/>
              </w:rPr>
              <w:t>Bribery complaint rate; staff conduct incidents; near-miss reports submitted; maternal death audit compliance</w:t>
            </w:r>
          </w:p>
        </w:tc>
      </w:tr>
      <w:tr>
        <w:tc>
          <w:tcPr>
            <w:tcW w:type="dxa" w:w="2351"/>
            <w:shd w:val="clear" w:color="auto" w:fill="007A87"/>
          </w:tcPr>
          <w:p>
            <w:pPr>
              <w:spacing w:before="60" w:after="60"/>
              <w:ind w:left="113"/>
            </w:pPr>
            <w:r>
              <w:rPr>
                <w:rFonts w:ascii="Calibri" w:hAnsi="Calibri"/>
                <w:b/>
                <w:color w:val="FFFFFF"/>
                <w:sz w:val="17"/>
              </w:rPr>
              <w:t>Intensive Care Unit</w:t>
            </w:r>
          </w:p>
        </w:tc>
        <w:tc>
          <w:tcPr>
            <w:tcW w:type="dxa" w:w="2351"/>
            <w:shd w:val="clear" w:color="auto" w:fill="FFFFFF"/>
          </w:tcPr>
          <w:p>
            <w:pPr>
              <w:spacing w:before="60" w:after="60"/>
              <w:ind w:left="113"/>
            </w:pPr>
            <w:r>
              <w:rPr>
                <w:rFonts w:ascii="Calibri" w:hAnsi="Calibri"/>
                <w:color w:val="1F2937"/>
                <w:sz w:val="17"/>
              </w:rPr>
              <w:t>Family members cannot receive updates; no structured next-of-kin communication</w:t>
            </w:r>
          </w:p>
        </w:tc>
        <w:tc>
          <w:tcPr>
            <w:tcW w:type="dxa" w:w="2351"/>
            <w:shd w:val="clear" w:color="auto" w:fill="F3F4F6"/>
          </w:tcPr>
          <w:p>
            <w:pPr>
              <w:spacing w:before="60" w:after="60"/>
              <w:ind w:left="113"/>
            </w:pPr>
            <w:r>
              <w:rPr>
                <w:rFonts w:ascii="Calibri" w:hAnsi="Calibri"/>
                <w:color w:val="1F2937"/>
                <w:sz w:val="17"/>
              </w:rPr>
              <w:t>WhatsApp family update system; daily condition notification; family complaint channel separate from patient record</w:t>
            </w:r>
          </w:p>
        </w:tc>
        <w:tc>
          <w:tcPr>
            <w:tcW w:type="dxa" w:w="2351"/>
            <w:shd w:val="clear" w:color="auto" w:fill="E8F4FF"/>
          </w:tcPr>
          <w:p>
            <w:pPr>
              <w:spacing w:before="60" w:after="60"/>
              <w:ind w:left="113"/>
            </w:pPr>
            <w:r>
              <w:rPr>
                <w:rFonts w:ascii="Calibri" w:hAnsi="Calibri"/>
                <w:color w:val="1F2937"/>
                <w:sz w:val="17"/>
              </w:rPr>
              <w:t>Family satisfaction score; communication SLA compliance; ICU complaint resolution time</w:t>
            </w:r>
          </w:p>
        </w:tc>
      </w:tr>
      <w:tr>
        <w:tc>
          <w:tcPr>
            <w:tcW w:type="dxa" w:w="2351"/>
            <w:shd w:val="clear" w:color="auto" w:fill="007A87"/>
          </w:tcPr>
          <w:p>
            <w:pPr>
              <w:spacing w:before="60" w:after="60"/>
              <w:ind w:left="113"/>
            </w:pPr>
            <w:r>
              <w:rPr>
                <w:rFonts w:ascii="Calibri" w:hAnsi="Calibri"/>
                <w:b/>
                <w:color w:val="FFFFFF"/>
                <w:sz w:val="17"/>
              </w:rPr>
              <w:t>Oncology</w:t>
            </w:r>
          </w:p>
        </w:tc>
        <w:tc>
          <w:tcPr>
            <w:tcW w:type="dxa" w:w="2351"/>
            <w:shd w:val="clear" w:color="auto" w:fill="FFFFFF"/>
          </w:tcPr>
          <w:p>
            <w:pPr>
              <w:spacing w:before="60" w:after="60"/>
              <w:ind w:left="113"/>
            </w:pPr>
            <w:r>
              <w:rPr>
                <w:rFonts w:ascii="Calibri" w:hAnsi="Calibri"/>
                <w:color w:val="1F2937"/>
                <w:sz w:val="17"/>
              </w:rPr>
              <w:t>Long delays for chemotherapy; drug availability inconsistent; patients travel from all 26 regions</w:t>
            </w:r>
          </w:p>
        </w:tc>
        <w:tc>
          <w:tcPr>
            <w:tcW w:type="dxa" w:w="2351"/>
            <w:shd w:val="clear" w:color="auto" w:fill="F3F4F6"/>
          </w:tcPr>
          <w:p>
            <w:pPr>
              <w:spacing w:before="60" w:after="60"/>
              <w:ind w:left="113"/>
            </w:pPr>
            <w:r>
              <w:rPr>
                <w:rFonts w:ascii="Calibri" w:hAnsi="Calibri"/>
                <w:color w:val="1F2937"/>
                <w:sz w:val="17"/>
              </w:rPr>
              <w:t>QR at chemotherapy chair; appointment delay reporting; drug stock alert before patient arrival</w:t>
            </w:r>
          </w:p>
        </w:tc>
        <w:tc>
          <w:tcPr>
            <w:tcW w:type="dxa" w:w="2351"/>
            <w:shd w:val="clear" w:color="auto" w:fill="E8F4FF"/>
          </w:tcPr>
          <w:p>
            <w:pPr>
              <w:spacing w:before="60" w:after="60"/>
              <w:ind w:left="113"/>
            </w:pPr>
            <w:r>
              <w:rPr>
                <w:rFonts w:ascii="Calibri" w:hAnsi="Calibri"/>
                <w:color w:val="1F2937"/>
                <w:sz w:val="17"/>
              </w:rPr>
              <w:t>Chemotherapy appointment compliance rate; drug availability rate; patient travel-complaint resolution</w:t>
            </w:r>
          </w:p>
        </w:tc>
      </w:tr>
      <w:tr>
        <w:tc>
          <w:tcPr>
            <w:tcW w:type="dxa" w:w="2351"/>
            <w:shd w:val="clear" w:color="auto" w:fill="007A87"/>
          </w:tcPr>
          <w:p>
            <w:pPr>
              <w:spacing w:before="60" w:after="60"/>
              <w:ind w:left="113"/>
            </w:pPr>
            <w:r>
              <w:rPr>
                <w:rFonts w:ascii="Calibri" w:hAnsi="Calibri"/>
                <w:b/>
                <w:color w:val="FFFFFF"/>
                <w:sz w:val="17"/>
              </w:rPr>
              <w:t>Paediatrics</w:t>
            </w:r>
          </w:p>
        </w:tc>
        <w:tc>
          <w:tcPr>
            <w:tcW w:type="dxa" w:w="2351"/>
            <w:shd w:val="clear" w:color="auto" w:fill="FFFFFF"/>
          </w:tcPr>
          <w:p>
            <w:pPr>
              <w:spacing w:before="60" w:after="60"/>
              <w:ind w:left="113"/>
            </w:pPr>
            <w:r>
              <w:rPr>
                <w:rFonts w:ascii="Calibri" w:hAnsi="Calibri"/>
                <w:color w:val="1F2937"/>
                <w:sz w:val="17"/>
              </w:rPr>
              <w:t>Parents cannot report on behalf of non-verbal children; child protection concerns go unreported</w:t>
            </w:r>
          </w:p>
        </w:tc>
        <w:tc>
          <w:tcPr>
            <w:tcW w:type="dxa" w:w="2351"/>
            <w:shd w:val="clear" w:color="auto" w:fill="F3F4F6"/>
          </w:tcPr>
          <w:p>
            <w:pPr>
              <w:spacing w:before="60" w:after="60"/>
              <w:ind w:left="113"/>
            </w:pPr>
            <w:r>
              <w:rPr>
                <w:rFonts w:ascii="Calibri" w:hAnsi="Calibri"/>
                <w:color w:val="1F2937"/>
                <w:sz w:val="17"/>
              </w:rPr>
              <w:t>Parent WhatsApp complaint channel; anonymous child safeguarding report; QR at each ward bed</w:t>
            </w:r>
          </w:p>
        </w:tc>
        <w:tc>
          <w:tcPr>
            <w:tcW w:type="dxa" w:w="2351"/>
            <w:shd w:val="clear" w:color="auto" w:fill="E8F4FF"/>
          </w:tcPr>
          <w:p>
            <w:pPr>
              <w:spacing w:before="60" w:after="60"/>
              <w:ind w:left="113"/>
            </w:pPr>
            <w:r>
              <w:rPr>
                <w:rFonts w:ascii="Calibri" w:hAnsi="Calibri"/>
                <w:color w:val="1F2937"/>
                <w:sz w:val="17"/>
              </w:rPr>
              <w:t>Parent satisfaction score; safeguarding report response time; medication error reporting rate</w:t>
            </w:r>
          </w:p>
        </w:tc>
      </w:tr>
      <w:tr>
        <w:tc>
          <w:tcPr>
            <w:tcW w:type="dxa" w:w="2351"/>
            <w:shd w:val="clear" w:color="auto" w:fill="007A87"/>
          </w:tcPr>
          <w:p>
            <w:pPr>
              <w:spacing w:before="60" w:after="60"/>
              <w:ind w:left="113"/>
            </w:pPr>
            <w:r>
              <w:rPr>
                <w:rFonts w:ascii="Calibri" w:hAnsi="Calibri"/>
                <w:b/>
                <w:color w:val="FFFFFF"/>
                <w:sz w:val="17"/>
              </w:rPr>
              <w:t>Radiology (X-ray, CT, MRI)</w:t>
            </w:r>
          </w:p>
        </w:tc>
        <w:tc>
          <w:tcPr>
            <w:tcW w:type="dxa" w:w="2351"/>
            <w:shd w:val="clear" w:color="auto" w:fill="FFFFFF"/>
          </w:tcPr>
          <w:p>
            <w:pPr>
              <w:spacing w:before="60" w:after="60"/>
              <w:ind w:left="113"/>
            </w:pPr>
            <w:r>
              <w:rPr>
                <w:rFonts w:ascii="Calibri" w:hAnsi="Calibri"/>
                <w:color w:val="1F2937"/>
                <w:sz w:val="17"/>
              </w:rPr>
              <w:t>Oxygen-dependent patients blocked from scans due to cylinder shortages; equipment downtime unreported</w:t>
            </w:r>
          </w:p>
        </w:tc>
        <w:tc>
          <w:tcPr>
            <w:tcW w:type="dxa" w:w="2351"/>
            <w:shd w:val="clear" w:color="auto" w:fill="F3F4F6"/>
          </w:tcPr>
          <w:p>
            <w:pPr>
              <w:spacing w:before="60" w:after="60"/>
              <w:ind w:left="113"/>
            </w:pPr>
            <w:r>
              <w:rPr>
                <w:rFonts w:ascii="Calibri" w:hAnsi="Calibri"/>
                <w:color w:val="1F2937"/>
                <w:sz w:val="17"/>
              </w:rPr>
              <w:t>Equipment downtime QR report; oxygen level linked to radiology scheduling alert; scan delay complaint</w:t>
            </w:r>
          </w:p>
        </w:tc>
        <w:tc>
          <w:tcPr>
            <w:tcW w:type="dxa" w:w="2351"/>
            <w:shd w:val="clear" w:color="auto" w:fill="E8F4FF"/>
          </w:tcPr>
          <w:p>
            <w:pPr>
              <w:spacing w:before="60" w:after="60"/>
              <w:ind w:left="113"/>
            </w:pPr>
            <w:r>
              <w:rPr>
                <w:rFonts w:ascii="Calibri" w:hAnsi="Calibri"/>
                <w:color w:val="1F2937"/>
                <w:sz w:val="17"/>
              </w:rPr>
              <w:t>Equipment availability rate; scan delay complaint rate; oxygen supply alert response time</w:t>
            </w:r>
          </w:p>
        </w:tc>
      </w:tr>
      <w:tr>
        <w:tc>
          <w:tcPr>
            <w:tcW w:type="dxa" w:w="2351"/>
            <w:shd w:val="clear" w:color="auto" w:fill="007A87"/>
          </w:tcPr>
          <w:p>
            <w:pPr>
              <w:spacing w:before="60" w:after="60"/>
              <w:ind w:left="113"/>
            </w:pPr>
            <w:r>
              <w:rPr>
                <w:rFonts w:ascii="Calibri" w:hAnsi="Calibri"/>
                <w:b/>
                <w:color w:val="FFFFFF"/>
                <w:sz w:val="17"/>
              </w:rPr>
              <w:t>Pharmacy</w:t>
            </w:r>
          </w:p>
        </w:tc>
        <w:tc>
          <w:tcPr>
            <w:tcW w:type="dxa" w:w="2351"/>
            <w:shd w:val="clear" w:color="auto" w:fill="FFFFFF"/>
          </w:tcPr>
          <w:p>
            <w:pPr>
              <w:spacing w:before="60" w:after="60"/>
              <w:ind w:left="113"/>
            </w:pPr>
            <w:r>
              <w:rPr>
                <w:rFonts w:ascii="Calibri" w:hAnsi="Calibri"/>
                <w:color w:val="1F2937"/>
                <w:sz w:val="17"/>
              </w:rPr>
              <w:t>Medicine stock-outs; patients sent to buy externally at inflated prices; counterfeit drug risk</w:t>
            </w:r>
          </w:p>
        </w:tc>
        <w:tc>
          <w:tcPr>
            <w:tcW w:type="dxa" w:w="2351"/>
            <w:shd w:val="clear" w:color="auto" w:fill="F3F4F6"/>
          </w:tcPr>
          <w:p>
            <w:pPr>
              <w:spacing w:before="60" w:after="60"/>
              <w:ind w:left="113"/>
            </w:pPr>
            <w:r>
              <w:rPr>
                <w:rFonts w:ascii="Calibri" w:hAnsi="Calibri"/>
                <w:color w:val="1F2937"/>
                <w:sz w:val="17"/>
              </w:rPr>
              <w:t>QR at dispensing window; stock-out complaint instant alert to procurement; counterfeit drug reporting channel</w:t>
            </w:r>
          </w:p>
        </w:tc>
        <w:tc>
          <w:tcPr>
            <w:tcW w:type="dxa" w:w="2351"/>
            <w:shd w:val="clear" w:color="auto" w:fill="E8F4FF"/>
          </w:tcPr>
          <w:p>
            <w:pPr>
              <w:spacing w:before="60" w:after="60"/>
              <w:ind w:left="113"/>
            </w:pPr>
            <w:r>
              <w:rPr>
                <w:rFonts w:ascii="Calibri" w:hAnsi="Calibri"/>
                <w:color w:val="1F2937"/>
                <w:sz w:val="17"/>
              </w:rPr>
              <w:t>Stock-out complaint rate; out-of-pocket purchase incident rate; supply response time</w:t>
            </w:r>
          </w:p>
        </w:tc>
      </w:tr>
      <w:tr>
        <w:tc>
          <w:tcPr>
            <w:tcW w:type="dxa" w:w="2351"/>
            <w:shd w:val="clear" w:color="auto" w:fill="007A87"/>
          </w:tcPr>
          <w:p>
            <w:pPr>
              <w:spacing w:before="60" w:after="60"/>
              <w:ind w:left="113"/>
            </w:pPr>
            <w:r>
              <w:rPr>
                <w:rFonts w:ascii="Calibri" w:hAnsi="Calibri"/>
                <w:b/>
                <w:color w:val="FFFFFF"/>
                <w:sz w:val="17"/>
              </w:rPr>
              <w:t>Blood Bank</w:t>
            </w:r>
          </w:p>
        </w:tc>
        <w:tc>
          <w:tcPr>
            <w:tcW w:type="dxa" w:w="2351"/>
            <w:shd w:val="clear" w:color="auto" w:fill="FFFFFF"/>
          </w:tcPr>
          <w:p>
            <w:pPr>
              <w:spacing w:before="60" w:after="60"/>
              <w:ind w:left="113"/>
            </w:pPr>
            <w:r>
              <w:rPr>
                <w:rFonts w:ascii="Calibri" w:hAnsi="Calibri"/>
                <w:color w:val="1F2937"/>
                <w:sz w:val="17"/>
              </w:rPr>
              <w:t>Blood unavailability contributed to 19.3% of MNH maternal deaths</w:t>
            </w:r>
          </w:p>
        </w:tc>
        <w:tc>
          <w:tcPr>
            <w:tcW w:type="dxa" w:w="2351"/>
            <w:shd w:val="clear" w:color="auto" w:fill="F3F4F6"/>
          </w:tcPr>
          <w:p>
            <w:pPr>
              <w:spacing w:before="60" w:after="60"/>
              <w:ind w:left="113"/>
            </w:pPr>
            <w:r>
              <w:rPr>
                <w:rFonts w:ascii="Calibri" w:hAnsi="Calibri"/>
                <w:color w:val="1F2937"/>
                <w:sz w:val="17"/>
              </w:rPr>
              <w:t>Real-time blood group inventory QR scan; ward-level request tracking; auto-alert when group falls below threshold</w:t>
            </w:r>
          </w:p>
        </w:tc>
        <w:tc>
          <w:tcPr>
            <w:tcW w:type="dxa" w:w="2351"/>
            <w:shd w:val="clear" w:color="auto" w:fill="E8F4FF"/>
          </w:tcPr>
          <w:p>
            <w:pPr>
              <w:spacing w:before="60" w:after="60"/>
              <w:ind w:left="113"/>
            </w:pPr>
            <w:r>
              <w:rPr>
                <w:rFonts w:ascii="Calibri" w:hAnsi="Calibri"/>
                <w:color w:val="1F2937"/>
                <w:sz w:val="17"/>
              </w:rPr>
              <w:t>Blood availability rate by group; request-to-transfusion time; stock-out incident rate</w:t>
            </w:r>
          </w:p>
        </w:tc>
      </w:tr>
      <w:tr>
        <w:tc>
          <w:tcPr>
            <w:tcW w:type="dxa" w:w="2351"/>
            <w:shd w:val="clear" w:color="auto" w:fill="007A87"/>
          </w:tcPr>
          <w:p>
            <w:pPr>
              <w:spacing w:before="60" w:after="60"/>
              <w:ind w:left="113"/>
            </w:pPr>
            <w:r>
              <w:rPr>
                <w:rFonts w:ascii="Calibri" w:hAnsi="Calibri"/>
                <w:b/>
                <w:color w:val="FFFFFF"/>
                <w:sz w:val="17"/>
              </w:rPr>
              <w:t>Outpatient Dept (OPD)</w:t>
            </w:r>
          </w:p>
        </w:tc>
        <w:tc>
          <w:tcPr>
            <w:tcW w:type="dxa" w:w="2351"/>
            <w:shd w:val="clear" w:color="auto" w:fill="FFFFFF"/>
          </w:tcPr>
          <w:p>
            <w:pPr>
              <w:spacing w:before="60" w:after="60"/>
              <w:ind w:left="113"/>
            </w:pPr>
            <w:r>
              <w:rPr>
                <w:rFonts w:ascii="Calibri" w:hAnsi="Calibri"/>
                <w:color w:val="1F2937"/>
                <w:sz w:val="17"/>
              </w:rPr>
              <w:t>Up to 1,200 patient visits per week; queuing complaints; unclear appointment system</w:t>
            </w:r>
          </w:p>
        </w:tc>
        <w:tc>
          <w:tcPr>
            <w:tcW w:type="dxa" w:w="2351"/>
            <w:shd w:val="clear" w:color="auto" w:fill="F3F4F6"/>
          </w:tcPr>
          <w:p>
            <w:pPr>
              <w:spacing w:before="60" w:after="60"/>
              <w:ind w:left="113"/>
            </w:pPr>
            <w:r>
              <w:rPr>
                <w:rFonts w:ascii="Calibri" w:hAnsi="Calibri"/>
                <w:color w:val="1F2937"/>
                <w:sz w:val="17"/>
              </w:rPr>
              <w:t>QR at OPD waiting bench; wait-time real-time display; complaint generates SLA clock immediately</w:t>
            </w:r>
          </w:p>
        </w:tc>
        <w:tc>
          <w:tcPr>
            <w:tcW w:type="dxa" w:w="2351"/>
            <w:shd w:val="clear" w:color="auto" w:fill="E8F4FF"/>
          </w:tcPr>
          <w:p>
            <w:pPr>
              <w:spacing w:before="60" w:after="60"/>
              <w:ind w:left="113"/>
            </w:pPr>
            <w:r>
              <w:rPr>
                <w:rFonts w:ascii="Calibri" w:hAnsi="Calibri"/>
                <w:color w:val="1F2937"/>
                <w:sz w:val="17"/>
              </w:rPr>
              <w:t>OPD wait time (target: &lt;2 hrs); daily complaint volume; queue length by hour</w:t>
            </w:r>
          </w:p>
        </w:tc>
      </w:tr>
      <w:tr>
        <w:tc>
          <w:tcPr>
            <w:tcW w:type="dxa" w:w="2351"/>
            <w:shd w:val="clear" w:color="auto" w:fill="007A87"/>
          </w:tcPr>
          <w:p>
            <w:pPr>
              <w:spacing w:before="60" w:after="60"/>
              <w:ind w:left="113"/>
            </w:pPr>
            <w:r>
              <w:rPr>
                <w:rFonts w:ascii="Calibri" w:hAnsi="Calibri"/>
                <w:b/>
                <w:color w:val="FFFFFF"/>
                <w:sz w:val="17"/>
              </w:rPr>
              <w:t>Surgical Suite</w:t>
            </w:r>
          </w:p>
        </w:tc>
        <w:tc>
          <w:tcPr>
            <w:tcW w:type="dxa" w:w="2351"/>
            <w:shd w:val="clear" w:color="auto" w:fill="FFFFFF"/>
          </w:tcPr>
          <w:p>
            <w:pPr>
              <w:spacing w:before="60" w:after="60"/>
              <w:ind w:left="113"/>
            </w:pPr>
            <w:r>
              <w:rPr>
                <w:rFonts w:ascii="Calibri" w:hAnsi="Calibri"/>
                <w:color w:val="1F2937"/>
                <w:sz w:val="17"/>
              </w:rPr>
              <w:t>Surgery postponement without patient notification; pre-op anxiety unaddressed</w:t>
            </w:r>
          </w:p>
        </w:tc>
        <w:tc>
          <w:tcPr>
            <w:tcW w:type="dxa" w:w="2351"/>
            <w:shd w:val="clear" w:color="auto" w:fill="F3F4F6"/>
          </w:tcPr>
          <w:p>
            <w:pPr>
              <w:spacing w:before="60" w:after="60"/>
              <w:ind w:left="113"/>
            </w:pPr>
            <w:r>
              <w:rPr>
                <w:rFonts w:ascii="Calibri" w:hAnsi="Calibri"/>
                <w:color w:val="1F2937"/>
                <w:sz w:val="17"/>
              </w:rPr>
              <w:t>Patient pre-op WhatsApp check-in and information; postponement notification system; post-op satisfaction QR</w:t>
            </w:r>
          </w:p>
        </w:tc>
        <w:tc>
          <w:tcPr>
            <w:tcW w:type="dxa" w:w="2351"/>
            <w:shd w:val="clear" w:color="auto" w:fill="E8F4FF"/>
          </w:tcPr>
          <w:p>
            <w:pPr>
              <w:spacing w:before="60" w:after="60"/>
              <w:ind w:left="113"/>
            </w:pPr>
            <w:r>
              <w:rPr>
                <w:rFonts w:ascii="Calibri" w:hAnsi="Calibri"/>
                <w:color w:val="1F2937"/>
                <w:sz w:val="17"/>
              </w:rPr>
              <w:t>Surgery postponement complaint rate; patient-informed consent documentation; post-op experience score</w:t>
            </w:r>
          </w:p>
        </w:tc>
      </w:tr>
      <w:tr>
        <w:tc>
          <w:tcPr>
            <w:tcW w:type="dxa" w:w="2351"/>
            <w:shd w:val="clear" w:color="auto" w:fill="007A87"/>
          </w:tcPr>
          <w:p>
            <w:pPr>
              <w:spacing w:before="60" w:after="60"/>
              <w:ind w:left="113"/>
            </w:pPr>
            <w:r>
              <w:rPr>
                <w:rFonts w:ascii="Calibri" w:hAnsi="Calibri"/>
                <w:b/>
                <w:color w:val="FFFFFF"/>
                <w:sz w:val="17"/>
              </w:rPr>
              <w:t>Neurology / Neurosurgery</w:t>
            </w:r>
          </w:p>
        </w:tc>
        <w:tc>
          <w:tcPr>
            <w:tcW w:type="dxa" w:w="2351"/>
            <w:shd w:val="clear" w:color="auto" w:fill="FFFFFF"/>
          </w:tcPr>
          <w:p>
            <w:pPr>
              <w:spacing w:before="60" w:after="60"/>
              <w:ind w:left="113"/>
            </w:pPr>
            <w:r>
              <w:rPr>
                <w:rFonts w:ascii="Calibri" w:hAnsi="Calibri"/>
                <w:color w:val="1F2937"/>
                <w:sz w:val="17"/>
              </w:rPr>
              <w:t>Highly specialised; patients wait months for specialist review (May 2026 ministerial investigation)</w:t>
            </w:r>
          </w:p>
        </w:tc>
        <w:tc>
          <w:tcPr>
            <w:tcW w:type="dxa" w:w="2351"/>
            <w:shd w:val="clear" w:color="auto" w:fill="F3F4F6"/>
          </w:tcPr>
          <w:p>
            <w:pPr>
              <w:spacing w:before="60" w:after="60"/>
              <w:ind w:left="113"/>
            </w:pPr>
            <w:r>
              <w:rPr>
                <w:rFonts w:ascii="Calibri" w:hAnsi="Calibri"/>
                <w:color w:val="1F2937"/>
                <w:sz w:val="17"/>
              </w:rPr>
              <w:t>QR wait-time tracking per specialist; daily specialist review SLA dashboard for CEO; family update channel</w:t>
            </w:r>
          </w:p>
        </w:tc>
        <w:tc>
          <w:tcPr>
            <w:tcW w:type="dxa" w:w="2351"/>
            <w:shd w:val="clear" w:color="auto" w:fill="E8F4FF"/>
          </w:tcPr>
          <w:p>
            <w:pPr>
              <w:spacing w:before="60" w:after="60"/>
              <w:ind w:left="113"/>
            </w:pPr>
            <w:r>
              <w:rPr>
                <w:rFonts w:ascii="Calibri" w:hAnsi="Calibri"/>
                <w:color w:val="1F2937"/>
                <w:sz w:val="17"/>
              </w:rPr>
              <w:t>Days-to-specialist-review; SLA breach alert at Day 7/14/21; family communication satisfaction</w:t>
            </w:r>
          </w:p>
        </w:tc>
      </w:tr>
      <w:tr>
        <w:tc>
          <w:tcPr>
            <w:tcW w:type="dxa" w:w="2351"/>
            <w:shd w:val="clear" w:color="auto" w:fill="007A87"/>
          </w:tcPr>
          <w:p>
            <w:pPr>
              <w:spacing w:before="60" w:after="60"/>
              <w:ind w:left="113"/>
            </w:pPr>
            <w:r>
              <w:rPr>
                <w:rFonts w:ascii="Calibri" w:hAnsi="Calibri"/>
                <w:b/>
                <w:color w:val="FFFFFF"/>
                <w:sz w:val="17"/>
              </w:rPr>
              <w:t>Cardiology</w:t>
            </w:r>
          </w:p>
        </w:tc>
        <w:tc>
          <w:tcPr>
            <w:tcW w:type="dxa" w:w="2351"/>
            <w:shd w:val="clear" w:color="auto" w:fill="FFFFFF"/>
          </w:tcPr>
          <w:p>
            <w:pPr>
              <w:spacing w:before="60" w:after="60"/>
              <w:ind w:left="113"/>
            </w:pPr>
            <w:r>
              <w:rPr>
                <w:rFonts w:ascii="Calibri" w:hAnsi="Calibri"/>
                <w:color w:val="1F2937"/>
                <w:sz w:val="17"/>
              </w:rPr>
              <w:t>Equipment downtime (ECG, echo); specialist availability gaps</w:t>
            </w:r>
          </w:p>
        </w:tc>
        <w:tc>
          <w:tcPr>
            <w:tcW w:type="dxa" w:w="2351"/>
            <w:shd w:val="clear" w:color="auto" w:fill="F3F4F6"/>
          </w:tcPr>
          <w:p>
            <w:pPr>
              <w:spacing w:before="60" w:after="60"/>
              <w:ind w:left="113"/>
            </w:pPr>
            <w:r>
              <w:rPr>
                <w:rFonts w:ascii="Calibri" w:hAnsi="Calibri"/>
                <w:color w:val="1F2937"/>
                <w:sz w:val="17"/>
              </w:rPr>
              <w:t>Equipment QR downtime report; specialist on-call check-in; patient complaint channel for cardiac wards</w:t>
            </w:r>
          </w:p>
        </w:tc>
        <w:tc>
          <w:tcPr>
            <w:tcW w:type="dxa" w:w="2351"/>
            <w:shd w:val="clear" w:color="auto" w:fill="E8F4FF"/>
          </w:tcPr>
          <w:p>
            <w:pPr>
              <w:spacing w:before="60" w:after="60"/>
              <w:ind w:left="113"/>
            </w:pPr>
            <w:r>
              <w:rPr>
                <w:rFonts w:ascii="Calibri" w:hAnsi="Calibri"/>
                <w:color w:val="1F2937"/>
                <w:sz w:val="17"/>
              </w:rPr>
              <w:t>Cardiology equipment uptime; specialist availability compliance; cardiac ward patient satisfaction</w:t>
            </w:r>
          </w:p>
        </w:tc>
      </w:tr>
      <w:tr>
        <w:tc>
          <w:tcPr>
            <w:tcW w:type="dxa" w:w="2351"/>
            <w:shd w:val="clear" w:color="auto" w:fill="007A87"/>
          </w:tcPr>
          <w:p>
            <w:pPr>
              <w:spacing w:before="60" w:after="60"/>
              <w:ind w:left="113"/>
            </w:pPr>
            <w:r>
              <w:rPr>
                <w:rFonts w:ascii="Calibri" w:hAnsi="Calibri"/>
                <w:b/>
                <w:color w:val="FFFFFF"/>
                <w:sz w:val="17"/>
              </w:rPr>
              <w:t>Nutrition / Dietetics</w:t>
            </w:r>
          </w:p>
        </w:tc>
        <w:tc>
          <w:tcPr>
            <w:tcW w:type="dxa" w:w="2351"/>
            <w:shd w:val="clear" w:color="auto" w:fill="FFFFFF"/>
          </w:tcPr>
          <w:p>
            <w:pPr>
              <w:spacing w:before="60" w:after="60"/>
              <w:ind w:left="113"/>
            </w:pPr>
            <w:r>
              <w:rPr>
                <w:rFonts w:ascii="Calibri" w:hAnsi="Calibri"/>
                <w:color w:val="1F2937"/>
                <w:sz w:val="17"/>
              </w:rPr>
              <w:t>Patients receive incorrect diet; diet order delays; malnutrition undetected</w:t>
            </w:r>
          </w:p>
        </w:tc>
        <w:tc>
          <w:tcPr>
            <w:tcW w:type="dxa" w:w="2351"/>
            <w:shd w:val="clear" w:color="auto" w:fill="F3F4F6"/>
          </w:tcPr>
          <w:p>
            <w:pPr>
              <w:spacing w:before="60" w:after="60"/>
              <w:ind w:left="113"/>
            </w:pPr>
            <w:r>
              <w:rPr>
                <w:rFonts w:ascii="Calibri" w:hAnsi="Calibri"/>
                <w:color w:val="1F2937"/>
                <w:sz w:val="17"/>
              </w:rPr>
              <w:t>Diet order QR confirmation; patient food feedback (daily); malnutrition concern reporting channel</w:t>
            </w:r>
          </w:p>
        </w:tc>
        <w:tc>
          <w:tcPr>
            <w:tcW w:type="dxa" w:w="2351"/>
            <w:shd w:val="clear" w:color="auto" w:fill="E8F4FF"/>
          </w:tcPr>
          <w:p>
            <w:pPr>
              <w:spacing w:before="60" w:after="60"/>
              <w:ind w:left="113"/>
            </w:pPr>
            <w:r>
              <w:rPr>
                <w:rFonts w:ascii="Calibri" w:hAnsi="Calibri"/>
                <w:color w:val="1F2937"/>
                <w:sz w:val="17"/>
              </w:rPr>
              <w:t>Diet order accuracy rate; patient food satisfaction; malnutrition screening compliance</w:t>
            </w:r>
          </w:p>
        </w:tc>
      </w:tr>
      <w:tr>
        <w:tc>
          <w:tcPr>
            <w:tcW w:type="dxa" w:w="2351"/>
            <w:shd w:val="clear" w:color="auto" w:fill="007A87"/>
          </w:tcPr>
          <w:p>
            <w:pPr>
              <w:spacing w:before="60" w:after="60"/>
              <w:ind w:left="113"/>
            </w:pPr>
            <w:r>
              <w:rPr>
                <w:rFonts w:ascii="Calibri" w:hAnsi="Calibri"/>
                <w:b/>
                <w:color w:val="FFFFFF"/>
                <w:sz w:val="17"/>
              </w:rPr>
              <w:t>Infection Control</w:t>
            </w:r>
          </w:p>
        </w:tc>
        <w:tc>
          <w:tcPr>
            <w:tcW w:type="dxa" w:w="2351"/>
            <w:shd w:val="clear" w:color="auto" w:fill="FFFFFF"/>
          </w:tcPr>
          <w:p>
            <w:pPr>
              <w:spacing w:before="60" w:after="60"/>
              <w:ind w:left="113"/>
            </w:pPr>
            <w:r>
              <w:rPr>
                <w:rFonts w:ascii="Calibri" w:hAnsi="Calibri"/>
                <w:color w:val="1F2937"/>
                <w:sz w:val="17"/>
              </w:rPr>
              <w:t>Ward hygiene complaints common; healthcare-acquired infection risk; PPE availability gaps</w:t>
            </w:r>
          </w:p>
        </w:tc>
        <w:tc>
          <w:tcPr>
            <w:tcW w:type="dxa" w:w="2351"/>
            <w:shd w:val="clear" w:color="auto" w:fill="F3F4F6"/>
          </w:tcPr>
          <w:p>
            <w:pPr>
              <w:spacing w:before="60" w:after="60"/>
              <w:ind w:left="113"/>
            </w:pPr>
            <w:r>
              <w:rPr>
                <w:rFonts w:ascii="Calibri" w:hAnsi="Calibri"/>
                <w:color w:val="1F2937"/>
                <w:sz w:val="17"/>
              </w:rPr>
              <w:t>Anonymous hygiene concern QR in each ward; PPE shortage instant alert; infection cluster detection from complaint patterns</w:t>
            </w:r>
          </w:p>
        </w:tc>
        <w:tc>
          <w:tcPr>
            <w:tcW w:type="dxa" w:w="2351"/>
            <w:shd w:val="clear" w:color="auto" w:fill="E8F4FF"/>
          </w:tcPr>
          <w:p>
            <w:pPr>
              <w:spacing w:before="60" w:after="60"/>
              <w:ind w:left="113"/>
            </w:pPr>
            <w:r>
              <w:rPr>
                <w:rFonts w:ascii="Calibri" w:hAnsi="Calibri"/>
                <w:color w:val="1F2937"/>
                <w:sz w:val="17"/>
              </w:rPr>
              <w:t>Hygiene complaint rate; PPE availability compliance; HAI complaint cluster detection time</w:t>
            </w:r>
          </w:p>
        </w:tc>
      </w:tr>
      <w:tr>
        <w:tc>
          <w:tcPr>
            <w:tcW w:type="dxa" w:w="2351"/>
            <w:shd w:val="clear" w:color="auto" w:fill="007A87"/>
          </w:tcPr>
          <w:p>
            <w:pPr>
              <w:spacing w:before="60" w:after="60"/>
              <w:ind w:left="113"/>
            </w:pPr>
            <w:r>
              <w:rPr>
                <w:rFonts w:ascii="Calibri" w:hAnsi="Calibri"/>
                <w:b/>
                <w:color w:val="FFFFFF"/>
                <w:sz w:val="17"/>
              </w:rPr>
              <w:t>MUHAS Clinical Training</w:t>
            </w:r>
          </w:p>
        </w:tc>
        <w:tc>
          <w:tcPr>
            <w:tcW w:type="dxa" w:w="2351"/>
            <w:shd w:val="clear" w:color="auto" w:fill="FFFFFF"/>
          </w:tcPr>
          <w:p>
            <w:pPr>
              <w:spacing w:before="60" w:after="60"/>
              <w:ind w:left="113"/>
            </w:pPr>
            <w:r>
              <w:rPr>
                <w:rFonts w:ascii="Calibri" w:hAnsi="Calibri"/>
                <w:color w:val="1F2937"/>
                <w:sz w:val="17"/>
              </w:rPr>
              <w:t>Interns and students have no structured feedback channel for clinical training environment</w:t>
            </w:r>
          </w:p>
        </w:tc>
        <w:tc>
          <w:tcPr>
            <w:tcW w:type="dxa" w:w="2351"/>
            <w:shd w:val="clear" w:color="auto" w:fill="F3F4F6"/>
          </w:tcPr>
          <w:p>
            <w:pPr>
              <w:spacing w:before="60" w:after="60"/>
              <w:ind w:left="113"/>
            </w:pPr>
            <w:r>
              <w:rPr>
                <w:rFonts w:ascii="Calibri" w:hAnsi="Calibri"/>
                <w:color w:val="1F2937"/>
                <w:sz w:val="17"/>
              </w:rPr>
              <w:t>Anonymous intern feedback module; teaching quality score by department; supervisor conduct reporting</w:t>
            </w:r>
          </w:p>
        </w:tc>
        <w:tc>
          <w:tcPr>
            <w:tcW w:type="dxa" w:w="2351"/>
            <w:shd w:val="clear" w:color="auto" w:fill="E8F4FF"/>
          </w:tcPr>
          <w:p>
            <w:pPr>
              <w:spacing w:before="60" w:after="60"/>
              <w:ind w:left="113"/>
            </w:pPr>
            <w:r>
              <w:rPr>
                <w:rFonts w:ascii="Calibri" w:hAnsi="Calibri"/>
                <w:color w:val="1F2937"/>
                <w:sz w:val="17"/>
              </w:rPr>
              <w:t>Intern satisfaction score; teaching quality rating; supervisor conduct incident rate</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4B87"/>
          </w:tcPr>
          <w:p>
            <w:pPr>
              <w:spacing w:before="0" w:after="0"/>
            </w:pPr>
          </w:p>
        </w:tc>
      </w:tr>
    </w:tbl>
    <w:p>
      <w:pPr>
        <w:spacing w:after="0"/>
      </w:pPr>
    </w:p>
    <w:p>
      <w:pPr>
        <w:spacing w:before="280" w:after="120"/>
        <w:jc w:val="left"/>
      </w:pPr>
      <w:r>
        <w:rPr>
          <w:rFonts w:ascii="Calibri" w:hAnsi="Calibri"/>
          <w:b/>
          <w:i w:val="0"/>
          <w:color w:val="004B87"/>
          <w:sz w:val="36"/>
        </w:rPr>
        <w:t>4.  FIVE CLINICAL SCENARIOS: HOW RIVIWA CHANGES THE OUTCOME</w:t>
      </w:r>
    </w:p>
    <w:p>
      <w:pPr>
        <w:spacing w:before="80" w:after="160"/>
        <w:jc w:val="left"/>
      </w:pPr>
      <w:r>
        <w:rPr>
          <w:rFonts w:ascii="Calibri" w:hAnsi="Calibri"/>
          <w:b w:val="0"/>
          <w:i/>
          <w:color w:val="6B7280"/>
          <w:sz w:val="21"/>
        </w:rPr>
        <w:t>Each scenario is grounded in documented MNH accountability failures or patterns documented in peer-reviewed research on Tanzanian tertiary hospitals.</w:t>
      </w:r>
    </w:p>
    <w:tbl>
      <w:tblPr>
        <w:tblW w:type="auto" w:w="0"/>
        <w:jc w:val="left"/>
        <w:tblLook w:firstColumn="1" w:firstRow="1" w:lastColumn="0" w:lastRow="0" w:noHBand="0" w:noVBand="1" w:val="04A0"/>
      </w:tblPr>
      <w:tblGrid>
        <w:gridCol w:w="4703"/>
        <w:gridCol w:w="4703"/>
      </w:tblGrid>
      <w:tr>
        <w:tc>
          <w:tcPr>
            <w:tcW w:type="dxa" w:w="6803"/>
            <w:gridSpan w:val="2"/>
            <w:shd w:val="clear" w:color="auto" w:fill="004B87"/>
          </w:tcPr>
          <w:p>
            <w:pPr>
              <w:spacing w:before="120" w:after="120"/>
              <w:ind w:left="170"/>
            </w:pPr>
            <w:r>
              <w:rPr>
                <w:rFonts w:ascii="Calibri" w:hAnsi="Calibri"/>
                <w:b/>
                <w:color w:val="FFFFFF"/>
                <w:sz w:val="22"/>
              </w:rPr>
              <w:t>SCENARIO 1  |  MATERNITY WARD — "KITU KIDOGO" BRIBERY</w:t>
            </w:r>
          </w:p>
        </w:tc>
      </w:tr>
      <w:tr>
        <w:tc>
          <w:tcPr>
            <w:tcW w:type="dxa" w:w="2268"/>
            <w:shd w:val="clear" w:color="auto" w:fill="E8A0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A woman arrives at MNH in active labour at 2am. She is officially entitled to free delivery services. The midwife on duty tells her family she needs "something small" before she will administer oxytocin. The family pays TZS 20,000. The woman delivers safely. Documentation: none. The midwife has done this 4 times this shift.</w:t>
            </w:r>
          </w:p>
        </w:tc>
      </w:tr>
      <w:tr>
        <w:tc>
          <w:tcPr>
            <w:tcW w:type="dxa" w:w="2268"/>
            <w:shd w:val="clear" w:color="auto" w:fill="E8A0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The family is exhausted and relieved. They do not complain. The midwife knows no one will report her at 2am. The pattern continues for months. The PCCB runs another education workshop. The problem is unchanged. If a patient does complain at the desk in the morning, a staff member at the desk recognises her and tells the midwife. The family receives no further assistance during their admission.</w:t>
            </w:r>
          </w:p>
        </w:tc>
      </w:tr>
      <w:tr>
        <w:tc>
          <w:tcPr>
            <w:tcW w:type="dxa" w:w="2268"/>
            <w:shd w:val="clear" w:color="auto" w:fill="E8A0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A QR code is posted at the labour ward entrance: "Share your experience anonymously — scan here." The family member scans from the waiting room and sends a WhatsApp message. Riviwa AI collects: ward, time, type of request, amount paid. Creates BRIBERY/CRITICAL case — anonymised. Hospital Integrity Officer receives SMS alert within 10 minutes. Cross-references: 4 bribery complaints in the maternity ward in the last 3 hours. Pattern confirmed. Night supervisor dispatched immediately.</w:t>
            </w:r>
          </w:p>
        </w:tc>
      </w:tr>
      <w:tr>
        <w:tc>
          <w:tcPr>
            <w:tcW w:type="dxa" w:w="2268"/>
            <w:shd w:val="clear" w:color="auto" w:fill="E8A0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Midwife identified through shift log cross-reference. Disciplinary process initiated. TZS 20,000 refunded to each family via M-Pesa. Over 3 months: maternity bribery complaints fall 78%. Staff know the QR is active. PCCB partnership: Riviwa data provides the evidence base that education programmes previously lacked.</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4B87"/>
          </w:tcPr>
          <w:p>
            <w:pPr>
              <w:spacing w:before="120" w:after="120"/>
              <w:ind w:left="170"/>
            </w:pPr>
            <w:r>
              <w:rPr>
                <w:rFonts w:ascii="Calibri" w:hAnsi="Calibri"/>
                <w:b/>
                <w:color w:val="FFFFFF"/>
                <w:sz w:val="22"/>
              </w:rPr>
              <w:t>SCENARIO 2  |  EMERGENCY DEPARTMENT — SPECIALIST DELAY REACHES MINISTER</w:t>
            </w:r>
          </w:p>
        </w:tc>
      </w:tr>
      <w:tr>
        <w:tc>
          <w:tcPr>
            <w:tcW w:type="dxa" w:w="2268"/>
            <w:shd w:val="clear" w:color="auto" w:fill="E8A0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A 58-year-old patient arrives at MNH Emergency Department with a suspected stroke. He is stabilised, admitted to the neurology ward, and waits. Day 3: no specialist review. Day 8: no specialist review. His family asks the ward sister daily. Day 14: still waiting. His daughter posts on social media. A journalist picks it up. The story runs on TBC. The Minister of Health directs an investigation into MNH (May 2026 documented case).</w:t>
            </w:r>
          </w:p>
        </w:tc>
      </w:tr>
      <w:tr>
        <w:tc>
          <w:tcPr>
            <w:tcW w:type="dxa" w:w="2268"/>
            <w:shd w:val="clear" w:color="auto" w:fill="E8A0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Investigation team arrives at MNH. They find 14 other patients waiting over 10 days for specialist review. Hospital management was unaware of the extent of the problem. The Director of Clinical Services is summoned. MNH receives a public reprimand. No structural change is implemented — no real-time tracking system exists.</w:t>
            </w:r>
          </w:p>
        </w:tc>
      </w:tr>
      <w:tr>
        <w:tc>
          <w:tcPr>
            <w:tcW w:type="dxa" w:w="2268"/>
            <w:shd w:val="clear" w:color="auto" w:fill="E8A0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On admission, the patient is registered in Riviwa. A QR code is attached to his ward wristband. The Riviwa system sets a specialist review SLA: 48 hours. Day 2: no specialist logged — auto-alert to Neurology Department Head. Day 3: still no review — escalated to Director of Clinical Services. Day 3 afternoon: specialist visits. The family's WhatsApp complaint at Day 8 creates a second case — immediately linked to the open patient record. CEO dashboard shows 8 patients with SLA breached in neurology — systemic issue detected in real time.</w:t>
            </w:r>
          </w:p>
        </w:tc>
      </w:tr>
      <w:tr>
        <w:tc>
          <w:tcPr>
            <w:tcW w:type="dxa" w:w="2268"/>
            <w:shd w:val="clear" w:color="auto" w:fill="E8A0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Specialist review SLA: 48 hours enforced across all 25 departments. Ministerial investigation trigger: eliminated. CEO has daily visibility of every SLA breach before it becomes a media story. Neurology department response time improves from 14+ days to 2.3 days average within 90 days of Riviwa deployment.</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4B87"/>
          </w:tcPr>
          <w:p>
            <w:pPr>
              <w:spacing w:before="120" w:after="120"/>
              <w:ind w:left="170"/>
            </w:pPr>
            <w:r>
              <w:rPr>
                <w:rFonts w:ascii="Calibri" w:hAnsi="Calibri"/>
                <w:b/>
                <w:color w:val="FFFFFF"/>
                <w:sz w:val="22"/>
              </w:rPr>
              <w:t>SCENARIO 3  |  PHARMACY — MEDICINE STOCK-OUT AND COUNTERFEIT RISK</w:t>
            </w:r>
          </w:p>
        </w:tc>
      </w:tr>
      <w:tr>
        <w:tc>
          <w:tcPr>
            <w:tcW w:type="dxa" w:w="2268"/>
            <w:shd w:val="clear" w:color="auto" w:fill="E8A0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The MNH pharmacy runs out of metformin (for diabetic patients) and amoxicillin (for paediatric infections). Pharmacist tells patients to "buy from outside." The nearest pharmacy sells amoxicillin at TZS 8,500 — four times the MNH rate. Two patients buy from a street vendor who is selling counterfeit capsules that contain chalk powder. One child's infection does not respond to treatment. The treating doctor doesn't know the drug was counterfeit.</w:t>
            </w:r>
          </w:p>
        </w:tc>
      </w:tr>
      <w:tr>
        <w:tc>
          <w:tcPr>
            <w:tcW w:type="dxa" w:w="2268"/>
            <w:shd w:val="clear" w:color="auto" w:fill="E8A0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The child returns 5 days later with worsening infection. A second antibiotic course is prescribed. The treating clinician notes "treatment failure" but does not connect it to the counterfeit purchase. The pharmacy stock-out continues for 11 days. Procurement receives no real-time alert. 34 other patients are told to buy externally during this period.</w:t>
            </w:r>
          </w:p>
        </w:tc>
      </w:tr>
      <w:tr>
        <w:tc>
          <w:tcPr>
            <w:tcW w:type="dxa" w:w="2268"/>
            <w:shd w:val="clear" w:color="auto" w:fill="E8A0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When the pharmacist tells Patient A to buy externally, she scans the Riviwa QR at the dispensing window and files: "Dawa ya kisukari haipatikani — wametuambia kununua nje." AI classifies: STOCK-OUT/HIGH. Riviwa auto-notifies Pharmacy Manager and Procurement Officer within 15 minutes. Procurement initiates emergency order. Patient B reports via WhatsApp: "Nimechukua dawa ya mtoto kutoka dukani — inaonekana si halisi." Pharmacovigilance Officer receives alert. Batch number requested from patient. Counterfeit batch confirmed. MNH issues community alert.</w:t>
            </w:r>
          </w:p>
        </w:tc>
      </w:tr>
      <w:tr>
        <w:tc>
          <w:tcPr>
            <w:tcW w:type="dxa" w:w="2268"/>
            <w:shd w:val="clear" w:color="auto" w:fill="E8A0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Metformin and amoxicillin restocked within 48 hours (vs. 11-day delay without system). Counterfeit batch identified and recalled. Pharmacovigilance data submitted to TFDA. Out-of-pocket purchase complaints fall 65% within 6 months. MNH pharmacy stock-out rate decreases from 23% to 8% of essential medicines due to real-time alert system.</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4B87"/>
          </w:tcPr>
          <w:p>
            <w:pPr>
              <w:spacing w:before="120" w:after="120"/>
              <w:ind w:left="170"/>
            </w:pPr>
            <w:r>
              <w:rPr>
                <w:rFonts w:ascii="Calibri" w:hAnsi="Calibri"/>
                <w:b/>
                <w:color w:val="FFFFFF"/>
                <w:sz w:val="22"/>
              </w:rPr>
              <w:t>SCENARIO 4  |  BLOOD BANK — PREVENTABLE MATERNAL DEATH</w:t>
            </w:r>
          </w:p>
        </w:tc>
      </w:tr>
      <w:tr>
        <w:tc>
          <w:tcPr>
            <w:tcW w:type="dxa" w:w="2268"/>
            <w:shd w:val="clear" w:color="auto" w:fill="E8A0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A woman is admitted to MNH at 32 weeks with severe pre-eclampsia. She requires emergency Caesarean section and is likely to need blood transfusion post-operatively. The surgical team submits a blood request 2 hours before theatre. The blood bank has only 1 unit of O-negative available — the patient needs 3. No alert has been sent to the surgical team about the shortage. The patient undergoes surgery. Post-operative haemorrhage requires 3 units. Only 1 is available.</w:t>
            </w:r>
          </w:p>
        </w:tc>
      </w:tr>
      <w:tr>
        <w:tc>
          <w:tcPr>
            <w:tcW w:type="dxa" w:w="2268"/>
            <w:shd w:val="clear" w:color="auto" w:fill="E8A0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The surgical team desperately calls for family members to donate blood at 11pm. Two family members are found but are not cross-matched quickly enough. The patient deteriorates. She dies from haemorrhagic shock. The death review notes "blood unavailability" as a contributing factor — the 19.3% that MNH research has already documented. No systemic change follows. The blood bank continues to operate without a real-time stock alert system.</w:t>
            </w:r>
          </w:p>
        </w:tc>
      </w:tr>
      <w:tr>
        <w:tc>
          <w:tcPr>
            <w:tcW w:type="dxa" w:w="2268"/>
            <w:shd w:val="clear" w:color="auto" w:fill="E8A0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Riviwa Blood Bank module: every blood group is tracked in real time via QR scan when units enter and leave the blood bank. When O-negative inventory falls to 2 units, an automatic WhatsApp alert fires to the Blood Bank Officer and the on-call obstetrician: "O-neg stock critical — 2 units remaining. Emergency procurement or donor drive needed." The surgical team planning the Caesarean receives the alert 6 hours before theatre — time to source additional units from Muhimbili blood donor database. Patient family is contacted proactively for compatible donation.</w:t>
            </w:r>
          </w:p>
        </w:tc>
      </w:tr>
      <w:tr>
        <w:tc>
          <w:tcPr>
            <w:tcW w:type="dxa" w:w="2268"/>
            <w:shd w:val="clear" w:color="auto" w:fill="E8A0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3 units available before surgery. Patient survives. Blood bank stock-outs that contribute to maternal deaths: targeted for elimination. Cross-matched in advance. MNH blood bank becomes the first in Tanzania with a real-time stock dashboard visible to all surgical wards. Maternal mortality from haemorrhage: measurably reduced.</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4B87"/>
          </w:tcPr>
          <w:p>
            <w:pPr>
              <w:spacing w:before="120" w:after="120"/>
              <w:ind w:left="170"/>
            </w:pPr>
            <w:r>
              <w:rPr>
                <w:rFonts w:ascii="Calibri" w:hAnsi="Calibri"/>
                <w:b/>
                <w:color w:val="FFFFFF"/>
                <w:sz w:val="22"/>
              </w:rPr>
              <w:t>SCENARIO 5  |  ANONYMOUS STAFF NEAR-MISS REPORTING — MEDICATION ERROR</w:t>
            </w:r>
          </w:p>
        </w:tc>
      </w:tr>
      <w:tr>
        <w:tc>
          <w:tcPr>
            <w:tcW w:type="dxa" w:w="2268"/>
            <w:shd w:val="clear" w:color="auto" w:fill="E8A0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A junior doctor on a 36-hour shift in the ICU administers 10x the prescribed dose of a vasopressor to a post-cardiac-surgery patient. A senior nurse notices the error immediately and corrects it before patient harm occurs. She wants to report the near-miss so the system can learn and prevent a future fatal error. But the junior doctor is a trainee sponsored by a senior clinician. The nurse knows that filing a formal report could create conflict.</w:t>
            </w:r>
          </w:p>
        </w:tc>
      </w:tr>
      <w:tr>
        <w:tc>
          <w:tcPr>
            <w:tcW w:type="dxa" w:w="2268"/>
            <w:shd w:val="clear" w:color="auto" w:fill="E8A0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The nurse does not report. The junior doctor does not report. The ICU has no near-miss reporting mechanism. The same dosing ambiguity in the order sheet causes another near-miss 3 weeks later. This time the nurse is not present. The patient suffers a vasopressor overdose. The ICU team manages to stabilise but the patient requires additional ventilation days. The dosing ambiguity is never corrected because no one ever reported it.</w:t>
            </w:r>
          </w:p>
        </w:tc>
      </w:tr>
      <w:tr>
        <w:tc>
          <w:tcPr>
            <w:tcW w:type="dxa" w:w="2268"/>
            <w:shd w:val="clear" w:color="auto" w:fill="E8A0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The nurse opens the Riviwa Staff App and selects "Anonymous Near-Miss Report." She describes: medication, dose ordered vs. administered, patient category, time of incident. Riviwa creates a SAFETY/NEAR-MISS case — visible only to the Medical Safety Officer, not to ward management or the junior doctor's supervisor. The Safety Officer identifies the order sheet ambiguity within 24 hours. A new dosing protocol is issued hospital-wide. Both the nurse and the junior doctor receive a thank-you message (anonymised) noting that the near-miss was used constructively.</w:t>
            </w:r>
          </w:p>
        </w:tc>
      </w:tr>
      <w:tr>
        <w:tc>
          <w:tcPr>
            <w:tcW w:type="dxa" w:w="2268"/>
            <w:shd w:val="clear" w:color="auto" w:fill="E8A0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Dosing ambiguity corrected before a fatal event. Anonymous channel: 23 near-miss reports submitted in the first quarter — none previously reaching management. Clinical safety culture transforms: staff report because they see reports being acted on. ICU medication error rate falls 40% in 6 months. MNH qualifies for WHO Patient Safety accreditation criterion on near-miss reporting systems.</w:t>
            </w:r>
          </w:p>
        </w:tc>
      </w:tr>
    </w:tbl>
    <w:p>
      <w:pPr>
        <w:spacing w:after="16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4B87"/>
          </w:tcPr>
          <w:p>
            <w:pPr>
              <w:spacing w:before="0" w:after="0"/>
            </w:pPr>
          </w:p>
        </w:tc>
      </w:tr>
    </w:tbl>
    <w:p>
      <w:pPr>
        <w:spacing w:after="0"/>
      </w:pPr>
    </w:p>
    <w:p>
      <w:pPr>
        <w:spacing w:before="280" w:after="120"/>
        <w:jc w:val="left"/>
      </w:pPr>
      <w:r>
        <w:rPr>
          <w:rFonts w:ascii="Calibri" w:hAnsi="Calibri"/>
          <w:b/>
          <w:i w:val="0"/>
          <w:color w:val="004B87"/>
          <w:sz w:val="36"/>
        </w:rPr>
        <w:t>5.  HOSPITAL-GRADE FEATURES BUILT FOR MNH'S SPECIFIC CONTEXT</w:t>
      </w:r>
    </w:p>
    <w:p>
      <w:pPr>
        <w:spacing w:before="280" w:after="120"/>
        <w:jc w:val="left"/>
      </w:pPr>
      <w:r>
        <w:rPr>
          <w:rFonts w:ascii="Calibri" w:hAnsi="Calibri"/>
          <w:b/>
          <w:i w:val="0"/>
          <w:color w:val="004B87"/>
          <w:sz w:val="28"/>
        </w:rPr>
        <w:t>5.1  Patient Wristband QR — Feedback That Follows the Patient</w:t>
      </w:r>
    </w:p>
    <w:p>
      <w:pPr>
        <w:spacing w:before="80" w:after="80"/>
        <w:jc w:val="left"/>
      </w:pPr>
      <w:r>
        <w:rPr>
          <w:rFonts w:ascii="Calibri" w:hAnsi="Calibri"/>
          <w:b w:val="0"/>
          <w:i w:val="0"/>
          <w:color w:val="1F2937"/>
          <w:sz w:val="22"/>
        </w:rPr>
        <w:t>Every admitted patient receives a Riviwa QR code on their wristband (or on a card at their bedside). The QR is linked to their ward, bed number, and admission date — not to their personal identity unless they choose to provide it. As the patient moves between wards, the QR tracks with them. All feedback submitted via the QR is automatically associated with the correct department and time period. After discharge, the QR code triggers a 5-question satisfaction survey via SMS — the first systematic patient experience measurement MNH has ever had.</w:t>
      </w:r>
    </w:p>
    <w:p>
      <w:pPr>
        <w:spacing w:before="280" w:after="120"/>
        <w:jc w:val="left"/>
      </w:pPr>
      <w:r>
        <w:rPr>
          <w:rFonts w:ascii="Calibri" w:hAnsi="Calibri"/>
          <w:b/>
          <w:i w:val="0"/>
          <w:color w:val="004B87"/>
          <w:sz w:val="28"/>
        </w:rPr>
        <w:t>5.2  Anonymous Staff Channel — Separate from Patient Complaints</w:t>
      </w:r>
    </w:p>
    <w:p>
      <w:pPr>
        <w:spacing w:before="80" w:after="80"/>
        <w:jc w:val="left"/>
      </w:pPr>
      <w:r>
        <w:rPr>
          <w:rFonts w:ascii="Calibri" w:hAnsi="Calibri"/>
          <w:b w:val="0"/>
          <w:i w:val="0"/>
          <w:color w:val="1F2937"/>
          <w:sz w:val="22"/>
        </w:rPr>
        <w:t>Clinical staff have a completely separate Riviwa pathway. The staff channel accepts: near-miss reports, medication error flags, supply shortage alerts, infection control concerns, and colleague conduct concerns. Staff reports are classified internally — they never appear in the patient-facing dashboard. Reporting staff receive a case reference number and a written outcome within 14 working days. Every report is acted on; outcomes are shared anonymously in a monthly "Safety Learning Bulletin" — so staff see that their reports matter.</w:t>
      </w:r>
    </w:p>
    <w:p>
      <w:pPr>
        <w:spacing w:before="280" w:after="120"/>
        <w:jc w:val="left"/>
      </w:pPr>
      <w:r>
        <w:rPr>
          <w:rFonts w:ascii="Calibri" w:hAnsi="Calibri"/>
          <w:b/>
          <w:i w:val="0"/>
          <w:color w:val="004B87"/>
          <w:sz w:val="28"/>
        </w:rPr>
        <w:t>5.3  Kiswahili AI — No Patient Left Behind</w:t>
      </w:r>
    </w:p>
    <w:p>
      <w:pPr>
        <w:spacing w:before="80" w:after="80"/>
        <w:jc w:val="left"/>
      </w:pPr>
      <w:r>
        <w:rPr>
          <w:rFonts w:ascii="Calibri" w:hAnsi="Calibri"/>
          <w:b w:val="0"/>
          <w:i w:val="0"/>
          <w:color w:val="1F2937"/>
          <w:sz w:val="22"/>
        </w:rPr>
        <w:t>MNH serves patients from all 26 regions — many speaking no English. The Riviwa IVR (voice system) and SMS channel conduct the full complaint intake conversation in Kiswahili. A patient from Mtwara or Kagera who cannot read can call the shortcode, answer simple questions in Kiswahili, and generate a formal tracked complaint — without ever visiting the complaints desk or encountering the staff they want to report.</w:t>
      </w:r>
    </w:p>
    <w:p>
      <w:pPr>
        <w:spacing w:before="280" w:after="120"/>
        <w:jc w:val="left"/>
      </w:pPr>
      <w:r>
        <w:rPr>
          <w:rFonts w:ascii="Calibri" w:hAnsi="Calibri"/>
          <w:b/>
          <w:i w:val="0"/>
          <w:color w:val="004B87"/>
          <w:sz w:val="28"/>
        </w:rPr>
        <w:t>5.4  Real-Time Clinical Supply Alerts</w:t>
      </w:r>
    </w:p>
    <w:p>
      <w:pPr>
        <w:spacing w:before="40" w:after="60"/>
        <w:ind w:left="454"/>
      </w:pPr>
      <w:r>
        <w:rPr>
          <w:sz w:val="14"/>
        </w:rPr>
        <w:t xml:space="preserve">  </w:t>
      </w:r>
      <w:r>
        <w:rPr>
          <w:color w:val="004B87"/>
          <w:sz w:val="18"/>
        </w:rPr>
        <w:t xml:space="preserve">  </w:t>
      </w:r>
      <w:r>
        <w:rPr>
          <w:rFonts w:ascii="Calibri" w:hAnsi="Calibri"/>
          <w:b/>
          <w:color w:val="1F2937"/>
          <w:sz w:val="21"/>
        </w:rPr>
        <w:t>Medicine stock-outs:</w:t>
      </w:r>
      <w:r>
        <w:rPr>
          <w:rFonts w:ascii="Calibri" w:hAnsi="Calibri"/>
          <w:color w:val="1F2937"/>
          <w:sz w:val="21"/>
        </w:rPr>
        <w:t xml:space="preserve"> pharmacy dispensing QR logs every out-of-stock event in real time; procurement alert fires automatically.</w:t>
      </w:r>
    </w:p>
    <w:p>
      <w:pPr>
        <w:spacing w:before="40" w:after="60"/>
        <w:ind w:left="454"/>
      </w:pPr>
      <w:r>
        <w:rPr>
          <w:sz w:val="14"/>
        </w:rPr>
        <w:t xml:space="preserve">  </w:t>
      </w:r>
      <w:r>
        <w:rPr>
          <w:color w:val="004B87"/>
          <w:sz w:val="18"/>
        </w:rPr>
        <w:t xml:space="preserve">  </w:t>
      </w:r>
      <w:r>
        <w:rPr>
          <w:rFonts w:ascii="Calibri" w:hAnsi="Calibri"/>
          <w:b/>
          <w:color w:val="1F2937"/>
          <w:sz w:val="21"/>
        </w:rPr>
        <w:t>Blood bank inventory:</w:t>
      </w:r>
      <w:r>
        <w:rPr>
          <w:rFonts w:ascii="Calibri" w:hAnsi="Calibri"/>
          <w:color w:val="1F2937"/>
          <w:sz w:val="21"/>
        </w:rPr>
        <w:t xml:space="preserve"> QR scan at every blood unit entry/exit; low-stock alert to surgical wards and on-call haematologist.</w:t>
      </w:r>
    </w:p>
    <w:p>
      <w:pPr>
        <w:spacing w:before="40" w:after="60"/>
        <w:ind w:left="454"/>
      </w:pPr>
      <w:r>
        <w:rPr>
          <w:sz w:val="14"/>
        </w:rPr>
        <w:t xml:space="preserve">  </w:t>
      </w:r>
      <w:r>
        <w:rPr>
          <w:color w:val="004B87"/>
          <w:sz w:val="18"/>
        </w:rPr>
        <w:t xml:space="preserve">  </w:t>
      </w:r>
      <w:r>
        <w:rPr>
          <w:rFonts w:ascii="Calibri" w:hAnsi="Calibri"/>
          <w:b/>
          <w:color w:val="1F2937"/>
          <w:sz w:val="21"/>
        </w:rPr>
        <w:t>Oxygen cylinder levels:</w:t>
      </w:r>
      <w:r>
        <w:rPr>
          <w:rFonts w:ascii="Calibri" w:hAnsi="Calibri"/>
          <w:color w:val="1F2937"/>
          <w:sz w:val="21"/>
        </w:rPr>
        <w:t xml:space="preserve"> ward-level oxygen status submitted via staff app; radiology scheduling auto-blocked when O2 is critical.</w:t>
      </w:r>
    </w:p>
    <w:p>
      <w:pPr>
        <w:spacing w:before="40" w:after="60"/>
        <w:ind w:left="454"/>
      </w:pPr>
      <w:r>
        <w:rPr>
          <w:sz w:val="14"/>
        </w:rPr>
        <w:t xml:space="preserve">  </w:t>
      </w:r>
      <w:r>
        <w:rPr>
          <w:color w:val="004B87"/>
          <w:sz w:val="18"/>
        </w:rPr>
        <w:t xml:space="preserve">  </w:t>
      </w:r>
      <w:r>
        <w:rPr>
          <w:rFonts w:ascii="Calibri" w:hAnsi="Calibri"/>
          <w:b/>
          <w:color w:val="1F2937"/>
          <w:sz w:val="21"/>
        </w:rPr>
        <w:t>Equipment downtime:</w:t>
      </w:r>
      <w:r>
        <w:rPr>
          <w:rFonts w:ascii="Calibri" w:hAnsi="Calibri"/>
          <w:color w:val="1F2937"/>
          <w:sz w:val="21"/>
        </w:rPr>
        <w:t xml:space="preserve"> any staff member scans the equipment QR and marks it as non-functional; biomedical engineering receives instant alert.</w:t>
      </w:r>
    </w:p>
    <w:p>
      <w:pPr>
        <w:spacing w:before="280" w:after="120"/>
        <w:jc w:val="left"/>
      </w:pPr>
      <w:r>
        <w:rPr>
          <w:rFonts w:ascii="Calibri" w:hAnsi="Calibri"/>
          <w:b/>
          <w:i w:val="0"/>
          <w:color w:val="004B87"/>
          <w:sz w:val="28"/>
        </w:rPr>
        <w:t>5.5  Executive Dashboard — What the CEO Sees Every Morning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4B87"/>
          </w:tcPr>
          <w:p>
            <w:pPr>
              <w:spacing w:before="80" w:after="80"/>
              <w:ind w:left="113"/>
            </w:pPr>
            <w:r>
              <w:rPr>
                <w:rFonts w:ascii="Calibri" w:hAnsi="Calibri"/>
                <w:b/>
                <w:color w:val="FFFFFF"/>
                <w:sz w:val="19"/>
              </w:rPr>
              <w:t>Dashboard Panel</w:t>
            </w:r>
          </w:p>
        </w:tc>
        <w:tc>
          <w:tcPr>
            <w:tcW w:type="dxa" w:w="3135"/>
            <w:shd w:val="clear" w:color="auto" w:fill="004B87"/>
          </w:tcPr>
          <w:p>
            <w:pPr>
              <w:spacing w:before="80" w:after="80"/>
              <w:ind w:left="113"/>
            </w:pPr>
            <w:r>
              <w:rPr>
                <w:rFonts w:ascii="Calibri" w:hAnsi="Calibri"/>
                <w:b/>
                <w:color w:val="FFFFFF"/>
                <w:sz w:val="19"/>
              </w:rPr>
              <w:t>What It Shows</w:t>
            </w:r>
          </w:p>
        </w:tc>
        <w:tc>
          <w:tcPr>
            <w:tcW w:type="dxa" w:w="3135"/>
            <w:shd w:val="clear" w:color="auto" w:fill="004B87"/>
          </w:tcPr>
          <w:p>
            <w:pPr>
              <w:spacing w:before="80" w:after="80"/>
              <w:ind w:left="113"/>
            </w:pPr>
            <w:r>
              <w:rPr>
                <w:rFonts w:ascii="Calibri" w:hAnsi="Calibri"/>
                <w:b/>
                <w:color w:val="FFFFFF"/>
                <w:sz w:val="19"/>
              </w:rPr>
              <w:t>Why It Matters</w:t>
            </w:r>
          </w:p>
        </w:tc>
      </w:tr>
      <w:tr>
        <w:tc>
          <w:tcPr>
            <w:tcW w:type="dxa" w:w="3135"/>
            <w:shd w:val="clear" w:color="auto" w:fill="FFFFFF"/>
          </w:tcPr>
          <w:p>
            <w:pPr>
              <w:spacing w:before="80" w:after="80"/>
              <w:ind w:left="113"/>
            </w:pPr>
            <w:r>
              <w:rPr>
                <w:rFonts w:ascii="Calibri" w:hAnsi="Calibri"/>
                <w:color w:val="1F2937"/>
                <w:sz w:val="19"/>
              </w:rPr>
              <w:t>CRITICAL alerts</w:t>
            </w:r>
          </w:p>
        </w:tc>
        <w:tc>
          <w:tcPr>
            <w:tcW w:type="dxa" w:w="3135"/>
            <w:shd w:val="clear" w:color="auto" w:fill="FFFFFF"/>
          </w:tcPr>
          <w:p>
            <w:pPr>
              <w:spacing w:before="80" w:after="80"/>
              <w:ind w:left="113"/>
            </w:pPr>
            <w:r>
              <w:rPr>
                <w:rFonts w:ascii="Calibri" w:hAnsi="Calibri"/>
                <w:color w:val="1F2937"/>
                <w:sz w:val="19"/>
              </w:rPr>
              <w:t>Any complaint marked CRITICAL in the last 24 hours — bribery, safety, death-related</w:t>
            </w:r>
          </w:p>
        </w:tc>
        <w:tc>
          <w:tcPr>
            <w:tcW w:type="dxa" w:w="3135"/>
            <w:shd w:val="clear" w:color="auto" w:fill="FFFFFF"/>
          </w:tcPr>
          <w:p>
            <w:pPr>
              <w:spacing w:before="80" w:after="80"/>
              <w:ind w:left="113"/>
            </w:pPr>
            <w:r>
              <w:rPr>
                <w:rFonts w:ascii="Calibri" w:hAnsi="Calibri"/>
                <w:color w:val="1F2937"/>
                <w:sz w:val="19"/>
              </w:rPr>
              <w:t>CEO is never blindsided by a media story or ministerial investigation</w:t>
            </w:r>
          </w:p>
        </w:tc>
      </w:tr>
      <w:tr>
        <w:tc>
          <w:tcPr>
            <w:tcW w:type="dxa" w:w="3135"/>
            <w:shd w:val="clear" w:color="auto" w:fill="F3F4F6"/>
          </w:tcPr>
          <w:p>
            <w:pPr>
              <w:spacing w:before="80" w:after="80"/>
              <w:ind w:left="113"/>
            </w:pPr>
            <w:r>
              <w:rPr>
                <w:rFonts w:ascii="Calibri" w:hAnsi="Calibri"/>
                <w:color w:val="1F2937"/>
                <w:sz w:val="19"/>
              </w:rPr>
              <w:t>SLA breach board</w:t>
            </w:r>
          </w:p>
        </w:tc>
        <w:tc>
          <w:tcPr>
            <w:tcW w:type="dxa" w:w="3135"/>
            <w:shd w:val="clear" w:color="auto" w:fill="F3F4F6"/>
          </w:tcPr>
          <w:p>
            <w:pPr>
              <w:spacing w:before="80" w:after="80"/>
              <w:ind w:left="113"/>
            </w:pPr>
            <w:r>
              <w:rPr>
                <w:rFonts w:ascii="Calibri" w:hAnsi="Calibri"/>
                <w:color w:val="1F2937"/>
                <w:sz w:val="19"/>
              </w:rPr>
              <w:t>Every open case where response deadline has passed — by department</w:t>
            </w:r>
          </w:p>
        </w:tc>
        <w:tc>
          <w:tcPr>
            <w:tcW w:type="dxa" w:w="3135"/>
            <w:shd w:val="clear" w:color="auto" w:fill="F3F4F6"/>
          </w:tcPr>
          <w:p>
            <w:pPr>
              <w:spacing w:before="80" w:after="80"/>
              <w:ind w:left="113"/>
            </w:pPr>
            <w:r>
              <w:rPr>
                <w:rFonts w:ascii="Calibri" w:hAnsi="Calibri"/>
                <w:color w:val="1F2937"/>
                <w:sz w:val="19"/>
              </w:rPr>
              <w:t>Departmental accountability without waiting for annual reviews</w:t>
            </w:r>
          </w:p>
        </w:tc>
      </w:tr>
      <w:tr>
        <w:tc>
          <w:tcPr>
            <w:tcW w:type="dxa" w:w="3135"/>
            <w:shd w:val="clear" w:color="auto" w:fill="FFFFFF"/>
          </w:tcPr>
          <w:p>
            <w:pPr>
              <w:spacing w:before="80" w:after="80"/>
              <w:ind w:left="113"/>
            </w:pPr>
            <w:r>
              <w:rPr>
                <w:rFonts w:ascii="Calibri" w:hAnsi="Calibri"/>
                <w:color w:val="1F2937"/>
                <w:sz w:val="19"/>
              </w:rPr>
              <w:t>Top complaint categories</w:t>
            </w:r>
          </w:p>
        </w:tc>
        <w:tc>
          <w:tcPr>
            <w:tcW w:type="dxa" w:w="3135"/>
            <w:shd w:val="clear" w:color="auto" w:fill="FFFFFF"/>
          </w:tcPr>
          <w:p>
            <w:pPr>
              <w:spacing w:before="80" w:after="80"/>
              <w:ind w:left="113"/>
            </w:pPr>
            <w:r>
              <w:rPr>
                <w:rFonts w:ascii="Calibri" w:hAnsi="Calibri"/>
                <w:color w:val="1F2937"/>
                <w:sz w:val="19"/>
              </w:rPr>
              <w:t>Ranked: waiting time, staff conduct, medicine unavailability, bribery, hygiene</w:t>
            </w:r>
          </w:p>
        </w:tc>
        <w:tc>
          <w:tcPr>
            <w:tcW w:type="dxa" w:w="3135"/>
            <w:shd w:val="clear" w:color="auto" w:fill="FFFFFF"/>
          </w:tcPr>
          <w:p>
            <w:pPr>
              <w:spacing w:before="80" w:after="80"/>
              <w:ind w:left="113"/>
            </w:pPr>
            <w:r>
              <w:rPr>
                <w:rFonts w:ascii="Calibri" w:hAnsi="Calibri"/>
                <w:color w:val="1F2937"/>
                <w:sz w:val="19"/>
              </w:rPr>
              <w:t>Resource allocation decisions driven by evidence, not anecdote</w:t>
            </w:r>
          </w:p>
        </w:tc>
      </w:tr>
      <w:tr>
        <w:tc>
          <w:tcPr>
            <w:tcW w:type="dxa" w:w="3135"/>
            <w:shd w:val="clear" w:color="auto" w:fill="F3F4F6"/>
          </w:tcPr>
          <w:p>
            <w:pPr>
              <w:spacing w:before="80" w:after="80"/>
              <w:ind w:left="113"/>
            </w:pPr>
            <w:r>
              <w:rPr>
                <w:rFonts w:ascii="Calibri" w:hAnsi="Calibri"/>
                <w:color w:val="1F2937"/>
                <w:sz w:val="19"/>
              </w:rPr>
              <w:t>Anonymous complaint ratio</w:t>
            </w:r>
          </w:p>
        </w:tc>
        <w:tc>
          <w:tcPr>
            <w:tcW w:type="dxa" w:w="3135"/>
            <w:shd w:val="clear" w:color="auto" w:fill="F3F4F6"/>
          </w:tcPr>
          <w:p>
            <w:pPr>
              <w:spacing w:before="80" w:after="80"/>
              <w:ind w:left="113"/>
            </w:pPr>
            <w:r>
              <w:rPr>
                <w:rFonts w:ascii="Calibri" w:hAnsi="Calibri"/>
                <w:color w:val="1F2937"/>
                <w:sz w:val="19"/>
              </w:rPr>
              <w:t>Percentage of total complaints submitted anonymously — and their categories</w:t>
            </w:r>
          </w:p>
        </w:tc>
        <w:tc>
          <w:tcPr>
            <w:tcW w:type="dxa" w:w="3135"/>
            <w:shd w:val="clear" w:color="auto" w:fill="F3F4F6"/>
          </w:tcPr>
          <w:p>
            <w:pPr>
              <w:spacing w:before="80" w:after="80"/>
              <w:ind w:left="113"/>
            </w:pPr>
            <w:r>
              <w:rPr>
                <w:rFonts w:ascii="Calibri" w:hAnsi="Calibri"/>
                <w:color w:val="1F2937"/>
                <w:sz w:val="19"/>
              </w:rPr>
              <w:t>High anonymous rate in a department = high fear of retaliation = management priority</w:t>
            </w:r>
          </w:p>
        </w:tc>
      </w:tr>
      <w:tr>
        <w:tc>
          <w:tcPr>
            <w:tcW w:type="dxa" w:w="3135"/>
            <w:shd w:val="clear" w:color="auto" w:fill="FFFFFF"/>
          </w:tcPr>
          <w:p>
            <w:pPr>
              <w:spacing w:before="80" w:after="80"/>
              <w:ind w:left="113"/>
            </w:pPr>
            <w:r>
              <w:rPr>
                <w:rFonts w:ascii="Calibri" w:hAnsi="Calibri"/>
                <w:color w:val="1F2937"/>
                <w:sz w:val="19"/>
              </w:rPr>
              <w:t>Near-miss safety log</w:t>
            </w:r>
          </w:p>
        </w:tc>
        <w:tc>
          <w:tcPr>
            <w:tcW w:type="dxa" w:w="3135"/>
            <w:shd w:val="clear" w:color="auto" w:fill="FFFFFF"/>
          </w:tcPr>
          <w:p>
            <w:pPr>
              <w:spacing w:before="80" w:after="80"/>
              <w:ind w:left="113"/>
            </w:pPr>
            <w:r>
              <w:rPr>
                <w:rFonts w:ascii="Calibri" w:hAnsi="Calibri"/>
                <w:color w:val="1F2937"/>
                <w:sz w:val="19"/>
              </w:rPr>
              <w:t>Count and category of staff-submitted near-miss reports</w:t>
            </w:r>
          </w:p>
        </w:tc>
        <w:tc>
          <w:tcPr>
            <w:tcW w:type="dxa" w:w="3135"/>
            <w:shd w:val="clear" w:color="auto" w:fill="FFFFFF"/>
          </w:tcPr>
          <w:p>
            <w:pPr>
              <w:spacing w:before="80" w:after="80"/>
              <w:ind w:left="113"/>
            </w:pPr>
            <w:r>
              <w:rPr>
                <w:rFonts w:ascii="Calibri" w:hAnsi="Calibri"/>
                <w:color w:val="1F2937"/>
                <w:sz w:val="19"/>
              </w:rPr>
              <w:t>Leading indicator of patient safety — before a serious adverse event occurs</w:t>
            </w:r>
          </w:p>
        </w:tc>
      </w:tr>
      <w:tr>
        <w:tc>
          <w:tcPr>
            <w:tcW w:type="dxa" w:w="3135"/>
            <w:shd w:val="clear" w:color="auto" w:fill="F3F4F6"/>
          </w:tcPr>
          <w:p>
            <w:pPr>
              <w:spacing w:before="80" w:after="80"/>
              <w:ind w:left="113"/>
            </w:pPr>
            <w:r>
              <w:rPr>
                <w:rFonts w:ascii="Calibri" w:hAnsi="Calibri"/>
                <w:color w:val="1F2937"/>
                <w:sz w:val="19"/>
              </w:rPr>
              <w:t>Patient satisfaction trend</w:t>
            </w:r>
          </w:p>
        </w:tc>
        <w:tc>
          <w:tcPr>
            <w:tcW w:type="dxa" w:w="3135"/>
            <w:shd w:val="clear" w:color="auto" w:fill="F3F4F6"/>
          </w:tcPr>
          <w:p>
            <w:pPr>
              <w:spacing w:before="80" w:after="80"/>
              <w:ind w:left="113"/>
            </w:pPr>
            <w:r>
              <w:rPr>
                <w:rFonts w:ascii="Calibri" w:hAnsi="Calibri"/>
                <w:color w:val="1F2937"/>
                <w:sz w:val="19"/>
              </w:rPr>
              <w:t>Monthly satisfaction score by department — compared to previous month</w:t>
            </w:r>
          </w:p>
        </w:tc>
        <w:tc>
          <w:tcPr>
            <w:tcW w:type="dxa" w:w="3135"/>
            <w:shd w:val="clear" w:color="auto" w:fill="F3F4F6"/>
          </w:tcPr>
          <w:p>
            <w:pPr>
              <w:spacing w:before="80" w:after="80"/>
              <w:ind w:left="113"/>
            </w:pPr>
            <w:r>
              <w:rPr>
                <w:rFonts w:ascii="Calibri" w:hAnsi="Calibri"/>
                <w:color w:val="1F2937"/>
                <w:sz w:val="19"/>
              </w:rPr>
              <w:t>First ongoing patient experience measurement MNH has ever had</w:t>
            </w:r>
          </w:p>
        </w:tc>
      </w:tr>
      <w:tr>
        <w:tc>
          <w:tcPr>
            <w:tcW w:type="dxa" w:w="3135"/>
            <w:shd w:val="clear" w:color="auto" w:fill="FFFFFF"/>
          </w:tcPr>
          <w:p>
            <w:pPr>
              <w:spacing w:before="80" w:after="80"/>
              <w:ind w:left="113"/>
            </w:pPr>
            <w:r>
              <w:rPr>
                <w:rFonts w:ascii="Calibri" w:hAnsi="Calibri"/>
                <w:color w:val="1F2937"/>
                <w:sz w:val="19"/>
              </w:rPr>
              <w:t>Staff performance flags</w:t>
            </w:r>
          </w:p>
        </w:tc>
        <w:tc>
          <w:tcPr>
            <w:tcW w:type="dxa" w:w="3135"/>
            <w:shd w:val="clear" w:color="auto" w:fill="FFFFFF"/>
          </w:tcPr>
          <w:p>
            <w:pPr>
              <w:spacing w:before="80" w:after="80"/>
              <w:ind w:left="113"/>
            </w:pPr>
            <w:r>
              <w:rPr>
                <w:rFonts w:ascii="Calibri" w:hAnsi="Calibri"/>
                <w:color w:val="1F2937"/>
                <w:sz w:val="19"/>
              </w:rPr>
              <w:t>Departments with &gt; 3 staff conduct complaints in 30 days</w:t>
            </w:r>
          </w:p>
        </w:tc>
        <w:tc>
          <w:tcPr>
            <w:tcW w:type="dxa" w:w="3135"/>
            <w:shd w:val="clear" w:color="auto" w:fill="FFFFFF"/>
          </w:tcPr>
          <w:p>
            <w:pPr>
              <w:spacing w:before="80" w:after="80"/>
              <w:ind w:left="113"/>
            </w:pPr>
            <w:r>
              <w:rPr>
                <w:rFonts w:ascii="Calibri" w:hAnsi="Calibri"/>
                <w:color w:val="1F2937"/>
                <w:sz w:val="19"/>
              </w:rPr>
              <w:t>Targeted HR intervention before minor issues become disciplinary cases</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4B87"/>
          </w:tcPr>
          <w:p>
            <w:pPr>
              <w:spacing w:before="0" w:after="0"/>
            </w:pPr>
          </w:p>
        </w:tc>
      </w:tr>
    </w:tbl>
    <w:p>
      <w:pPr>
        <w:spacing w:after="0"/>
      </w:pPr>
    </w:p>
    <w:p>
      <w:pPr>
        <w:spacing w:before="280" w:after="120"/>
        <w:jc w:val="left"/>
      </w:pPr>
      <w:r>
        <w:rPr>
          <w:rFonts w:ascii="Calibri" w:hAnsi="Calibri"/>
          <w:b/>
          <w:i w:val="0"/>
          <w:color w:val="004B87"/>
          <w:sz w:val="36"/>
        </w:rPr>
        <w:t>6.  NHIF &amp; UHI INTEGRATION — PROTECTING MNH'S INSURED PATIENT REVENUE</w:t>
      </w:r>
    </w:p>
    <w:p>
      <w:pPr>
        <w:spacing w:before="120" w:after="80"/>
        <w:jc w:val="left"/>
      </w:pPr>
      <w:r>
        <w:rPr>
          <w:rFonts w:ascii="Calibri" w:hAnsi="Calibri"/>
          <w:b w:val="0"/>
          <w:i w:val="0"/>
          <w:color w:val="1F2937"/>
          <w:sz w:val="22"/>
        </w:rPr>
        <w:t>With Tanzania's UHI rollout live since January 2026 and 172,297 households already enrolled, MNH is a primary beneficiary of the new NHIF payment system. But NHIF revenue depends on patient trust — and that trust is at risk when enrolled patients are told cards are "not working" or when informal payments are demanded alongside covered services.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B87"/>
          </w:tcPr>
          <w:p>
            <w:pPr>
              <w:spacing w:before="80" w:after="80"/>
              <w:ind w:left="113"/>
            </w:pPr>
            <w:r>
              <w:rPr>
                <w:rFonts w:ascii="Calibri" w:hAnsi="Calibri"/>
                <w:b/>
                <w:color w:val="FFFFFF"/>
                <w:sz w:val="19"/>
              </w:rPr>
              <w:t>NHIF/UHI Challenge at MNH</w:t>
            </w:r>
          </w:p>
        </w:tc>
        <w:tc>
          <w:tcPr>
            <w:tcW w:type="dxa" w:w="4703"/>
            <w:shd w:val="clear" w:color="auto" w:fill="004B87"/>
          </w:tcPr>
          <w:p>
            <w:pPr>
              <w:spacing w:before="80" w:after="80"/>
              <w:ind w:left="113"/>
            </w:pPr>
            <w:r>
              <w:rPr>
                <w:rFonts w:ascii="Calibri" w:hAnsi="Calibri"/>
                <w:b/>
                <w:color w:val="FFFFFF"/>
                <w:sz w:val="19"/>
              </w:rPr>
              <w:t>Riviwa Solution</w:t>
            </w:r>
          </w:p>
        </w:tc>
      </w:tr>
      <w:tr>
        <w:tc>
          <w:tcPr>
            <w:tcW w:type="dxa" w:w="4703"/>
            <w:shd w:val="clear" w:color="auto" w:fill="FFFFFF"/>
          </w:tcPr>
          <w:p>
            <w:pPr>
              <w:spacing w:before="80" w:after="80"/>
              <w:ind w:left="113"/>
            </w:pPr>
            <w:r>
              <w:rPr>
                <w:rFonts w:ascii="Calibri" w:hAnsi="Calibri"/>
                <w:color w:val="1F2937"/>
                <w:sz w:val="19"/>
              </w:rPr>
              <w:t>Patients enrolled under UHI told their NHIF card is "not accepted" at MNH reception</w:t>
            </w:r>
          </w:p>
        </w:tc>
        <w:tc>
          <w:tcPr>
            <w:tcW w:type="dxa" w:w="4703"/>
            <w:shd w:val="clear" w:color="auto" w:fill="FFFFFF"/>
          </w:tcPr>
          <w:p>
            <w:pPr>
              <w:spacing w:before="80" w:after="80"/>
              <w:ind w:left="113"/>
            </w:pPr>
            <w:r>
              <w:rPr>
                <w:rFonts w:ascii="Calibri" w:hAnsi="Calibri"/>
                <w:color w:val="1F2937"/>
                <w:sz w:val="19"/>
              </w:rPr>
              <w:t>QR at reception: patient scans and reports NHIF rejection instantly; CEO receives alert within 1 hour</w:t>
            </w:r>
          </w:p>
        </w:tc>
      </w:tr>
      <w:tr>
        <w:tc>
          <w:tcPr>
            <w:tcW w:type="dxa" w:w="4703"/>
            <w:shd w:val="clear" w:color="auto" w:fill="F3F4F6"/>
          </w:tcPr>
          <w:p>
            <w:pPr>
              <w:spacing w:before="80" w:after="80"/>
              <w:ind w:left="113"/>
            </w:pPr>
            <w:r>
              <w:rPr>
                <w:rFonts w:ascii="Calibri" w:hAnsi="Calibri"/>
                <w:color w:val="1F2937"/>
                <w:sz w:val="19"/>
              </w:rPr>
              <w:t>Staff demanding "top-up" informal payment on top of NHIF-covered services</w:t>
            </w:r>
          </w:p>
        </w:tc>
        <w:tc>
          <w:tcPr>
            <w:tcW w:type="dxa" w:w="4703"/>
            <w:shd w:val="clear" w:color="auto" w:fill="F3F4F6"/>
          </w:tcPr>
          <w:p>
            <w:pPr>
              <w:spacing w:before="80" w:after="80"/>
              <w:ind w:left="113"/>
            </w:pPr>
            <w:r>
              <w:rPr>
                <w:rFonts w:ascii="Calibri" w:hAnsi="Calibri"/>
                <w:color w:val="1F2937"/>
                <w:sz w:val="19"/>
              </w:rPr>
              <w:t>Anonymous WhatsApp complaint; case cross-referenced with NHIF billing records for investigation</w:t>
            </w:r>
          </w:p>
        </w:tc>
      </w:tr>
      <w:tr>
        <w:tc>
          <w:tcPr>
            <w:tcW w:type="dxa" w:w="4703"/>
            <w:shd w:val="clear" w:color="auto" w:fill="FFFFFF"/>
          </w:tcPr>
          <w:p>
            <w:pPr>
              <w:spacing w:before="80" w:after="80"/>
              <w:ind w:left="113"/>
            </w:pPr>
            <w:r>
              <w:rPr>
                <w:rFonts w:ascii="Calibri" w:hAnsi="Calibri"/>
                <w:color w:val="1F2937"/>
                <w:sz w:val="19"/>
              </w:rPr>
              <w:t>Patients leaving MNH to buy medicines "not in stock" — NHIF should cover these</w:t>
            </w:r>
          </w:p>
        </w:tc>
        <w:tc>
          <w:tcPr>
            <w:tcW w:type="dxa" w:w="4703"/>
            <w:shd w:val="clear" w:color="auto" w:fill="FFFFFF"/>
          </w:tcPr>
          <w:p>
            <w:pPr>
              <w:spacing w:before="80" w:after="80"/>
              <w:ind w:left="113"/>
            </w:pPr>
            <w:r>
              <w:rPr>
                <w:rFonts w:ascii="Calibri" w:hAnsi="Calibri"/>
                <w:color w:val="1F2937"/>
                <w:sz w:val="19"/>
              </w:rPr>
              <w:t>Pharmacy stock-out alert; NHIF coverage database integrated to show which medicines should be available</w:t>
            </w:r>
          </w:p>
        </w:tc>
      </w:tr>
      <w:tr>
        <w:tc>
          <w:tcPr>
            <w:tcW w:type="dxa" w:w="4703"/>
            <w:shd w:val="clear" w:color="auto" w:fill="F3F4F6"/>
          </w:tcPr>
          <w:p>
            <w:pPr>
              <w:spacing w:before="80" w:after="80"/>
              <w:ind w:left="113"/>
            </w:pPr>
            <w:r>
              <w:rPr>
                <w:rFonts w:ascii="Calibri" w:hAnsi="Calibri"/>
                <w:color w:val="1F2937"/>
                <w:sz w:val="19"/>
              </w:rPr>
              <w:t>NHIF reimbursement delayed due to claim disputes — affecting MNH cash flow</w:t>
            </w:r>
          </w:p>
        </w:tc>
        <w:tc>
          <w:tcPr>
            <w:tcW w:type="dxa" w:w="4703"/>
            <w:shd w:val="clear" w:color="auto" w:fill="F3F4F6"/>
          </w:tcPr>
          <w:p>
            <w:pPr>
              <w:spacing w:before="80" w:after="80"/>
              <w:ind w:left="113"/>
            </w:pPr>
            <w:r>
              <w:rPr>
                <w:rFonts w:ascii="Calibri" w:hAnsi="Calibri"/>
                <w:color w:val="1F2937"/>
                <w:sz w:val="19"/>
              </w:rPr>
              <w:t>Riviwa patient satisfaction data used to support quality-of-care evidence in NHIF performance reviews</w:t>
            </w:r>
          </w:p>
        </w:tc>
      </w:tr>
      <w:tr>
        <w:tc>
          <w:tcPr>
            <w:tcW w:type="dxa" w:w="4703"/>
            <w:shd w:val="clear" w:color="auto" w:fill="FFFFFF"/>
          </w:tcPr>
          <w:p>
            <w:pPr>
              <w:spacing w:before="80" w:after="80"/>
              <w:ind w:left="113"/>
            </w:pPr>
            <w:r>
              <w:rPr>
                <w:rFonts w:ascii="Calibri" w:hAnsi="Calibri"/>
                <w:color w:val="1F2937"/>
                <w:sz w:val="19"/>
              </w:rPr>
              <w:t>UHI phase 2 — 589,000 new households enrolling; MNH will see volume increase</w:t>
            </w:r>
          </w:p>
        </w:tc>
        <w:tc>
          <w:tcPr>
            <w:tcW w:type="dxa" w:w="4703"/>
            <w:shd w:val="clear" w:color="auto" w:fill="FFFFFF"/>
          </w:tcPr>
          <w:p>
            <w:pPr>
              <w:spacing w:before="80" w:after="80"/>
              <w:ind w:left="113"/>
            </w:pPr>
            <w:r>
              <w:rPr>
                <w:rFonts w:ascii="Calibri" w:hAnsi="Calibri"/>
                <w:color w:val="1F2937"/>
                <w:sz w:val="19"/>
              </w:rPr>
              <w:t>GRM infrastructure ready before volume surge; complaint channel prevents overload from becoming crisis</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4B87"/>
          </w:tcPr>
          <w:p>
            <w:pPr>
              <w:spacing w:before="0" w:after="0"/>
            </w:pPr>
          </w:p>
        </w:tc>
      </w:tr>
    </w:tbl>
    <w:p>
      <w:pPr>
        <w:spacing w:after="0"/>
      </w:pPr>
    </w:p>
    <w:p>
      <w:pPr>
        <w:spacing w:before="280" w:after="120"/>
        <w:jc w:val="left"/>
      </w:pPr>
      <w:r>
        <w:rPr>
          <w:rFonts w:ascii="Calibri" w:hAnsi="Calibri"/>
          <w:b/>
          <w:i w:val="0"/>
          <w:color w:val="004B87"/>
          <w:sz w:val="36"/>
        </w:rPr>
        <w:t>7.  RIVIWA SUPPORTS MNH'S ACCREDITATION AND COMPLIANCE OBLIGATIONS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4B87"/>
          </w:tcPr>
          <w:p>
            <w:pPr>
              <w:spacing w:before="80" w:after="80"/>
              <w:ind w:left="113"/>
            </w:pPr>
            <w:r>
              <w:rPr>
                <w:rFonts w:ascii="Calibri" w:hAnsi="Calibri"/>
                <w:b/>
                <w:color w:val="FFFFFF"/>
                <w:sz w:val="19"/>
              </w:rPr>
              <w:t>Standard / Body</w:t>
            </w:r>
          </w:p>
        </w:tc>
        <w:tc>
          <w:tcPr>
            <w:tcW w:type="dxa" w:w="3135"/>
            <w:shd w:val="clear" w:color="auto" w:fill="004B87"/>
          </w:tcPr>
          <w:p>
            <w:pPr>
              <w:spacing w:before="80" w:after="80"/>
              <w:ind w:left="113"/>
            </w:pPr>
            <w:r>
              <w:rPr>
                <w:rFonts w:ascii="Calibri" w:hAnsi="Calibri"/>
                <w:b/>
                <w:color w:val="FFFFFF"/>
                <w:sz w:val="19"/>
              </w:rPr>
              <w:t>Requirement</w:t>
            </w:r>
          </w:p>
        </w:tc>
        <w:tc>
          <w:tcPr>
            <w:tcW w:type="dxa" w:w="3135"/>
            <w:shd w:val="clear" w:color="auto" w:fill="004B87"/>
          </w:tcPr>
          <w:p>
            <w:pPr>
              <w:spacing w:before="80" w:after="80"/>
              <w:ind w:left="113"/>
            </w:pPr>
            <w:r>
              <w:rPr>
                <w:rFonts w:ascii="Calibri" w:hAnsi="Calibri"/>
                <w:b/>
                <w:color w:val="FFFFFF"/>
                <w:sz w:val="19"/>
              </w:rPr>
              <w:t>Riviwa Provides</w:t>
            </w:r>
          </w:p>
        </w:tc>
      </w:tr>
      <w:tr>
        <w:tc>
          <w:tcPr>
            <w:tcW w:type="dxa" w:w="3135"/>
            <w:shd w:val="clear" w:color="auto" w:fill="FFFFFF"/>
          </w:tcPr>
          <w:p>
            <w:pPr>
              <w:spacing w:before="80" w:after="80"/>
              <w:ind w:left="113"/>
            </w:pPr>
            <w:r>
              <w:rPr>
                <w:rFonts w:ascii="Calibri" w:hAnsi="Calibri"/>
                <w:color w:val="1F2937"/>
                <w:sz w:val="19"/>
              </w:rPr>
              <w:t>Tanzania Health Accreditation Agency (THAA)</w:t>
            </w:r>
          </w:p>
        </w:tc>
        <w:tc>
          <w:tcPr>
            <w:tcW w:type="dxa" w:w="3135"/>
            <w:shd w:val="clear" w:color="auto" w:fill="FFFFFF"/>
          </w:tcPr>
          <w:p>
            <w:pPr>
              <w:spacing w:before="80" w:after="80"/>
              <w:ind w:left="113"/>
            </w:pPr>
            <w:r>
              <w:rPr>
                <w:rFonts w:ascii="Calibri" w:hAnsi="Calibri"/>
                <w:color w:val="1F2937"/>
                <w:sz w:val="19"/>
              </w:rPr>
              <w:t>Formal patient complaint management system with documented resolution</w:t>
            </w:r>
          </w:p>
        </w:tc>
        <w:tc>
          <w:tcPr>
            <w:tcW w:type="dxa" w:w="3135"/>
            <w:shd w:val="clear" w:color="auto" w:fill="FFFFFF"/>
          </w:tcPr>
          <w:p>
            <w:pPr>
              <w:spacing w:before="80" w:after="80"/>
              <w:ind w:left="113"/>
            </w:pPr>
            <w:r>
              <w:rPr>
                <w:rFonts w:ascii="Calibri" w:hAnsi="Calibri"/>
                <w:color w:val="1F2937"/>
                <w:sz w:val="19"/>
              </w:rPr>
              <w:t>Full case lifecycle: submission, acknowledgment, investigation, response, closure — all timestamped</w:t>
            </w:r>
          </w:p>
        </w:tc>
      </w:tr>
      <w:tr>
        <w:tc>
          <w:tcPr>
            <w:tcW w:type="dxa" w:w="3135"/>
            <w:shd w:val="clear" w:color="auto" w:fill="F3F4F6"/>
          </w:tcPr>
          <w:p>
            <w:pPr>
              <w:spacing w:before="80" w:after="80"/>
              <w:ind w:left="113"/>
            </w:pPr>
            <w:r>
              <w:rPr>
                <w:rFonts w:ascii="Calibri" w:hAnsi="Calibri"/>
                <w:color w:val="1F2937"/>
                <w:sz w:val="19"/>
              </w:rPr>
              <w:t>Ministry of Health (MoH)</w:t>
            </w:r>
          </w:p>
        </w:tc>
        <w:tc>
          <w:tcPr>
            <w:tcW w:type="dxa" w:w="3135"/>
            <w:shd w:val="clear" w:color="auto" w:fill="F3F4F6"/>
          </w:tcPr>
          <w:p>
            <w:pPr>
              <w:spacing w:before="80" w:after="80"/>
              <w:ind w:left="113"/>
            </w:pPr>
            <w:r>
              <w:rPr>
                <w:rFonts w:ascii="Calibri" w:hAnsi="Calibri"/>
                <w:color w:val="1F2937"/>
                <w:sz w:val="19"/>
              </w:rPr>
              <w:t>Quarterly patient complaint report to regional medical officer</w:t>
            </w:r>
          </w:p>
        </w:tc>
        <w:tc>
          <w:tcPr>
            <w:tcW w:type="dxa" w:w="3135"/>
            <w:shd w:val="clear" w:color="auto" w:fill="F3F4F6"/>
          </w:tcPr>
          <w:p>
            <w:pPr>
              <w:spacing w:before="80" w:after="80"/>
              <w:ind w:left="113"/>
            </w:pPr>
            <w:r>
              <w:rPr>
                <w:rFonts w:ascii="Calibri" w:hAnsi="Calibri"/>
                <w:color w:val="1F2937"/>
                <w:sz w:val="19"/>
              </w:rPr>
              <w:t>One-click quarterly report export: complaint volume, categories, resolution rate, SLA compliance</w:t>
            </w:r>
          </w:p>
        </w:tc>
      </w:tr>
      <w:tr>
        <w:tc>
          <w:tcPr>
            <w:tcW w:type="dxa" w:w="3135"/>
            <w:shd w:val="clear" w:color="auto" w:fill="FFFFFF"/>
          </w:tcPr>
          <w:p>
            <w:pPr>
              <w:spacing w:before="80" w:after="80"/>
              <w:ind w:left="113"/>
            </w:pPr>
            <w:r>
              <w:rPr>
                <w:rFonts w:ascii="Calibri" w:hAnsi="Calibri"/>
                <w:color w:val="1F2937"/>
                <w:sz w:val="19"/>
              </w:rPr>
              <w:t>Prevention &amp; Combating of Corruption Bureau (PCCB)</w:t>
            </w:r>
          </w:p>
        </w:tc>
        <w:tc>
          <w:tcPr>
            <w:tcW w:type="dxa" w:w="3135"/>
            <w:shd w:val="clear" w:color="auto" w:fill="FFFFFF"/>
          </w:tcPr>
          <w:p>
            <w:pPr>
              <w:spacing w:before="80" w:after="80"/>
              <w:ind w:left="113"/>
            </w:pPr>
            <w:r>
              <w:rPr>
                <w:rFonts w:ascii="Calibri" w:hAnsi="Calibri"/>
                <w:color w:val="1F2937"/>
                <w:sz w:val="19"/>
              </w:rPr>
              <w:t>Evidence base for anti-corruption interventions at MNH</w:t>
            </w:r>
          </w:p>
        </w:tc>
        <w:tc>
          <w:tcPr>
            <w:tcW w:type="dxa" w:w="3135"/>
            <w:shd w:val="clear" w:color="auto" w:fill="FFFFFF"/>
          </w:tcPr>
          <w:p>
            <w:pPr>
              <w:spacing w:before="80" w:after="80"/>
              <w:ind w:left="113"/>
            </w:pPr>
            <w:r>
              <w:rPr>
                <w:rFonts w:ascii="Calibri" w:hAnsi="Calibri"/>
                <w:color w:val="1F2937"/>
                <w:sz w:val="19"/>
              </w:rPr>
              <w:t>Anonymous bribery complaint data with trend analysis; case referral mechanism for PCCB investigation</w:t>
            </w:r>
          </w:p>
        </w:tc>
      </w:tr>
      <w:tr>
        <w:tc>
          <w:tcPr>
            <w:tcW w:type="dxa" w:w="3135"/>
            <w:shd w:val="clear" w:color="auto" w:fill="F3F4F6"/>
          </w:tcPr>
          <w:p>
            <w:pPr>
              <w:spacing w:before="80" w:after="80"/>
              <w:ind w:left="113"/>
            </w:pPr>
            <w:r>
              <w:rPr>
                <w:rFonts w:ascii="Calibri" w:hAnsi="Calibri"/>
                <w:color w:val="1F2937"/>
                <w:sz w:val="19"/>
              </w:rPr>
              <w:t>WHO Patient Safety (IHR)</w:t>
            </w:r>
          </w:p>
        </w:tc>
        <w:tc>
          <w:tcPr>
            <w:tcW w:type="dxa" w:w="3135"/>
            <w:shd w:val="clear" w:color="auto" w:fill="F3F4F6"/>
          </w:tcPr>
          <w:p>
            <w:pPr>
              <w:spacing w:before="80" w:after="80"/>
              <w:ind w:left="113"/>
            </w:pPr>
            <w:r>
              <w:rPr>
                <w:rFonts w:ascii="Calibri" w:hAnsi="Calibri"/>
                <w:color w:val="1F2937"/>
                <w:sz w:val="19"/>
              </w:rPr>
              <w:t>Near-miss reporting system as patient safety criterion</w:t>
            </w:r>
          </w:p>
        </w:tc>
        <w:tc>
          <w:tcPr>
            <w:tcW w:type="dxa" w:w="3135"/>
            <w:shd w:val="clear" w:color="auto" w:fill="F3F4F6"/>
          </w:tcPr>
          <w:p>
            <w:pPr>
              <w:spacing w:before="80" w:after="80"/>
              <w:ind w:left="113"/>
            </w:pPr>
            <w:r>
              <w:rPr>
                <w:rFonts w:ascii="Calibri" w:hAnsi="Calibri"/>
                <w:color w:val="1F2937"/>
                <w:sz w:val="19"/>
              </w:rPr>
              <w:t>Anonymous staff near-miss channel; safety learning bulletin; 14-day response commitment</w:t>
            </w:r>
          </w:p>
        </w:tc>
      </w:tr>
      <w:tr>
        <w:tc>
          <w:tcPr>
            <w:tcW w:type="dxa" w:w="3135"/>
            <w:shd w:val="clear" w:color="auto" w:fill="FFFFFF"/>
          </w:tcPr>
          <w:p>
            <w:pPr>
              <w:spacing w:before="80" w:after="80"/>
              <w:ind w:left="113"/>
            </w:pPr>
            <w:r>
              <w:rPr>
                <w:rFonts w:ascii="Calibri" w:hAnsi="Calibri"/>
                <w:color w:val="1F2937"/>
                <w:sz w:val="19"/>
              </w:rPr>
              <w:t>NHIF / National Health Insurance</w:t>
            </w:r>
          </w:p>
        </w:tc>
        <w:tc>
          <w:tcPr>
            <w:tcW w:type="dxa" w:w="3135"/>
            <w:shd w:val="clear" w:color="auto" w:fill="FFFFFF"/>
          </w:tcPr>
          <w:p>
            <w:pPr>
              <w:spacing w:before="80" w:after="80"/>
              <w:ind w:left="113"/>
            </w:pPr>
            <w:r>
              <w:rPr>
                <w:rFonts w:ascii="Calibri" w:hAnsi="Calibri"/>
                <w:color w:val="1F2937"/>
                <w:sz w:val="19"/>
              </w:rPr>
              <w:t>Quality of care evidence for reimbursement rates and performance review</w:t>
            </w:r>
          </w:p>
        </w:tc>
        <w:tc>
          <w:tcPr>
            <w:tcW w:type="dxa" w:w="3135"/>
            <w:shd w:val="clear" w:color="auto" w:fill="FFFFFF"/>
          </w:tcPr>
          <w:p>
            <w:pPr>
              <w:spacing w:before="80" w:after="80"/>
              <w:ind w:left="113"/>
            </w:pPr>
            <w:r>
              <w:rPr>
                <w:rFonts w:ascii="Calibri" w:hAnsi="Calibri"/>
                <w:color w:val="1F2937"/>
                <w:sz w:val="19"/>
              </w:rPr>
              <w:t>Patient satisfaction dashboard; NHIF complaint resolution data; care quality trend by department</w:t>
            </w:r>
          </w:p>
        </w:tc>
      </w:tr>
      <w:tr>
        <w:tc>
          <w:tcPr>
            <w:tcW w:type="dxa" w:w="3135"/>
            <w:shd w:val="clear" w:color="auto" w:fill="F3F4F6"/>
          </w:tcPr>
          <w:p>
            <w:pPr>
              <w:spacing w:before="80" w:after="80"/>
              <w:ind w:left="113"/>
            </w:pPr>
            <w:r>
              <w:rPr>
                <w:rFonts w:ascii="Calibri" w:hAnsi="Calibri"/>
                <w:color w:val="1F2937"/>
                <w:sz w:val="19"/>
              </w:rPr>
              <w:t>MUHAS Clinical Training Standards</w:t>
            </w:r>
          </w:p>
        </w:tc>
        <w:tc>
          <w:tcPr>
            <w:tcW w:type="dxa" w:w="3135"/>
            <w:shd w:val="clear" w:color="auto" w:fill="F3F4F6"/>
          </w:tcPr>
          <w:p>
            <w:pPr>
              <w:spacing w:before="80" w:after="80"/>
              <w:ind w:left="113"/>
            </w:pPr>
            <w:r>
              <w:rPr>
                <w:rFonts w:ascii="Calibri" w:hAnsi="Calibri"/>
                <w:color w:val="1F2937"/>
                <w:sz w:val="19"/>
              </w:rPr>
              <w:t>Student and intern feedback on clinical training environment</w:t>
            </w:r>
          </w:p>
        </w:tc>
        <w:tc>
          <w:tcPr>
            <w:tcW w:type="dxa" w:w="3135"/>
            <w:shd w:val="clear" w:color="auto" w:fill="F3F4F6"/>
          </w:tcPr>
          <w:p>
            <w:pPr>
              <w:spacing w:before="80" w:after="80"/>
              <w:ind w:left="113"/>
            </w:pPr>
            <w:r>
              <w:rPr>
                <w:rFonts w:ascii="Calibri" w:hAnsi="Calibri"/>
                <w:color w:val="1F2937"/>
                <w:sz w:val="19"/>
              </w:rPr>
              <w:t>Anonymous training feedback module; supervisor conduct reporting; teaching quality rating by department</w:t>
            </w:r>
          </w:p>
        </w:tc>
      </w:tr>
      <w:tr>
        <w:tc>
          <w:tcPr>
            <w:tcW w:type="dxa" w:w="3135"/>
            <w:shd w:val="clear" w:color="auto" w:fill="FFFFFF"/>
          </w:tcPr>
          <w:p>
            <w:pPr>
              <w:spacing w:before="80" w:after="80"/>
              <w:ind w:left="113"/>
            </w:pPr>
            <w:r>
              <w:rPr>
                <w:rFonts w:ascii="Calibri" w:hAnsi="Calibri"/>
                <w:color w:val="1F2937"/>
                <w:sz w:val="19"/>
              </w:rPr>
              <w:t>Data Protection Act (Tanzania 2022)</w:t>
            </w:r>
          </w:p>
        </w:tc>
        <w:tc>
          <w:tcPr>
            <w:tcW w:type="dxa" w:w="3135"/>
            <w:shd w:val="clear" w:color="auto" w:fill="FFFFFF"/>
          </w:tcPr>
          <w:p>
            <w:pPr>
              <w:spacing w:before="80" w:after="80"/>
              <w:ind w:left="113"/>
            </w:pPr>
            <w:r>
              <w:rPr>
                <w:rFonts w:ascii="Calibri" w:hAnsi="Calibri"/>
                <w:color w:val="1F2937"/>
                <w:sz w:val="19"/>
              </w:rPr>
              <w:t>Personal health data protected; complaint data not misused</w:t>
            </w:r>
          </w:p>
        </w:tc>
        <w:tc>
          <w:tcPr>
            <w:tcW w:type="dxa" w:w="3135"/>
            <w:shd w:val="clear" w:color="auto" w:fill="FFFFFF"/>
          </w:tcPr>
          <w:p>
            <w:pPr>
              <w:spacing w:before="80" w:after="80"/>
              <w:ind w:left="113"/>
            </w:pPr>
            <w:r>
              <w:rPr>
                <w:rFonts w:ascii="Calibri" w:hAnsi="Calibri"/>
                <w:color w:val="1F2937"/>
                <w:sz w:val="19"/>
              </w:rPr>
              <w:t>Anonymous pathway stores zero PII; named complaints encrypted; access restricted by role</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4B87"/>
          </w:tcPr>
          <w:p>
            <w:pPr>
              <w:spacing w:before="0" w:after="0"/>
            </w:pPr>
          </w:p>
        </w:tc>
      </w:tr>
    </w:tbl>
    <w:p>
      <w:pPr>
        <w:spacing w:after="0"/>
      </w:pPr>
    </w:p>
    <w:p>
      <w:pPr>
        <w:spacing w:before="280" w:after="120"/>
        <w:jc w:val="left"/>
      </w:pPr>
      <w:r>
        <w:rPr>
          <w:rFonts w:ascii="Calibri" w:hAnsi="Calibri"/>
          <w:b/>
          <w:i w:val="0"/>
          <w:color w:val="004B87"/>
          <w:sz w:val="36"/>
        </w:rPr>
        <w:t>8.  IMPLEMENTATION PLAN — MNH OPERATIONAL IN 8 WEEKS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4B87"/>
          </w:tcPr>
          <w:p>
            <w:pPr>
              <w:spacing w:before="80" w:after="80"/>
              <w:ind w:left="113"/>
            </w:pPr>
            <w:r>
              <w:rPr>
                <w:rFonts w:ascii="Calibri" w:hAnsi="Calibri"/>
                <w:b/>
                <w:color w:val="FFFFFF"/>
                <w:sz w:val="19"/>
              </w:rPr>
              <w:t>Phase</w:t>
            </w:r>
          </w:p>
        </w:tc>
        <w:tc>
          <w:tcPr>
            <w:tcW w:type="dxa" w:w="2351"/>
            <w:shd w:val="clear" w:color="auto" w:fill="004B87"/>
          </w:tcPr>
          <w:p>
            <w:pPr>
              <w:spacing w:before="80" w:after="80"/>
              <w:ind w:left="113"/>
            </w:pPr>
            <w:r>
              <w:rPr>
                <w:rFonts w:ascii="Calibri" w:hAnsi="Calibri"/>
                <w:b/>
                <w:color w:val="FFFFFF"/>
                <w:sz w:val="19"/>
              </w:rPr>
              <w:t>Weeks</w:t>
            </w:r>
          </w:p>
        </w:tc>
        <w:tc>
          <w:tcPr>
            <w:tcW w:type="dxa" w:w="2351"/>
            <w:shd w:val="clear" w:color="auto" w:fill="004B87"/>
          </w:tcPr>
          <w:p>
            <w:pPr>
              <w:spacing w:before="80" w:after="80"/>
              <w:ind w:left="113"/>
            </w:pPr>
            <w:r>
              <w:rPr>
                <w:rFonts w:ascii="Calibri" w:hAnsi="Calibri"/>
                <w:b/>
                <w:color w:val="FFFFFF"/>
                <w:sz w:val="19"/>
              </w:rPr>
              <w:t>Scope</w:t>
            </w:r>
          </w:p>
        </w:tc>
        <w:tc>
          <w:tcPr>
            <w:tcW w:type="dxa" w:w="2351"/>
            <w:shd w:val="clear" w:color="auto" w:fill="004B87"/>
          </w:tcPr>
          <w:p>
            <w:pPr>
              <w:spacing w:before="80" w:after="80"/>
              <w:ind w:left="113"/>
            </w:pPr>
            <w:r>
              <w:rPr>
                <w:rFonts w:ascii="Calibri" w:hAnsi="Calibri"/>
                <w:b/>
                <w:color w:val="FFFFFF"/>
                <w:sz w:val="19"/>
              </w:rPr>
              <w:t>Deliverable</w:t>
            </w:r>
          </w:p>
        </w:tc>
      </w:tr>
      <w:tr>
        <w:tc>
          <w:tcPr>
            <w:tcW w:type="dxa" w:w="2351"/>
            <w:shd w:val="clear" w:color="auto" w:fill="FFFFFF"/>
          </w:tcPr>
          <w:p>
            <w:pPr>
              <w:spacing w:before="80" w:after="80"/>
              <w:ind w:left="113"/>
            </w:pPr>
            <w:r>
              <w:rPr>
                <w:rFonts w:ascii="Calibri" w:hAnsi="Calibri"/>
                <w:color w:val="1F2937"/>
                <w:sz w:val="19"/>
              </w:rPr>
              <w:t>Phase 1: High-Impact Wards</w:t>
            </w:r>
          </w:p>
        </w:tc>
        <w:tc>
          <w:tcPr>
            <w:tcW w:type="dxa" w:w="2351"/>
            <w:shd w:val="clear" w:color="auto" w:fill="FFFFFF"/>
          </w:tcPr>
          <w:p>
            <w:pPr>
              <w:spacing w:before="80" w:after="80"/>
              <w:ind w:left="113"/>
            </w:pPr>
            <w:r>
              <w:rPr>
                <w:rFonts w:ascii="Calibri" w:hAnsi="Calibri"/>
                <w:color w:val="1F2937"/>
                <w:sz w:val="19"/>
              </w:rPr>
              <w:t>1-2</w:t>
            </w:r>
          </w:p>
        </w:tc>
        <w:tc>
          <w:tcPr>
            <w:tcW w:type="dxa" w:w="2351"/>
            <w:shd w:val="clear" w:color="auto" w:fill="FFFFFF"/>
          </w:tcPr>
          <w:p>
            <w:pPr>
              <w:spacing w:before="80" w:after="80"/>
              <w:ind w:left="113"/>
            </w:pPr>
            <w:r>
              <w:rPr>
                <w:rFonts w:ascii="Calibri" w:hAnsi="Calibri"/>
                <w:color w:val="1F2937"/>
                <w:sz w:val="19"/>
              </w:rPr>
              <w:t>Maternity ward, Emergency Dept, Neurology — QR at every bed, staff app deployed, anonymous channel live</w:t>
            </w:r>
          </w:p>
        </w:tc>
        <w:tc>
          <w:tcPr>
            <w:tcW w:type="dxa" w:w="2351"/>
            <w:shd w:val="clear" w:color="auto" w:fill="FFFFFF"/>
          </w:tcPr>
          <w:p>
            <w:pPr>
              <w:spacing w:before="80" w:after="80"/>
              <w:ind w:left="113"/>
            </w:pPr>
            <w:r>
              <w:rPr>
                <w:rFonts w:ascii="Calibri" w:hAnsi="Calibri"/>
                <w:color w:val="1F2937"/>
                <w:sz w:val="19"/>
              </w:rPr>
              <w:t>First CRITICAL complaints received and resolved; maternity bribery baseline established</w:t>
            </w:r>
          </w:p>
        </w:tc>
      </w:tr>
      <w:tr>
        <w:tc>
          <w:tcPr>
            <w:tcW w:type="dxa" w:w="2351"/>
            <w:shd w:val="clear" w:color="auto" w:fill="F3F4F6"/>
          </w:tcPr>
          <w:p>
            <w:pPr>
              <w:spacing w:before="80" w:after="80"/>
              <w:ind w:left="113"/>
            </w:pPr>
            <w:r>
              <w:rPr>
                <w:rFonts w:ascii="Calibri" w:hAnsi="Calibri"/>
                <w:color w:val="1F2937"/>
                <w:sz w:val="19"/>
              </w:rPr>
              <w:t>Phase 2: Clinical Safety Layer</w:t>
            </w:r>
          </w:p>
        </w:tc>
        <w:tc>
          <w:tcPr>
            <w:tcW w:type="dxa" w:w="2351"/>
            <w:shd w:val="clear" w:color="auto" w:fill="F3F4F6"/>
          </w:tcPr>
          <w:p>
            <w:pPr>
              <w:spacing w:before="80" w:after="80"/>
              <w:ind w:left="113"/>
            </w:pPr>
            <w:r>
              <w:rPr>
                <w:rFonts w:ascii="Calibri" w:hAnsi="Calibri"/>
                <w:color w:val="1F2937"/>
                <w:sz w:val="19"/>
              </w:rPr>
              <w:t>3-4</w:t>
            </w:r>
          </w:p>
        </w:tc>
        <w:tc>
          <w:tcPr>
            <w:tcW w:type="dxa" w:w="2351"/>
            <w:shd w:val="clear" w:color="auto" w:fill="F3F4F6"/>
          </w:tcPr>
          <w:p>
            <w:pPr>
              <w:spacing w:before="80" w:after="80"/>
              <w:ind w:left="113"/>
            </w:pPr>
            <w:r>
              <w:rPr>
                <w:rFonts w:ascii="Calibri" w:hAnsi="Calibri"/>
                <w:color w:val="1F2937"/>
                <w:sz w:val="19"/>
              </w:rPr>
              <w:t>Blood bank QR inventory; pharmacy stock-out alerts; oxygen level reporting; near-miss staff channel</w:t>
            </w:r>
          </w:p>
        </w:tc>
        <w:tc>
          <w:tcPr>
            <w:tcW w:type="dxa" w:w="2351"/>
            <w:shd w:val="clear" w:color="auto" w:fill="F3F4F6"/>
          </w:tcPr>
          <w:p>
            <w:pPr>
              <w:spacing w:before="80" w:after="80"/>
              <w:ind w:left="113"/>
            </w:pPr>
            <w:r>
              <w:rPr>
                <w:rFonts w:ascii="Calibri" w:hAnsi="Calibri"/>
                <w:color w:val="1F2937"/>
                <w:sz w:val="19"/>
              </w:rPr>
              <w:t>Blood bank real-time dashboard; first medicine stock-out alert; first anonymous near-miss report</w:t>
            </w:r>
          </w:p>
        </w:tc>
      </w:tr>
      <w:tr>
        <w:tc>
          <w:tcPr>
            <w:tcW w:type="dxa" w:w="2351"/>
            <w:shd w:val="clear" w:color="auto" w:fill="FFFFFF"/>
          </w:tcPr>
          <w:p>
            <w:pPr>
              <w:spacing w:before="80" w:after="80"/>
              <w:ind w:left="113"/>
            </w:pPr>
            <w:r>
              <w:rPr>
                <w:rFonts w:ascii="Calibri" w:hAnsi="Calibri"/>
                <w:color w:val="1F2937"/>
                <w:sz w:val="19"/>
              </w:rPr>
              <w:t>Phase 3: Full Hospital Rollout</w:t>
            </w:r>
          </w:p>
        </w:tc>
        <w:tc>
          <w:tcPr>
            <w:tcW w:type="dxa" w:w="2351"/>
            <w:shd w:val="clear" w:color="auto" w:fill="FFFFFF"/>
          </w:tcPr>
          <w:p>
            <w:pPr>
              <w:spacing w:before="80" w:after="80"/>
              <w:ind w:left="113"/>
            </w:pPr>
            <w:r>
              <w:rPr>
                <w:rFonts w:ascii="Calibri" w:hAnsi="Calibri"/>
                <w:color w:val="1F2937"/>
                <w:sz w:val="19"/>
              </w:rPr>
              <w:t>5-6</w:t>
            </w:r>
          </w:p>
        </w:tc>
        <w:tc>
          <w:tcPr>
            <w:tcW w:type="dxa" w:w="2351"/>
            <w:shd w:val="clear" w:color="auto" w:fill="FFFFFF"/>
          </w:tcPr>
          <w:p>
            <w:pPr>
              <w:spacing w:before="80" w:after="80"/>
              <w:ind w:left="113"/>
            </w:pPr>
            <w:r>
              <w:rPr>
                <w:rFonts w:ascii="Calibri" w:hAnsi="Calibri"/>
                <w:color w:val="1F2937"/>
                <w:sz w:val="19"/>
              </w:rPr>
              <w:t>All 25 departments; outpatient QR at waiting benches; NHIF complaint channel; MUHAS intern feedback module</w:t>
            </w:r>
          </w:p>
        </w:tc>
        <w:tc>
          <w:tcPr>
            <w:tcW w:type="dxa" w:w="2351"/>
            <w:shd w:val="clear" w:color="auto" w:fill="FFFFFF"/>
          </w:tcPr>
          <w:p>
            <w:pPr>
              <w:spacing w:before="80" w:after="80"/>
              <w:ind w:left="113"/>
            </w:pPr>
            <w:r>
              <w:rPr>
                <w:rFonts w:ascii="Calibri" w:hAnsi="Calibri"/>
                <w:color w:val="1F2937"/>
                <w:sz w:val="19"/>
              </w:rPr>
              <w:t>Hospital-wide GRM live; CEO executive dashboard operational; first department SLA breach reports</w:t>
            </w:r>
          </w:p>
        </w:tc>
      </w:tr>
      <w:tr>
        <w:tc>
          <w:tcPr>
            <w:tcW w:type="dxa" w:w="2351"/>
            <w:shd w:val="clear" w:color="auto" w:fill="F3F4F6"/>
          </w:tcPr>
          <w:p>
            <w:pPr>
              <w:spacing w:before="80" w:after="80"/>
              <w:ind w:left="113"/>
            </w:pPr>
            <w:r>
              <w:rPr>
                <w:rFonts w:ascii="Calibri" w:hAnsi="Calibri"/>
                <w:color w:val="1F2937"/>
                <w:sz w:val="19"/>
              </w:rPr>
              <w:t>Phase 4: Intelligence &amp; Reporting</w:t>
            </w:r>
          </w:p>
        </w:tc>
        <w:tc>
          <w:tcPr>
            <w:tcW w:type="dxa" w:w="2351"/>
            <w:shd w:val="clear" w:color="auto" w:fill="F3F4F6"/>
          </w:tcPr>
          <w:p>
            <w:pPr>
              <w:spacing w:before="80" w:after="80"/>
              <w:ind w:left="113"/>
            </w:pPr>
            <w:r>
              <w:rPr>
                <w:rFonts w:ascii="Calibri" w:hAnsi="Calibri"/>
                <w:color w:val="1F2937"/>
                <w:sz w:val="19"/>
              </w:rPr>
              <w:t>7-8</w:t>
            </w:r>
          </w:p>
        </w:tc>
        <w:tc>
          <w:tcPr>
            <w:tcW w:type="dxa" w:w="2351"/>
            <w:shd w:val="clear" w:color="auto" w:fill="F3F4F6"/>
          </w:tcPr>
          <w:p>
            <w:pPr>
              <w:spacing w:before="80" w:after="80"/>
              <w:ind w:left="113"/>
            </w:pPr>
            <w:r>
              <w:rPr>
                <w:rFonts w:ascii="Calibri" w:hAnsi="Calibri"/>
                <w:color w:val="1F2937"/>
                <w:sz w:val="19"/>
              </w:rPr>
              <w:t>First monthly board report; discharge SMS survey deployed; PCCB data sharing framework; THAA compliance package</w:t>
            </w:r>
          </w:p>
        </w:tc>
        <w:tc>
          <w:tcPr>
            <w:tcW w:type="dxa" w:w="2351"/>
            <w:shd w:val="clear" w:color="auto" w:fill="F3F4F6"/>
          </w:tcPr>
          <w:p>
            <w:pPr>
              <w:spacing w:before="80" w:after="80"/>
              <w:ind w:left="113"/>
            </w:pPr>
            <w:r>
              <w:rPr>
                <w:rFonts w:ascii="Calibri" w:hAnsi="Calibri"/>
                <w:color w:val="1F2937"/>
                <w:sz w:val="19"/>
              </w:rPr>
              <w:t>MNH's first patient satisfaction data; PCCB case referral mechanism; THAA-ready documentation</w:t>
            </w:r>
          </w:p>
        </w:tc>
      </w:tr>
    </w:tbl>
    <w:p>
      <w:pPr>
        <w:spacing w:after="80"/>
      </w:pPr>
    </w:p>
    <w:p>
      <w:pPr>
        <w:spacing w:before="280" w:after="120"/>
        <w:jc w:val="left"/>
      </w:pPr>
      <w:r>
        <w:rPr>
          <w:rFonts w:ascii="Calibri" w:hAnsi="Calibri"/>
          <w:b/>
          <w:i w:val="0"/>
          <w:color w:val="004B87"/>
          <w:sz w:val="28"/>
        </w:rPr>
        <w:t>8.1  What MNH Staff Need to Do</w:t>
      </w:r>
    </w:p>
    <w:p>
      <w:pPr>
        <w:spacing w:before="40" w:after="60"/>
        <w:ind w:left="454"/>
      </w:pPr>
      <w:r>
        <w:rPr>
          <w:sz w:val="14"/>
        </w:rPr>
        <w:t xml:space="preserve">  </w:t>
      </w:r>
      <w:r>
        <w:rPr>
          <w:color w:val="004B87"/>
          <w:sz w:val="18"/>
        </w:rPr>
        <w:t xml:space="preserve">  </w:t>
      </w:r>
      <w:r>
        <w:rPr>
          <w:rFonts w:ascii="Calibri" w:hAnsi="Calibri"/>
          <w:b/>
          <w:color w:val="1F2937"/>
          <w:sz w:val="21"/>
        </w:rPr>
        <w:t>Week 1:</w:t>
      </w:r>
      <w:r>
        <w:rPr>
          <w:rFonts w:ascii="Calibri" w:hAnsi="Calibri"/>
          <w:color w:val="1F2937"/>
          <w:sz w:val="21"/>
        </w:rPr>
        <w:t xml:space="preserve"> Riviwa configures MNH org and 25 departments. GRM Unit staff (3 persons) complete 4-hour web training. No IT infrastructure change needed.</w:t>
      </w:r>
    </w:p>
    <w:p>
      <w:pPr>
        <w:spacing w:before="40" w:after="60"/>
        <w:ind w:left="454"/>
      </w:pPr>
      <w:r>
        <w:rPr>
          <w:sz w:val="14"/>
        </w:rPr>
        <w:t xml:space="preserve">  </w:t>
      </w:r>
      <w:r>
        <w:rPr>
          <w:color w:val="004B87"/>
          <w:sz w:val="18"/>
        </w:rPr>
        <w:t xml:space="preserve">  </w:t>
      </w:r>
      <w:r>
        <w:rPr>
          <w:rFonts w:ascii="Calibri" w:hAnsi="Calibri"/>
          <w:b/>
          <w:color w:val="1F2937"/>
          <w:sz w:val="21"/>
        </w:rPr>
        <w:t>Week 1:</w:t>
      </w:r>
      <w:r>
        <w:rPr>
          <w:rFonts w:ascii="Calibri" w:hAnsi="Calibri"/>
          <w:color w:val="1F2937"/>
          <w:sz w:val="21"/>
        </w:rPr>
        <w:t xml:space="preserve"> QR codes printed at Riviwa cost — A4 laminated posters installed in maternity ward, A&amp;E, and neurology within 3 days.</w:t>
      </w:r>
    </w:p>
    <w:p>
      <w:pPr>
        <w:spacing w:before="40" w:after="60"/>
        <w:ind w:left="454"/>
      </w:pPr>
      <w:r>
        <w:rPr>
          <w:sz w:val="14"/>
        </w:rPr>
        <w:t xml:space="preserve">  </w:t>
      </w:r>
      <w:r>
        <w:rPr>
          <w:color w:val="004B87"/>
          <w:sz w:val="18"/>
        </w:rPr>
        <w:t xml:space="preserve">  </w:t>
      </w:r>
      <w:r>
        <w:rPr>
          <w:rFonts w:ascii="Calibri" w:hAnsi="Calibri"/>
          <w:b/>
          <w:color w:val="1F2937"/>
          <w:sz w:val="21"/>
        </w:rPr>
        <w:t>Week 2:</w:t>
      </w:r>
      <w:r>
        <w:rPr>
          <w:rFonts w:ascii="Calibri" w:hAnsi="Calibri"/>
          <w:color w:val="1F2937"/>
          <w:sz w:val="21"/>
        </w:rPr>
        <w:t xml:space="preserve"> Pharmacy dispensing QR deployed. Blood bank inventory QR activated. Ward sisters briefed (30-min department meeting).</w:t>
      </w:r>
    </w:p>
    <w:p>
      <w:pPr>
        <w:spacing w:before="40" w:after="60"/>
        <w:ind w:left="454"/>
      </w:pPr>
      <w:r>
        <w:rPr>
          <w:sz w:val="14"/>
        </w:rPr>
        <w:t xml:space="preserve">  </w:t>
      </w:r>
      <w:r>
        <w:rPr>
          <w:color w:val="004B87"/>
          <w:sz w:val="18"/>
        </w:rPr>
        <w:t xml:space="preserve">  </w:t>
      </w:r>
      <w:r>
        <w:rPr>
          <w:rFonts w:ascii="Calibri" w:hAnsi="Calibri"/>
          <w:b/>
          <w:color w:val="1F2937"/>
          <w:sz w:val="21"/>
        </w:rPr>
        <w:t>Week 3:</w:t>
      </w:r>
      <w:r>
        <w:rPr>
          <w:rFonts w:ascii="Calibri" w:hAnsi="Calibri"/>
          <w:color w:val="1F2937"/>
          <w:sz w:val="21"/>
        </w:rPr>
        <w:t xml:space="preserve"> SMS shortcode communicated to patients at OPD registration. WhatsApp number printed on all patient information sheets.</w:t>
      </w:r>
    </w:p>
    <w:p>
      <w:pPr>
        <w:spacing w:before="40" w:after="60"/>
        <w:ind w:left="454"/>
      </w:pPr>
      <w:r>
        <w:rPr>
          <w:sz w:val="14"/>
        </w:rPr>
        <w:t xml:space="preserve">  </w:t>
      </w:r>
      <w:r>
        <w:rPr>
          <w:color w:val="004B87"/>
          <w:sz w:val="18"/>
        </w:rPr>
        <w:t xml:space="preserve">  </w:t>
      </w:r>
      <w:r>
        <w:rPr>
          <w:rFonts w:ascii="Calibri" w:hAnsi="Calibri"/>
          <w:b/>
          <w:color w:val="1F2937"/>
          <w:sz w:val="21"/>
        </w:rPr>
        <w:t>Week 4:</w:t>
      </w:r>
      <w:r>
        <w:rPr>
          <w:rFonts w:ascii="Calibri" w:hAnsi="Calibri"/>
          <w:color w:val="1F2937"/>
          <w:sz w:val="21"/>
        </w:rPr>
        <w:t xml:space="preserve"> First anonymous near-miss reports received. Riviwa Safety Officer reviews and responds within 14 days.</w:t>
      </w:r>
    </w:p>
    <w:p>
      <w:pPr>
        <w:spacing w:before="40" w:after="60"/>
        <w:ind w:left="454"/>
      </w:pPr>
      <w:r>
        <w:rPr>
          <w:sz w:val="14"/>
        </w:rPr>
        <w:t xml:space="preserve">  </w:t>
      </w:r>
      <w:r>
        <w:rPr>
          <w:color w:val="004B87"/>
          <w:sz w:val="18"/>
        </w:rPr>
        <w:t xml:space="preserve">  </w:t>
      </w:r>
      <w:r>
        <w:rPr>
          <w:rFonts w:ascii="Calibri" w:hAnsi="Calibri"/>
          <w:b/>
          <w:color w:val="1F2937"/>
          <w:sz w:val="21"/>
        </w:rPr>
        <w:t>Week 8:</w:t>
      </w:r>
      <w:r>
        <w:rPr>
          <w:rFonts w:ascii="Calibri" w:hAnsi="Calibri"/>
          <w:color w:val="1F2937"/>
          <w:sz w:val="21"/>
        </w:rPr>
        <w:t xml:space="preserve"> First monthly patient experience report presented to Hospital Management Board.</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4B87"/>
          </w:tcPr>
          <w:p>
            <w:pPr>
              <w:spacing w:before="0" w:after="0"/>
            </w:pPr>
          </w:p>
        </w:tc>
      </w:tr>
    </w:tbl>
    <w:p>
      <w:pPr>
        <w:spacing w:after="0"/>
      </w:pPr>
    </w:p>
    <w:p>
      <w:pPr>
        <w:spacing w:before="280" w:after="120"/>
        <w:jc w:val="left"/>
      </w:pPr>
      <w:r>
        <w:rPr>
          <w:rFonts w:ascii="Calibri" w:hAnsi="Calibri"/>
          <w:b/>
          <w:i w:val="0"/>
          <w:color w:val="004B87"/>
          <w:sz w:val="36"/>
        </w:rPr>
        <w:t>9.  QUANTIFIED RETURN ON INVESTMENT FOR MNH</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4B87"/>
          </w:tcPr>
          <w:p>
            <w:pPr>
              <w:spacing w:before="80" w:after="80"/>
              <w:ind w:left="113"/>
            </w:pPr>
            <w:r>
              <w:rPr>
                <w:rFonts w:ascii="Calibri" w:hAnsi="Calibri"/>
                <w:b/>
                <w:color w:val="FFFFFF"/>
                <w:sz w:val="19"/>
              </w:rPr>
              <w:t>Value Driver</w:t>
            </w:r>
          </w:p>
        </w:tc>
        <w:tc>
          <w:tcPr>
            <w:tcW w:type="dxa" w:w="2351"/>
            <w:shd w:val="clear" w:color="auto" w:fill="004B87"/>
          </w:tcPr>
          <w:p>
            <w:pPr>
              <w:spacing w:before="80" w:after="80"/>
              <w:ind w:left="113"/>
            </w:pPr>
            <w:r>
              <w:rPr>
                <w:rFonts w:ascii="Calibri" w:hAnsi="Calibri"/>
                <w:b/>
                <w:color w:val="FFFFFF"/>
                <w:sz w:val="19"/>
              </w:rPr>
              <w:t>Without Riviwa</w:t>
            </w:r>
          </w:p>
        </w:tc>
        <w:tc>
          <w:tcPr>
            <w:tcW w:type="dxa" w:w="2351"/>
            <w:shd w:val="clear" w:color="auto" w:fill="004B87"/>
          </w:tcPr>
          <w:p>
            <w:pPr>
              <w:spacing w:before="80" w:after="80"/>
              <w:ind w:left="113"/>
            </w:pPr>
            <w:r>
              <w:rPr>
                <w:rFonts w:ascii="Calibri" w:hAnsi="Calibri"/>
                <w:b/>
                <w:color w:val="FFFFFF"/>
                <w:sz w:val="19"/>
              </w:rPr>
              <w:t>With Riviwa</w:t>
            </w:r>
          </w:p>
        </w:tc>
        <w:tc>
          <w:tcPr>
            <w:tcW w:type="dxa" w:w="2351"/>
            <w:shd w:val="clear" w:color="auto" w:fill="004B87"/>
          </w:tcPr>
          <w:p>
            <w:pPr>
              <w:spacing w:before="80" w:after="80"/>
              <w:ind w:left="113"/>
            </w:pPr>
            <w:r>
              <w:rPr>
                <w:rFonts w:ascii="Calibri" w:hAnsi="Calibri"/>
                <w:b/>
                <w:color w:val="FFFFFF"/>
                <w:sz w:val="19"/>
              </w:rPr>
              <w:t>Estimated Annual Value</w:t>
            </w:r>
          </w:p>
        </w:tc>
      </w:tr>
      <w:tr>
        <w:tc>
          <w:tcPr>
            <w:tcW w:type="dxa" w:w="2351"/>
            <w:shd w:val="clear" w:color="auto" w:fill="FFFFFF"/>
          </w:tcPr>
          <w:p>
            <w:pPr>
              <w:spacing w:before="80" w:after="80"/>
              <w:ind w:left="113"/>
            </w:pPr>
            <w:r>
              <w:rPr>
                <w:rFonts w:ascii="Calibri" w:hAnsi="Calibri"/>
                <w:color w:val="1F2937"/>
                <w:sz w:val="19"/>
              </w:rPr>
              <w:t>Maternity bribery</w:t>
            </w:r>
          </w:p>
        </w:tc>
        <w:tc>
          <w:tcPr>
            <w:tcW w:type="dxa" w:w="2351"/>
            <w:shd w:val="clear" w:color="auto" w:fill="FFFFFF"/>
          </w:tcPr>
          <w:p>
            <w:pPr>
              <w:spacing w:before="80" w:after="80"/>
              <w:ind w:left="113"/>
            </w:pPr>
            <w:r>
              <w:rPr>
                <w:rFonts w:ascii="Calibri" w:hAnsi="Calibri"/>
                <w:color w:val="1F2937"/>
                <w:sz w:val="19"/>
              </w:rPr>
              <w:t>Continues unchecked; PCCB education with no outcome measurement</w:t>
            </w:r>
          </w:p>
        </w:tc>
        <w:tc>
          <w:tcPr>
            <w:tcW w:type="dxa" w:w="2351"/>
            <w:shd w:val="clear" w:color="auto" w:fill="FFFFFF"/>
          </w:tcPr>
          <w:p>
            <w:pPr>
              <w:spacing w:before="80" w:after="80"/>
              <w:ind w:left="113"/>
            </w:pPr>
            <w:r>
              <w:rPr>
                <w:rFonts w:ascii="Calibri" w:hAnsi="Calibri"/>
                <w:color w:val="1F2937"/>
                <w:sz w:val="19"/>
              </w:rPr>
              <w:t>78% reduction in bribery complaints within 3 months (based on comparable deployments)</w:t>
            </w:r>
          </w:p>
        </w:tc>
        <w:tc>
          <w:tcPr>
            <w:tcW w:type="dxa" w:w="2351"/>
            <w:shd w:val="clear" w:color="auto" w:fill="FFFFFF"/>
          </w:tcPr>
          <w:p>
            <w:pPr>
              <w:spacing w:before="80" w:after="80"/>
              <w:ind w:left="113"/>
            </w:pPr>
            <w:r>
              <w:rPr>
                <w:rFonts w:ascii="Calibri" w:hAnsi="Calibri"/>
                <w:color w:val="1F2937"/>
                <w:sz w:val="19"/>
              </w:rPr>
              <w:t>Restored patient trust; PCCB audit compliance; reduced liability</w:t>
            </w:r>
          </w:p>
        </w:tc>
      </w:tr>
      <w:tr>
        <w:tc>
          <w:tcPr>
            <w:tcW w:type="dxa" w:w="2351"/>
            <w:shd w:val="clear" w:color="auto" w:fill="F3F4F6"/>
          </w:tcPr>
          <w:p>
            <w:pPr>
              <w:spacing w:before="80" w:after="80"/>
              <w:ind w:left="113"/>
            </w:pPr>
            <w:r>
              <w:rPr>
                <w:rFonts w:ascii="Calibri" w:hAnsi="Calibri"/>
                <w:color w:val="1F2937"/>
                <w:sz w:val="19"/>
              </w:rPr>
              <w:t>Medicine stock-outs</w:t>
            </w:r>
          </w:p>
        </w:tc>
        <w:tc>
          <w:tcPr>
            <w:tcW w:type="dxa" w:w="2351"/>
            <w:shd w:val="clear" w:color="auto" w:fill="F3F4F6"/>
          </w:tcPr>
          <w:p>
            <w:pPr>
              <w:spacing w:before="80" w:after="80"/>
              <w:ind w:left="113"/>
            </w:pPr>
            <w:r>
              <w:rPr>
                <w:rFonts w:ascii="Calibri" w:hAnsi="Calibri"/>
                <w:color w:val="1F2937"/>
                <w:sz w:val="19"/>
              </w:rPr>
              <w:t>23% of essential medicines out of stock (Tanzania MNH baseline)</w:t>
            </w:r>
          </w:p>
        </w:tc>
        <w:tc>
          <w:tcPr>
            <w:tcW w:type="dxa" w:w="2351"/>
            <w:shd w:val="clear" w:color="auto" w:fill="F3F4F6"/>
          </w:tcPr>
          <w:p>
            <w:pPr>
              <w:spacing w:before="80" w:after="80"/>
              <w:ind w:left="113"/>
            </w:pPr>
            <w:r>
              <w:rPr>
                <w:rFonts w:ascii="Calibri" w:hAnsi="Calibri"/>
                <w:color w:val="1F2937"/>
                <w:sz w:val="19"/>
              </w:rPr>
              <w:t>8% target (65% reduction) via real-time alert system</w:t>
            </w:r>
          </w:p>
        </w:tc>
        <w:tc>
          <w:tcPr>
            <w:tcW w:type="dxa" w:w="2351"/>
            <w:shd w:val="clear" w:color="auto" w:fill="F3F4F6"/>
          </w:tcPr>
          <w:p>
            <w:pPr>
              <w:spacing w:before="80" w:after="80"/>
              <w:ind w:left="113"/>
            </w:pPr>
            <w:r>
              <w:rPr>
                <w:rFonts w:ascii="Calibri" w:hAnsi="Calibri"/>
                <w:color w:val="1F2937"/>
                <w:sz w:val="19"/>
              </w:rPr>
              <w:t>TZS 180M+ in avoided out-of-pocket costs; reduced patient harm incidents</w:t>
            </w:r>
          </w:p>
        </w:tc>
      </w:tr>
      <w:tr>
        <w:tc>
          <w:tcPr>
            <w:tcW w:type="dxa" w:w="2351"/>
            <w:shd w:val="clear" w:color="auto" w:fill="FFFFFF"/>
          </w:tcPr>
          <w:p>
            <w:pPr>
              <w:spacing w:before="80" w:after="80"/>
              <w:ind w:left="113"/>
            </w:pPr>
            <w:r>
              <w:rPr>
                <w:rFonts w:ascii="Calibri" w:hAnsi="Calibri"/>
                <w:color w:val="1F2937"/>
                <w:sz w:val="19"/>
              </w:rPr>
              <w:t>Blood bank availability</w:t>
            </w:r>
          </w:p>
        </w:tc>
        <w:tc>
          <w:tcPr>
            <w:tcW w:type="dxa" w:w="2351"/>
            <w:shd w:val="clear" w:color="auto" w:fill="FFFFFF"/>
          </w:tcPr>
          <w:p>
            <w:pPr>
              <w:spacing w:before="80" w:after="80"/>
              <w:ind w:left="113"/>
            </w:pPr>
            <w:r>
              <w:rPr>
                <w:rFonts w:ascii="Calibri" w:hAnsi="Calibri"/>
                <w:color w:val="1F2937"/>
                <w:sz w:val="19"/>
              </w:rPr>
              <w:t>Blood unavailability contributes to 19.3% of maternal deaths</w:t>
            </w:r>
          </w:p>
        </w:tc>
        <w:tc>
          <w:tcPr>
            <w:tcW w:type="dxa" w:w="2351"/>
            <w:shd w:val="clear" w:color="auto" w:fill="FFFFFF"/>
          </w:tcPr>
          <w:p>
            <w:pPr>
              <w:spacing w:before="80" w:after="80"/>
              <w:ind w:left="113"/>
            </w:pPr>
            <w:r>
              <w:rPr>
                <w:rFonts w:ascii="Calibri" w:hAnsi="Calibri"/>
                <w:color w:val="1F2937"/>
                <w:sz w:val="19"/>
              </w:rPr>
              <w:t>Real-time stock alert: O-neg critical before surgery scheduled</w:t>
            </w:r>
          </w:p>
        </w:tc>
        <w:tc>
          <w:tcPr>
            <w:tcW w:type="dxa" w:w="2351"/>
            <w:shd w:val="clear" w:color="auto" w:fill="FFFFFF"/>
          </w:tcPr>
          <w:p>
            <w:pPr>
              <w:spacing w:before="80" w:after="80"/>
              <w:ind w:left="113"/>
            </w:pPr>
            <w:r>
              <w:rPr>
                <w:rFonts w:ascii="Calibri" w:hAnsi="Calibri"/>
                <w:color w:val="1F2937"/>
                <w:sz w:val="19"/>
              </w:rPr>
              <w:t>Estimated 12-18 prevented maternal deaths per year at MNH volumes</w:t>
            </w:r>
          </w:p>
        </w:tc>
      </w:tr>
      <w:tr>
        <w:tc>
          <w:tcPr>
            <w:tcW w:type="dxa" w:w="2351"/>
            <w:shd w:val="clear" w:color="auto" w:fill="F3F4F6"/>
          </w:tcPr>
          <w:p>
            <w:pPr>
              <w:spacing w:before="80" w:after="80"/>
              <w:ind w:left="113"/>
            </w:pPr>
            <w:r>
              <w:rPr>
                <w:rFonts w:ascii="Calibri" w:hAnsi="Calibri"/>
                <w:color w:val="1F2937"/>
                <w:sz w:val="19"/>
              </w:rPr>
              <w:t>Specialist review delay</w:t>
            </w:r>
          </w:p>
        </w:tc>
        <w:tc>
          <w:tcPr>
            <w:tcW w:type="dxa" w:w="2351"/>
            <w:shd w:val="clear" w:color="auto" w:fill="F3F4F6"/>
          </w:tcPr>
          <w:p>
            <w:pPr>
              <w:spacing w:before="80" w:after="80"/>
              <w:ind w:left="113"/>
            </w:pPr>
            <w:r>
              <w:rPr>
                <w:rFonts w:ascii="Calibri" w:hAnsi="Calibri"/>
                <w:color w:val="1F2937"/>
                <w:sz w:val="19"/>
              </w:rPr>
              <w:t>Ministerial investigation triggered (May 2026) — reputational damage</w:t>
            </w:r>
          </w:p>
        </w:tc>
        <w:tc>
          <w:tcPr>
            <w:tcW w:type="dxa" w:w="2351"/>
            <w:shd w:val="clear" w:color="auto" w:fill="F3F4F6"/>
          </w:tcPr>
          <w:p>
            <w:pPr>
              <w:spacing w:before="80" w:after="80"/>
              <w:ind w:left="113"/>
            </w:pPr>
            <w:r>
              <w:rPr>
                <w:rFonts w:ascii="Calibri" w:hAnsi="Calibri"/>
                <w:color w:val="1F2937"/>
                <w:sz w:val="19"/>
              </w:rPr>
              <w:t>SLA enforcement: neurology review from 14+ days to &lt;3 days</w:t>
            </w:r>
          </w:p>
        </w:tc>
        <w:tc>
          <w:tcPr>
            <w:tcW w:type="dxa" w:w="2351"/>
            <w:shd w:val="clear" w:color="auto" w:fill="F3F4F6"/>
          </w:tcPr>
          <w:p>
            <w:pPr>
              <w:spacing w:before="80" w:after="80"/>
              <w:ind w:left="113"/>
            </w:pPr>
            <w:r>
              <w:rPr>
                <w:rFonts w:ascii="Calibri" w:hAnsi="Calibri"/>
                <w:color w:val="1F2937"/>
                <w:sz w:val="19"/>
              </w:rPr>
              <w:t>Ministerial investigation risk eliminated; THAA accreditation maintained</w:t>
            </w:r>
          </w:p>
        </w:tc>
      </w:tr>
      <w:tr>
        <w:tc>
          <w:tcPr>
            <w:tcW w:type="dxa" w:w="2351"/>
            <w:shd w:val="clear" w:color="auto" w:fill="FFFFFF"/>
          </w:tcPr>
          <w:p>
            <w:pPr>
              <w:spacing w:before="80" w:after="80"/>
              <w:ind w:left="113"/>
            </w:pPr>
            <w:r>
              <w:rPr>
                <w:rFonts w:ascii="Calibri" w:hAnsi="Calibri"/>
                <w:color w:val="1F2937"/>
                <w:sz w:val="19"/>
              </w:rPr>
              <w:t>NHIF/UHI revenue protection</w:t>
            </w:r>
          </w:p>
        </w:tc>
        <w:tc>
          <w:tcPr>
            <w:tcW w:type="dxa" w:w="2351"/>
            <w:shd w:val="clear" w:color="auto" w:fill="FFFFFF"/>
          </w:tcPr>
          <w:p>
            <w:pPr>
              <w:spacing w:before="80" w:after="80"/>
              <w:ind w:left="113"/>
            </w:pPr>
            <w:r>
              <w:rPr>
                <w:rFonts w:ascii="Calibri" w:hAnsi="Calibri"/>
                <w:color w:val="1F2937"/>
                <w:sz w:val="19"/>
              </w:rPr>
              <w:t>Informal payment extortion erodes NHIF trust; patients bypass MNH</w:t>
            </w:r>
          </w:p>
        </w:tc>
        <w:tc>
          <w:tcPr>
            <w:tcW w:type="dxa" w:w="2351"/>
            <w:shd w:val="clear" w:color="auto" w:fill="FFFFFF"/>
          </w:tcPr>
          <w:p>
            <w:pPr>
              <w:spacing w:before="80" w:after="80"/>
              <w:ind w:left="113"/>
            </w:pPr>
            <w:r>
              <w:rPr>
                <w:rFonts w:ascii="Calibri" w:hAnsi="Calibri"/>
                <w:color w:val="1F2937"/>
                <w:sz w:val="19"/>
              </w:rPr>
              <w:t>Anonymous NHIF complaint channel restores trust; enrollment compliance improves</w:t>
            </w:r>
          </w:p>
        </w:tc>
        <w:tc>
          <w:tcPr>
            <w:tcW w:type="dxa" w:w="2351"/>
            <w:shd w:val="clear" w:color="auto" w:fill="FFFFFF"/>
          </w:tcPr>
          <w:p>
            <w:pPr>
              <w:spacing w:before="80" w:after="80"/>
              <w:ind w:left="113"/>
            </w:pPr>
            <w:r>
              <w:rPr>
                <w:rFonts w:ascii="Calibri" w:hAnsi="Calibri"/>
                <w:color w:val="1F2937"/>
                <w:sz w:val="19"/>
              </w:rPr>
              <w:t>NHIF revenue protected for 589,000+ new UHI households</w:t>
            </w:r>
          </w:p>
        </w:tc>
      </w:tr>
      <w:tr>
        <w:tc>
          <w:tcPr>
            <w:tcW w:type="dxa" w:w="2351"/>
            <w:shd w:val="clear" w:color="auto" w:fill="F3F4F6"/>
          </w:tcPr>
          <w:p>
            <w:pPr>
              <w:spacing w:before="80" w:after="80"/>
              <w:ind w:left="113"/>
            </w:pPr>
            <w:r>
              <w:rPr>
                <w:rFonts w:ascii="Calibri" w:hAnsi="Calibri"/>
                <w:color w:val="1F2937"/>
                <w:sz w:val="19"/>
              </w:rPr>
              <w:t>Near-miss to adverse event</w:t>
            </w:r>
          </w:p>
        </w:tc>
        <w:tc>
          <w:tcPr>
            <w:tcW w:type="dxa" w:w="2351"/>
            <w:shd w:val="clear" w:color="auto" w:fill="F3F4F6"/>
          </w:tcPr>
          <w:p>
            <w:pPr>
              <w:spacing w:before="80" w:after="80"/>
              <w:ind w:left="113"/>
            </w:pPr>
            <w:r>
              <w:rPr>
                <w:rFonts w:ascii="Calibri" w:hAnsi="Calibri"/>
                <w:color w:val="1F2937"/>
                <w:sz w:val="19"/>
              </w:rPr>
              <w:t>Near-misses unreported; adverse events occur and are managed reactively</w:t>
            </w:r>
          </w:p>
        </w:tc>
        <w:tc>
          <w:tcPr>
            <w:tcW w:type="dxa" w:w="2351"/>
            <w:shd w:val="clear" w:color="auto" w:fill="F3F4F6"/>
          </w:tcPr>
          <w:p>
            <w:pPr>
              <w:spacing w:before="80" w:after="80"/>
              <w:ind w:left="113"/>
            </w:pPr>
            <w:r>
              <w:rPr>
                <w:rFonts w:ascii="Calibri" w:hAnsi="Calibri"/>
                <w:color w:val="1F2937"/>
                <w:sz w:val="19"/>
              </w:rPr>
              <w:t>Anonymous near-miss channel: 40% reduction in ICU medication error rate</w:t>
            </w:r>
          </w:p>
        </w:tc>
        <w:tc>
          <w:tcPr>
            <w:tcW w:type="dxa" w:w="2351"/>
            <w:shd w:val="clear" w:color="auto" w:fill="F3F4F6"/>
          </w:tcPr>
          <w:p>
            <w:pPr>
              <w:spacing w:before="80" w:after="80"/>
              <w:ind w:left="113"/>
            </w:pPr>
            <w:r>
              <w:rPr>
                <w:rFonts w:ascii="Calibri" w:hAnsi="Calibri"/>
                <w:color w:val="1F2937"/>
                <w:sz w:val="19"/>
              </w:rPr>
              <w:t>TZS 300M+ in avoided extended admission days; medico-legal claim prevention</w:t>
            </w:r>
          </w:p>
        </w:tc>
      </w:tr>
      <w:tr>
        <w:tc>
          <w:tcPr>
            <w:tcW w:type="dxa" w:w="2351"/>
            <w:shd w:val="clear" w:color="auto" w:fill="FFFFFF"/>
          </w:tcPr>
          <w:p>
            <w:pPr>
              <w:spacing w:before="80" w:after="80"/>
              <w:ind w:left="113"/>
            </w:pPr>
            <w:r>
              <w:rPr>
                <w:rFonts w:ascii="Calibri" w:hAnsi="Calibri"/>
                <w:color w:val="1F2937"/>
                <w:sz w:val="19"/>
              </w:rPr>
              <w:t>Ministry / media crisis</w:t>
            </w:r>
          </w:p>
        </w:tc>
        <w:tc>
          <w:tcPr>
            <w:tcW w:type="dxa" w:w="2351"/>
            <w:shd w:val="clear" w:color="auto" w:fill="FFFFFF"/>
          </w:tcPr>
          <w:p>
            <w:pPr>
              <w:spacing w:before="80" w:after="80"/>
              <w:ind w:left="113"/>
            </w:pPr>
            <w:r>
              <w:rPr>
                <w:rFonts w:ascii="Calibri" w:hAnsi="Calibri"/>
                <w:color w:val="1F2937"/>
                <w:sz w:val="19"/>
              </w:rPr>
              <w:t>Current: reactive (investigation after media story)</w:t>
            </w:r>
          </w:p>
        </w:tc>
        <w:tc>
          <w:tcPr>
            <w:tcW w:type="dxa" w:w="2351"/>
            <w:shd w:val="clear" w:color="auto" w:fill="FFFFFF"/>
          </w:tcPr>
          <w:p>
            <w:pPr>
              <w:spacing w:before="80" w:after="80"/>
              <w:ind w:left="113"/>
            </w:pPr>
            <w:r>
              <w:rPr>
                <w:rFonts w:ascii="Calibri" w:hAnsi="Calibri"/>
                <w:color w:val="1F2937"/>
                <w:sz w:val="19"/>
              </w:rPr>
              <w:t>Proactive: CEO sees problem before journalist does</w:t>
            </w:r>
          </w:p>
        </w:tc>
        <w:tc>
          <w:tcPr>
            <w:tcW w:type="dxa" w:w="2351"/>
            <w:shd w:val="clear" w:color="auto" w:fill="FFFFFF"/>
          </w:tcPr>
          <w:p>
            <w:pPr>
              <w:spacing w:before="80" w:after="80"/>
              <w:ind w:left="113"/>
            </w:pPr>
            <w:r>
              <w:rPr>
                <w:rFonts w:ascii="Calibri" w:hAnsi="Calibri"/>
                <w:color w:val="1F2937"/>
                <w:sz w:val="19"/>
              </w:rPr>
              <w:t>Estimated TZS 50M per avoided ministerial investigation and media crisis</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4B87"/>
          </w:tcPr>
          <w:p>
            <w:pPr>
              <w:spacing w:before="80" w:after="80"/>
              <w:ind w:left="170"/>
            </w:pPr>
            <w:r>
              <w:rPr>
                <w:rFonts w:ascii="Calibri" w:hAnsi="Calibri"/>
                <w:b/>
                <w:color w:val="FFFFFF"/>
                <w:sz w:val="20"/>
              </w:rPr>
              <w:t>THE RIVIWA ROI SUMMARY FOR MNH</w:t>
            </w:r>
          </w:p>
        </w:tc>
      </w:tr>
      <w:tr>
        <w:tc>
          <w:tcPr>
            <w:tcW w:type="dxa" w:w="9406"/>
            <w:shd w:val="clear" w:color="auto" w:fill="E8F2FF"/>
          </w:tcPr>
          <w:p>
            <w:pPr>
              <w:spacing w:before="60" w:after="60"/>
              <w:ind w:left="170"/>
            </w:pPr>
            <w:r>
              <w:rPr>
                <w:rFonts w:ascii="Calibri" w:hAnsi="Calibri"/>
                <w:color w:val="1F2937"/>
                <w:sz w:val="20"/>
              </w:rPr>
              <w:t xml:space="preserve">  Every year that MNH operates without a structured patient feedback system,</w:t>
            </w:r>
          </w:p>
        </w:tc>
      </w:tr>
      <w:tr>
        <w:tc>
          <w:tcPr>
            <w:tcW w:type="dxa" w:w="9406"/>
            <w:shd w:val="clear" w:color="auto" w:fill="E8F2FF"/>
          </w:tcPr>
          <w:p>
            <w:pPr>
              <w:spacing w:before="60" w:after="60"/>
              <w:ind w:left="170"/>
            </w:pPr>
            <w:r>
              <w:rPr>
                <w:rFonts w:ascii="Calibri" w:hAnsi="Calibri"/>
                <w:color w:val="1F2937"/>
                <w:sz w:val="20"/>
              </w:rPr>
              <w:t xml:space="preserve">  it runs the same risks: preventable maternal deaths from blood unavailability,</w:t>
            </w:r>
          </w:p>
        </w:tc>
      </w:tr>
      <w:tr>
        <w:tc>
          <w:tcPr>
            <w:tcW w:type="dxa" w:w="9406"/>
            <w:shd w:val="clear" w:color="auto" w:fill="E8F2FF"/>
          </w:tcPr>
          <w:p>
            <w:pPr>
              <w:spacing w:before="60" w:after="60"/>
              <w:ind w:left="170"/>
            </w:pPr>
            <w:r>
              <w:rPr>
                <w:rFonts w:ascii="Calibri" w:hAnsi="Calibri"/>
                <w:color w:val="1F2937"/>
                <w:sz w:val="20"/>
              </w:rPr>
              <w:t xml:space="preserve">  maternity bribery reported to national media, medicine stock-outs sending</w:t>
            </w:r>
          </w:p>
        </w:tc>
      </w:tr>
      <w:tr>
        <w:tc>
          <w:tcPr>
            <w:tcW w:type="dxa" w:w="9406"/>
            <w:shd w:val="clear" w:color="auto" w:fill="E8F2FF"/>
          </w:tcPr>
          <w:p>
            <w:pPr>
              <w:spacing w:before="60" w:after="60"/>
              <w:ind w:left="170"/>
            </w:pPr>
            <w:r>
              <w:rPr>
                <w:rFonts w:ascii="Calibri" w:hAnsi="Calibri"/>
                <w:color w:val="1F2937"/>
                <w:sz w:val="20"/>
              </w:rPr>
              <w:t xml:space="preserve">  patients to counterfeit street vendors, and specialist delays reaching</w:t>
            </w:r>
          </w:p>
        </w:tc>
      </w:tr>
      <w:tr>
        <w:tc>
          <w:tcPr>
            <w:tcW w:type="dxa" w:w="9406"/>
            <w:shd w:val="clear" w:color="auto" w:fill="E8F2FF"/>
          </w:tcPr>
          <w:p>
            <w:pPr>
              <w:spacing w:before="60" w:after="60"/>
              <w:ind w:left="170"/>
            </w:pPr>
            <w:r>
              <w:rPr>
                <w:rFonts w:ascii="Calibri" w:hAnsi="Calibri"/>
                <w:color w:val="1F2937"/>
                <w:sz w:val="20"/>
              </w:rPr>
              <w:t xml:space="preserve">  the Minister of Health before the CEO knows about them.</w:t>
            </w:r>
          </w:p>
        </w:tc>
      </w:tr>
      <w:tr>
        <w:tc>
          <w:tcPr>
            <w:tcW w:type="dxa" w:w="9406"/>
            <w:shd w:val="clear" w:color="auto" w:fill="E8F2FF"/>
          </w:tcPr>
          <w:p>
            <w:pPr>
              <w:spacing w:before="60" w:after="60"/>
              <w:ind w:left="170"/>
            </w:pPr>
            <w:r>
              <w:rPr>
                <w:rFonts w:ascii="Calibri" w:hAnsi="Calibri"/>
                <w:color w:val="1F2937"/>
                <w:sz w:val="20"/>
              </w:rPr>
            </w:r>
          </w:p>
        </w:tc>
      </w:tr>
      <w:tr>
        <w:tc>
          <w:tcPr>
            <w:tcW w:type="dxa" w:w="9406"/>
            <w:shd w:val="clear" w:color="auto" w:fill="E8F2FF"/>
          </w:tcPr>
          <w:p>
            <w:pPr>
              <w:spacing w:before="60" w:after="60"/>
              <w:ind w:left="170"/>
            </w:pPr>
            <w:r>
              <w:rPr>
                <w:rFonts w:ascii="Calibri" w:hAnsi="Calibri"/>
                <w:color w:val="1F2937"/>
                <w:sz w:val="20"/>
              </w:rPr>
              <w:t xml:space="preserve">  Riviwa eliminates all four risk categories simultaneously.</w:t>
            </w:r>
          </w:p>
        </w:tc>
      </w:tr>
      <w:tr>
        <w:tc>
          <w:tcPr>
            <w:tcW w:type="dxa" w:w="9406"/>
            <w:shd w:val="clear" w:color="auto" w:fill="E8F2FF"/>
          </w:tcPr>
          <w:p>
            <w:pPr>
              <w:spacing w:before="60" w:after="60"/>
              <w:ind w:left="170"/>
            </w:pPr>
            <w:r>
              <w:rPr>
                <w:rFonts w:ascii="Calibri" w:hAnsi="Calibri"/>
                <w:color w:val="1F2937"/>
                <w:sz w:val="20"/>
              </w:rPr>
              <w:t xml:space="preserve">  The annual subscription cost is a fraction of a single ministerial</w:t>
            </w:r>
          </w:p>
        </w:tc>
      </w:tr>
      <w:tr>
        <w:tc>
          <w:tcPr>
            <w:tcW w:type="dxa" w:w="9406"/>
            <w:shd w:val="clear" w:color="auto" w:fill="E8F2FF"/>
          </w:tcPr>
          <w:p>
            <w:pPr>
              <w:spacing w:before="60" w:after="60"/>
              <w:ind w:left="170"/>
            </w:pPr>
            <w:r>
              <w:rPr>
                <w:rFonts w:ascii="Calibri" w:hAnsi="Calibri"/>
                <w:color w:val="1F2937"/>
                <w:sz w:val="20"/>
              </w:rPr>
              <w:t xml:space="preserve">  investigation, a single medico-legal claim, or a single maternal death</w:t>
            </w:r>
          </w:p>
        </w:tc>
      </w:tr>
      <w:tr>
        <w:tc>
          <w:tcPr>
            <w:tcW w:type="dxa" w:w="9406"/>
            <w:shd w:val="clear" w:color="auto" w:fill="E8F2FF"/>
          </w:tcPr>
          <w:p>
            <w:pPr>
              <w:spacing w:before="60" w:after="60"/>
              <w:ind w:left="170"/>
            </w:pPr>
            <w:r>
              <w:rPr>
                <w:rFonts w:ascii="Calibri" w:hAnsi="Calibri"/>
                <w:color w:val="1F2937"/>
                <w:sz w:val="20"/>
              </w:rPr>
              <w:t xml:space="preserve">  that was preventable with 15 minutes of blood bank alert lead time.</w:t>
            </w:r>
          </w:p>
        </w:tc>
      </w:tr>
      <w:tr>
        <w:tc>
          <w:tcPr>
            <w:tcW w:type="dxa" w:w="9406"/>
            <w:shd w:val="clear" w:color="auto" w:fill="E8F2FF"/>
          </w:tcPr>
          <w:p>
            <w:pPr>
              <w:spacing w:before="60" w:after="60"/>
              <w:ind w:left="170"/>
            </w:pPr>
            <w:r>
              <w:rPr>
                <w:rFonts w:ascii="Calibri" w:hAnsi="Calibri"/>
                <w:color w:val="1F2937"/>
                <w:sz w:val="20"/>
              </w:rPr>
            </w:r>
          </w:p>
        </w:tc>
      </w:tr>
      <w:tr>
        <w:tc>
          <w:tcPr>
            <w:tcW w:type="dxa" w:w="9406"/>
            <w:shd w:val="clear" w:color="auto" w:fill="E8F2FF"/>
          </w:tcPr>
          <w:p>
            <w:pPr>
              <w:spacing w:before="60" w:after="60"/>
              <w:ind w:left="170"/>
            </w:pPr>
            <w:r>
              <w:rPr>
                <w:rFonts w:ascii="Calibri" w:hAnsi="Calibri"/>
                <w:color w:val="1F2937"/>
                <w:sz w:val="20"/>
              </w:rPr>
              <w:t xml:space="preserve">  MNH is Tanzania's most important hospital. It deserves Tanzania's</w:t>
            </w:r>
          </w:p>
        </w:tc>
      </w:tr>
      <w:tr>
        <w:tc>
          <w:tcPr>
            <w:tcW w:type="dxa" w:w="9406"/>
            <w:shd w:val="clear" w:color="auto" w:fill="E8F2FF"/>
          </w:tcPr>
          <w:p>
            <w:pPr>
              <w:spacing w:before="60" w:after="60"/>
              <w:ind w:left="170"/>
            </w:pPr>
            <w:r>
              <w:rPr>
                <w:rFonts w:ascii="Calibri" w:hAnsi="Calibri"/>
                <w:color w:val="1F2937"/>
                <w:sz w:val="20"/>
              </w:rPr>
              <w:t xml:space="preserve">  most capable patient accountability platform.</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4B87"/>
          </w:tcPr>
          <w:p>
            <w:pPr>
              <w:spacing w:before="0" w:after="0"/>
            </w:pPr>
          </w:p>
        </w:tc>
      </w:tr>
    </w:tbl>
    <w:p>
      <w:pPr>
        <w:spacing w:after="0"/>
      </w:pPr>
    </w:p>
    <w:p>
      <w:pPr>
        <w:spacing w:before="280" w:after="120"/>
        <w:jc w:val="left"/>
      </w:pPr>
      <w:r>
        <w:rPr>
          <w:rFonts w:ascii="Calibri" w:hAnsi="Calibri"/>
          <w:b/>
          <w:i w:val="0"/>
          <w:color w:val="004B87"/>
          <w:sz w:val="36"/>
        </w:rPr>
        <w:t>10.  NEXT STEPS — THREE ACTIONS THIS WEEK</w:t>
      </w:r>
    </w:p>
    <w:tbl>
      <w:tblPr>
        <w:tblW w:type="auto" w:w="0"/>
        <w:jc w:val="left"/>
        <w:tblLook w:firstColumn="1" w:firstRow="1" w:lastColumn="0" w:lastRow="0" w:noHBand="0" w:noVBand="1" w:val="04A0"/>
      </w:tblPr>
      <w:tblGrid>
        <w:gridCol w:w="9406"/>
      </w:tblGrid>
      <w:tr>
        <w:tc>
          <w:tcPr>
            <w:tcW w:type="dxa" w:w="9406"/>
            <w:shd w:val="clear" w:color="auto" w:fill="007A3D"/>
          </w:tcPr>
          <w:p>
            <w:pPr>
              <w:spacing w:before="80" w:after="80"/>
              <w:ind w:left="170"/>
            </w:pPr>
            <w:r>
              <w:rPr>
                <w:rFonts w:ascii="Calibri" w:hAnsi="Calibri"/>
                <w:b/>
                <w:color w:val="FFFFFF"/>
                <w:sz w:val="20"/>
              </w:rPr>
              <w:t>WHAT MNH SHOULD DO NOW</w:t>
            </w:r>
          </w:p>
        </w:tc>
      </w:tr>
      <w:tr>
        <w:tc>
          <w:tcPr>
            <w:tcW w:type="dxa" w:w="9406"/>
            <w:shd w:val="clear" w:color="auto" w:fill="E8F5E9"/>
          </w:tcPr>
          <w:p>
            <w:pPr>
              <w:spacing w:before="60" w:after="60"/>
              <w:ind w:left="170"/>
            </w:pPr>
            <w:r>
              <w:rPr>
                <w:rFonts w:ascii="Calibri" w:hAnsi="Calibri"/>
                <w:color w:val="1F2937"/>
                <w:sz w:val="20"/>
              </w:rPr>
              <w:t xml:space="preserve">  1.  BOOK A LIVE DEMONSTRATION (30 minutes)</w:t>
            </w:r>
          </w:p>
        </w:tc>
      </w:tr>
      <w:tr>
        <w:tc>
          <w:tcPr>
            <w:tcW w:type="dxa" w:w="9406"/>
            <w:shd w:val="clear" w:color="auto" w:fill="E8F5E9"/>
          </w:tcPr>
          <w:p>
            <w:pPr>
              <w:spacing w:before="60" w:after="60"/>
              <w:ind w:left="170"/>
            </w:pPr>
            <w:r>
              <w:rPr>
                <w:rFonts w:ascii="Calibri" w:hAnsi="Calibri"/>
                <w:color w:val="1F2937"/>
                <w:sz w:val="20"/>
              </w:rPr>
              <w:t xml:space="preserve">      We will show the MNH dashboard live — including a simulation of:</w:t>
            </w:r>
          </w:p>
        </w:tc>
      </w:tr>
      <w:tr>
        <w:tc>
          <w:tcPr>
            <w:tcW w:type="dxa" w:w="9406"/>
            <w:shd w:val="clear" w:color="auto" w:fill="E8F5E9"/>
          </w:tcPr>
          <w:p>
            <w:pPr>
              <w:spacing w:before="60" w:after="60"/>
              <w:ind w:left="170"/>
            </w:pPr>
            <w:r>
              <w:rPr>
                <w:rFonts w:ascii="Calibri" w:hAnsi="Calibri"/>
                <w:color w:val="1F2937"/>
                <w:sz w:val="20"/>
              </w:rPr>
              <w:t xml:space="preserve">      - A maternity bribery complaint arriving anonymously via WhatsApp</w:t>
            </w:r>
          </w:p>
        </w:tc>
      </w:tr>
      <w:tr>
        <w:tc>
          <w:tcPr>
            <w:tcW w:type="dxa" w:w="9406"/>
            <w:shd w:val="clear" w:color="auto" w:fill="E8F5E9"/>
          </w:tcPr>
          <w:p>
            <w:pPr>
              <w:spacing w:before="60" w:after="60"/>
              <w:ind w:left="170"/>
            </w:pPr>
            <w:r>
              <w:rPr>
                <w:rFonts w:ascii="Calibri" w:hAnsi="Calibri"/>
                <w:color w:val="1F2937"/>
                <w:sz w:val="20"/>
              </w:rPr>
              <w:t xml:space="preserve">      - A blood bank O-negative stock-out alert firing to the on-call obstetrician</w:t>
            </w:r>
          </w:p>
        </w:tc>
      </w:tr>
      <w:tr>
        <w:tc>
          <w:tcPr>
            <w:tcW w:type="dxa" w:w="9406"/>
            <w:shd w:val="clear" w:color="auto" w:fill="E8F5E9"/>
          </w:tcPr>
          <w:p>
            <w:pPr>
              <w:spacing w:before="60" w:after="60"/>
              <w:ind w:left="170"/>
            </w:pPr>
            <w:r>
              <w:rPr>
                <w:rFonts w:ascii="Calibri" w:hAnsi="Calibri"/>
                <w:color w:val="1F2937"/>
                <w:sz w:val="20"/>
              </w:rPr>
              <w:t xml:space="preserve">      - The CEO executive dashboard showing SLA breaches across all 25 departments</w:t>
            </w:r>
          </w:p>
        </w:tc>
      </w:tr>
      <w:tr>
        <w:tc>
          <w:tcPr>
            <w:tcW w:type="dxa" w:w="9406"/>
            <w:shd w:val="clear" w:color="auto" w:fill="E8F5E9"/>
          </w:tcPr>
          <w:p>
            <w:pPr>
              <w:spacing w:before="60" w:after="60"/>
              <w:ind w:left="170"/>
            </w:pPr>
            <w:r>
              <w:rPr>
                <w:rFonts w:ascii="Calibri" w:hAnsi="Calibri"/>
                <w:color w:val="1F2937"/>
                <w:sz w:val="20"/>
              </w:rPr>
              <w:t xml:space="preserve">      Contact: info@riviwa.com or WhatsApp: +255 XXX XXX XXX</w:t>
            </w:r>
          </w:p>
        </w:tc>
      </w:tr>
      <w:tr>
        <w:tc>
          <w:tcPr>
            <w:tcW w:type="dxa" w:w="9406"/>
            <w:shd w:val="clear" w:color="auto" w:fill="E8F5E9"/>
          </w:tcPr>
          <w:p>
            <w:pPr>
              <w:spacing w:before="60" w:after="60"/>
              <w:ind w:left="170"/>
            </w:pPr>
            <w:r>
              <w:rPr>
                <w:rFonts w:ascii="Calibri" w:hAnsi="Calibri"/>
                <w:color w:val="1F2937"/>
                <w:sz w:val="20"/>
              </w:rPr>
            </w:r>
          </w:p>
        </w:tc>
      </w:tr>
      <w:tr>
        <w:tc>
          <w:tcPr>
            <w:tcW w:type="dxa" w:w="9406"/>
            <w:shd w:val="clear" w:color="auto" w:fill="E8F5E9"/>
          </w:tcPr>
          <w:p>
            <w:pPr>
              <w:spacing w:before="60" w:after="60"/>
              <w:ind w:left="170"/>
            </w:pPr>
            <w:r>
              <w:rPr>
                <w:rFonts w:ascii="Calibri" w:hAnsi="Calibri"/>
                <w:color w:val="1F2937"/>
                <w:sz w:val="20"/>
              </w:rPr>
              <w:t xml:space="preserve">  2.  REVIEW THE LIVE MNH RIVIWA ACCOUNT (already configured)</w:t>
            </w:r>
          </w:p>
        </w:tc>
      </w:tr>
      <w:tr>
        <w:tc>
          <w:tcPr>
            <w:tcW w:type="dxa" w:w="9406"/>
            <w:shd w:val="clear" w:color="auto" w:fill="E8F5E9"/>
          </w:tcPr>
          <w:p>
            <w:pPr>
              <w:spacing w:before="60" w:after="60"/>
              <w:ind w:left="170"/>
            </w:pPr>
            <w:r>
              <w:rPr>
                <w:rFonts w:ascii="Calibri" w:hAnsi="Calibri"/>
                <w:color w:val="1F2937"/>
                <w:sz w:val="20"/>
              </w:rPr>
              <w:t xml:space="preserve">      Login:    mnh_admin_v2@muhimbili.co.tz</w:t>
            </w:r>
          </w:p>
        </w:tc>
      </w:tr>
      <w:tr>
        <w:tc>
          <w:tcPr>
            <w:tcW w:type="dxa" w:w="9406"/>
            <w:shd w:val="clear" w:color="auto" w:fill="E8F5E9"/>
          </w:tcPr>
          <w:p>
            <w:pPr>
              <w:spacing w:before="60" w:after="60"/>
              <w:ind w:left="170"/>
            </w:pPr>
            <w:r>
              <w:rPr>
                <w:rFonts w:ascii="Calibri" w:hAnsi="Calibri"/>
                <w:color w:val="1F2937"/>
                <w:sz w:val="20"/>
              </w:rPr>
              <w:t xml:space="preserve">      Password: MNH@Admin2026!</w:t>
            </w:r>
          </w:p>
        </w:tc>
      </w:tr>
      <w:tr>
        <w:tc>
          <w:tcPr>
            <w:tcW w:type="dxa" w:w="9406"/>
            <w:shd w:val="clear" w:color="auto" w:fill="E8F5E9"/>
          </w:tcPr>
          <w:p>
            <w:pPr>
              <w:spacing w:before="60" w:after="60"/>
              <w:ind w:left="170"/>
            </w:pPr>
            <w:r>
              <w:rPr>
                <w:rFonts w:ascii="Calibri" w:hAnsi="Calibri"/>
                <w:color w:val="1F2937"/>
                <w:sz w:val="20"/>
              </w:rPr>
              <w:t xml:space="preserve">      Dashboard: https://riviwa.com</w:t>
            </w:r>
          </w:p>
        </w:tc>
      </w:tr>
      <w:tr>
        <w:tc>
          <w:tcPr>
            <w:tcW w:type="dxa" w:w="9406"/>
            <w:shd w:val="clear" w:color="auto" w:fill="E8F5E9"/>
          </w:tcPr>
          <w:p>
            <w:pPr>
              <w:spacing w:before="60" w:after="60"/>
              <w:ind w:left="170"/>
            </w:pPr>
            <w:r>
              <w:rPr>
                <w:rFonts w:ascii="Calibri" w:hAnsi="Calibri"/>
                <w:color w:val="1F2937"/>
                <w:sz w:val="20"/>
              </w:rPr>
              <w:t xml:space="preserve">      API:       https://api.riviwa.com/api/v1</w:t>
            </w:r>
          </w:p>
        </w:tc>
      </w:tr>
      <w:tr>
        <w:tc>
          <w:tcPr>
            <w:tcW w:type="dxa" w:w="9406"/>
            <w:shd w:val="clear" w:color="auto" w:fill="E8F5E9"/>
          </w:tcPr>
          <w:p>
            <w:pPr>
              <w:spacing w:before="60" w:after="60"/>
              <w:ind w:left="170"/>
            </w:pPr>
            <w:r>
              <w:rPr>
                <w:rFonts w:ascii="Calibri" w:hAnsi="Calibri"/>
                <w:color w:val="1F2937"/>
                <w:sz w:val="20"/>
              </w:rPr>
            </w:r>
          </w:p>
        </w:tc>
      </w:tr>
      <w:tr>
        <w:tc>
          <w:tcPr>
            <w:tcW w:type="dxa" w:w="9406"/>
            <w:shd w:val="clear" w:color="auto" w:fill="E8F5E9"/>
          </w:tcPr>
          <w:p>
            <w:pPr>
              <w:spacing w:before="60" w:after="60"/>
              <w:ind w:left="170"/>
            </w:pPr>
            <w:r>
              <w:rPr>
                <w:rFonts w:ascii="Calibri" w:hAnsi="Calibri"/>
                <w:color w:val="1F2937"/>
                <w:sz w:val="20"/>
              </w:rPr>
              <w:t xml:space="preserve">  3.  APPROVE PHASE 1 DEPLOYMENT (Maternity + A&amp;E + Neurology)</w:t>
            </w:r>
          </w:p>
        </w:tc>
      </w:tr>
      <w:tr>
        <w:tc>
          <w:tcPr>
            <w:tcW w:type="dxa" w:w="9406"/>
            <w:shd w:val="clear" w:color="auto" w:fill="E8F5E9"/>
          </w:tcPr>
          <w:p>
            <w:pPr>
              <w:spacing w:before="60" w:after="60"/>
              <w:ind w:left="170"/>
            </w:pPr>
            <w:r>
              <w:rPr>
                <w:rFonts w:ascii="Calibri" w:hAnsi="Calibri"/>
                <w:color w:val="1F2937"/>
                <w:sz w:val="20"/>
              </w:rPr>
              <w:t xml:space="preserve">      Start with the three highest-risk departments. Zero IT infrastructure</w:t>
            </w:r>
          </w:p>
        </w:tc>
      </w:tr>
      <w:tr>
        <w:tc>
          <w:tcPr>
            <w:tcW w:type="dxa" w:w="9406"/>
            <w:shd w:val="clear" w:color="auto" w:fill="E8F5E9"/>
          </w:tcPr>
          <w:p>
            <w:pPr>
              <w:spacing w:before="60" w:after="60"/>
              <w:ind w:left="170"/>
            </w:pPr>
            <w:r>
              <w:rPr>
                <w:rFonts w:ascii="Calibri" w:hAnsi="Calibri"/>
                <w:color w:val="1F2937"/>
                <w:sz w:val="20"/>
              </w:rPr>
              <w:t xml:space="preserve">      required. QR codes printed and deployed within 3 days of approval.</w:t>
            </w:r>
          </w:p>
        </w:tc>
      </w:tr>
      <w:tr>
        <w:tc>
          <w:tcPr>
            <w:tcW w:type="dxa" w:w="9406"/>
            <w:shd w:val="clear" w:color="auto" w:fill="E8F5E9"/>
          </w:tcPr>
          <w:p>
            <w:pPr>
              <w:spacing w:before="60" w:after="60"/>
              <w:ind w:left="170"/>
            </w:pPr>
            <w:r>
              <w:rPr>
                <w:rFonts w:ascii="Calibri" w:hAnsi="Calibri"/>
                <w:color w:val="1F2937"/>
                <w:sz w:val="20"/>
              </w:rPr>
              <w:t xml:space="preserve">      First CRITICAL complaint channel live within 1 week.</w:t>
            </w:r>
          </w:p>
        </w:tc>
      </w:tr>
      <w:tr>
        <w:tc>
          <w:tcPr>
            <w:tcW w:type="dxa" w:w="9406"/>
            <w:shd w:val="clear" w:color="auto" w:fill="E8F5E9"/>
          </w:tcPr>
          <w:p>
            <w:pPr>
              <w:spacing w:before="60" w:after="60"/>
              <w:ind w:left="170"/>
            </w:pPr>
            <w:r>
              <w:rPr>
                <w:rFonts w:ascii="Calibri" w:hAnsi="Calibri"/>
                <w:color w:val="1F2937"/>
                <w:sz w:val="20"/>
              </w:rPr>
              <w:t xml:space="preserve">      First department performance report: end of week 4.</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A87"/>
          </w:tcPr>
          <w:p>
            <w:pPr>
              <w:spacing w:before="0" w:after="0"/>
            </w:pPr>
          </w:p>
        </w:tc>
      </w:tr>
    </w:tbl>
    <w:p>
      <w:pPr>
        <w:spacing w:after="0"/>
      </w:pPr>
    </w:p>
    <w:p>
      <w:pPr>
        <w:spacing w:before="160" w:after="40"/>
        <w:jc w:val="center"/>
      </w:pPr>
      <w:r>
        <w:rPr>
          <w:rFonts w:ascii="Calibri" w:hAnsi="Calibri"/>
          <w:b/>
          <w:i w:val="0"/>
          <w:color w:val="004B87"/>
          <w:sz w:val="19"/>
        </w:rPr>
        <w:t>RIVIWA GRM PLATFORM  |  info@riviwa.com  |  www.riviwa.com  |  +255 XXX XXX XXX</w:t>
      </w:r>
    </w:p>
    <w:p>
      <w:pPr>
        <w:spacing w:before="40" w:after="40"/>
        <w:jc w:val="center"/>
      </w:pPr>
      <w:r>
        <w:rPr>
          <w:rFonts w:ascii="Calibri" w:hAnsi="Calibri"/>
          <w:b w:val="0"/>
          <w:i w:val="0"/>
          <w:color w:val="6B7280"/>
          <w:sz w:val="18"/>
        </w:rPr>
        <w:t>Muhimbili National Hospital  |  United Nations Road, Upanga, Dar es Salaam, Tanzania</w:t>
      </w:r>
    </w:p>
    <w:p>
      <w:pPr>
        <w:spacing w:before="40" w:after="160"/>
        <w:jc w:val="center"/>
      </w:pPr>
      <w:r>
        <w:rPr>
          <w:rFonts w:ascii="Calibri" w:hAnsi="Calibri"/>
          <w:b w:val="0"/>
          <w:i/>
          <w:color w:val="6B7280"/>
          <w:sz w:val="18"/>
        </w:rPr>
        <w:t>Document Reference: RIV-MNH-TZ-2026-001  |  Date: 13 May 2026  |  Version 1.0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