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120"/>
        <w:jc w:val="center"/>
      </w:pPr>
      <w:r>
        <w:rPr>
          <w:rFonts w:ascii="Calibri" w:cs="Calibri" w:eastAsia="Calibri" w:hAnsi="Calibri"/>
          <w:b/>
          <w:bCs/>
          <w:color w:val="0C3547"/>
          <w:sz w:val="96"/>
          <w:szCs w:val="96"/>
        </w:rPr>
        <w:t xml:space="preserve">RIVIWA</w:t>
      </w:r>
    </w:p>
    <w:p>
      <w:pPr>
        <w:spacing w:after="80"/>
        <w:jc w:val="center"/>
      </w:pPr>
      <w:r>
        <w:rPr>
          <w:rFonts w:ascii="Calibri" w:cs="Calibri" w:eastAsia="Calibri" w:hAnsi="Calibri"/>
          <w:b/>
          <w:bCs/>
          <w:color w:val="0B7A8C"/>
          <w:sz w:val="36"/>
          <w:szCs w:val="36"/>
        </w:rPr>
        <w:t xml:space="preserve">Digital Infrastructure Management &amp; Grievance Redress Platform</w:t>
      </w:r>
    </w:p>
    <w:p>
      <w:pPr>
        <w:spacing w:after="600"/>
        <w:jc w:val="center"/>
      </w:pPr>
      <w:r>
        <w:rPr>
          <w:rFonts w:ascii="Calibri" w:cs="Calibri" w:eastAsia="Calibri" w:hAnsi="Calibri"/>
          <w:color w:val="555555"/>
          <w:sz w:val="26"/>
          <w:szCs w:val="26"/>
        </w:rPr>
        <w:t xml:space="preserve">Tanzania Road Infrastructure Development Programme</w:t>
      </w:r>
    </w:p>
    <w:p>
      <w:pPr>
        <w:spacing w:after="600"/>
        <w:jc w:val="center"/>
      </w:pPr>
      <w:r>
        <w:rPr>
          <w:rFonts w:ascii="Calibri" w:cs="Calibri" w:eastAsia="Calibri" w:hAnsi="Calibri"/>
          <w:color w:val="0B7A8C"/>
          <w:sz w:val="24"/>
          <w:szCs w:val="24"/>
        </w:rPr>
        <w:t xml:space="preserve">─────────────────────────────────────</w:t>
      </w:r>
    </w:p>
    <w:p>
      <w:pPr>
        <w:spacing w:after="80"/>
        <w:jc w:val="center"/>
      </w:pPr>
      <w:r>
        <w:rPr>
          <w:rFonts w:ascii="Calibri" w:cs="Calibri" w:eastAsia="Calibri" w:hAnsi="Calibri"/>
          <w:color w:val="2C2C2C"/>
          <w:sz w:val="24"/>
          <w:szCs w:val="24"/>
        </w:rPr>
        <w:t xml:space="preserve">Executive Briefing for Project Leadership, Government Ministers</w:t>
      </w:r>
    </w:p>
    <w:p>
      <w:pPr>
        <w:spacing w:after="600"/>
        <w:jc w:val="center"/>
      </w:pPr>
      <w:r>
        <w:rPr>
          <w:rFonts w:ascii="Calibri" w:cs="Calibri" w:eastAsia="Calibri" w:hAnsi="Calibri"/>
          <w:color w:val="2C2C2C"/>
          <w:sz w:val="24"/>
          <w:szCs w:val="24"/>
        </w:rPr>
        <w:t xml:space="preserve">and the World Bank Group</w:t>
      </w:r>
    </w:p>
    <w:p>
      <w:pPr>
        <w:spacing w:after="200"/>
        <w:jc w:val="center"/>
      </w:pPr>
      <w:r>
        <w:rPr>
          <w:rFonts w:ascii="Calibri" w:cs="Calibri" w:eastAsia="Calibri" w:hAnsi="Calibri"/>
          <w:color w:val="555555"/>
          <w:sz w:val="22"/>
          <w:szCs w:val="22"/>
        </w:rPr>
        <w:t xml:space="preserve">Tanzania  |  March 2026</w:t>
      </w:r>
    </w:p>
    <w:p>
      <w:r>
        <w:br w:type="page"/>
      </w:r>
    </w:p>
    <w:p>
      <w:pPr>
        <w:pStyle w:val="Heading1"/>
        <w:pBdr>
          <w:bottom w:val="single" w:color="0B7A8C" w:sz="6" w:space="4"/>
        </w:pBdr>
        <w:spacing w:before="320" w:after="160"/>
      </w:pPr>
      <w:r>
        <w:rPr>
          <w:rFonts w:ascii="Calibri" w:cs="Calibri" w:eastAsia="Calibri" w:hAnsi="Calibri"/>
          <w:b/>
          <w:bCs/>
          <w:color w:val="0C3547"/>
          <w:sz w:val="36"/>
          <w:szCs w:val="36"/>
        </w:rPr>
        <w:t xml:space="preserve">Executive Summary</w:t>
      </w:r>
    </w:p>
    <w:p>
      <w:pPr>
        <w:spacing w:after="120"/>
      </w:pPr>
      <w:r>
        <w:rPr>
          <w:rFonts w:ascii="Calibri" w:cs="Calibri" w:eastAsia="Calibri" w:hAnsi="Calibri"/>
          <w:color w:val="2C2C2C"/>
          <w:sz w:val="22"/>
          <w:szCs w:val="22"/>
        </w:rPr>
        <w:t xml:space="preserve">Riviwa is a purpose-built digital platform designed to give Tanzania's road infrastructure programmes full command over their most critical operational obligations: </w:t>
      </w:r>
      <w:r>
        <w:rPr>
          <w:rFonts w:ascii="Calibri" w:cs="Calibri" w:eastAsia="Calibri" w:hAnsi="Calibri"/>
          <w:b/>
          <w:bCs/>
          <w:color w:val="2C2C2C"/>
          <w:sz w:val="22"/>
          <w:szCs w:val="22"/>
        </w:rPr>
        <w:t xml:space="preserve">knowing who is affected by their projects, listening to their concerns, responding within World Bank deadlines, and documenting every interaction with the rigour required by the Environmental and Social Framework (ESF).</w:t>
      </w:r>
    </w:p>
    <w:p>
      <w:pPr>
        <w:spacing w:after="80"/>
      </w:pPr>
      <w:r>
        <w:t xml:space="preserve"/>
      </w:r>
    </w:p>
    <w:p>
      <w:pPr>
        <w:spacing w:after="120"/>
      </w:pPr>
      <w:r>
        <w:rPr>
          <w:rFonts w:ascii="Calibri" w:cs="Calibri" w:eastAsia="Calibri" w:hAnsi="Calibri"/>
          <w:color w:val="2C2C2C"/>
          <w:sz w:val="22"/>
          <w:szCs w:val="22"/>
        </w:rPr>
        <w:t xml:space="preserve">Built for the Tanzania National Roads Agency (TANROADS), the Tanzania Rural and Urban Roads Agency (TARURA), the World Bank-funded Bridge Construction and Upgrading Project (BCUP), and the Roads and Transport Programme (RTP), Riviwa transforms what has traditionally been a paper-based, manual, and often non-compliant process into a </w:t>
      </w:r>
      <w:r>
        <w:rPr>
          <w:rFonts w:ascii="Calibri" w:cs="Calibri" w:eastAsia="Calibri" w:hAnsi="Calibri"/>
          <w:b/>
          <w:bCs/>
          <w:color w:val="2C2C2C"/>
          <w:sz w:val="22"/>
          <w:szCs w:val="22"/>
        </w:rPr>
        <w:t xml:space="preserve">real-time, auditable, AI-assisted, mobile-first digital system</w:t>
      </w:r>
      <w:r>
        <w:rPr>
          <w:rFonts w:ascii="Calibri" w:cs="Calibri" w:eastAsia="Calibri" w:hAnsi="Calibri"/>
          <w:color w:val="2C2C2C"/>
          <w:sz w:val="22"/>
          <w:szCs w:val="22"/>
        </w:rPr>
        <w:t xml:space="preserve"> that operates in both Swahili and English across every level of the Grievance Redress Mechanism (GRM) hierarchy.</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62E" w:sz="12"/>
              <w:left w:val="single" w:color="C8962E" w:sz="12"/>
              <w:bottom w:val="single" w:color="C8962E" w:sz="4"/>
              <w:right w:val="single" w:color="C8962E" w:sz="4"/>
            </w:tcBorders>
            <w:shd w:fill="FDF4E0" w:val="clear"/>
            <w:tcMar>
              <w:top w:type="dxa" w:w="120"/>
              <w:left w:type="dxa" w:w="200"/>
              <w:bottom w:type="dxa" w:w="120"/>
              <w:right w:type="dxa" w:w="200"/>
            </w:tcMar>
          </w:tcPr>
          <w:p>
            <w:pPr>
              <w:spacing w:after="80"/>
            </w:pPr>
            <w:r>
              <w:rPr>
                <w:rFonts w:ascii="Calibri" w:cs="Calibri" w:eastAsia="Calibri" w:hAnsi="Calibri"/>
                <w:b/>
                <w:bCs/>
                <w:color w:val="C8962E"/>
                <w:sz w:val="22"/>
                <w:szCs w:val="22"/>
              </w:rPr>
              <w:t xml:space="preserve">Platform at a Glance</w:t>
            </w:r>
          </w:p>
          <w:p>
            <w:pPr>
              <w:spacing w:after="0"/>
            </w:pPr>
            <w:r>
              <w:rPr>
                <w:rFonts w:ascii="Calibri" w:cs="Calibri" w:eastAsia="Calibri" w:hAnsi="Calibri"/>
                <w:color w:val="2C2C2C"/>
                <w:sz w:val="22"/>
                <w:szCs w:val="22"/>
              </w:rPr>
              <w:t xml:space="preserve">4 integrated microservices  |  226 API endpoints  |  59 database tables  |  4 payment providers (AzamPay, Selcom, M-Pesa)  |  AI-powered grievance classification  |  Real-time SMS, WhatsApp, and mobile app channels  |  Full offline-capable Flutter mobile application  |  Production-grade Kafka event streaming  |  World Bank ESF ESS10 compliant</w:t>
            </w:r>
          </w:p>
        </w:tc>
      </w:tr>
    </w:tbl>
    <w:p>
      <w:pPr>
        <w:spacing w:after="80"/>
      </w:pPr>
      <w:r>
        <w:t xml:space="preserve"/>
      </w:r>
    </w:p>
    <w:p>
      <w:pPr>
        <w:pStyle w:val="Heading1"/>
        <w:pBdr>
          <w:bottom w:val="single" w:color="0B7A8C" w:sz="6" w:space="4"/>
        </w:pBdr>
        <w:spacing w:before="320" w:after="160"/>
      </w:pPr>
      <w:r>
        <w:rPr>
          <w:rFonts w:ascii="Calibri" w:cs="Calibri" w:eastAsia="Calibri" w:hAnsi="Calibri"/>
          <w:b/>
          <w:bCs/>
          <w:color w:val="0C3547"/>
          <w:sz w:val="36"/>
          <w:szCs w:val="36"/>
        </w:rPr>
        <w:t xml:space="preserve">The Problem Riviwa Solves</w:t>
      </w:r>
    </w:p>
    <w:p>
      <w:pPr>
        <w:spacing w:after="120"/>
      </w:pPr>
      <w:r>
        <w:rPr>
          <w:rFonts w:ascii="Calibri" w:cs="Calibri" w:eastAsia="Calibri" w:hAnsi="Calibri"/>
          <w:color w:val="2C2C2C"/>
          <w:sz w:val="22"/>
          <w:szCs w:val="22"/>
        </w:rPr>
        <w:t xml:space="preserve">Infrastructure projects in Tanzania — particularly those financed by the World Bank — operate under strict Environmental and Social Standards. ESS10 (Stakeholder Engagement and Information Disclosure) requires that every project:</w:t>
      </w:r>
    </w:p>
    <w:p>
      <w:pPr>
        <w:pStyle w:val="ListParagraph"/>
        <w:numPr>
          <w:ilvl w:val="0"/>
          <w:numId w:val="2"/>
        </w:numPr>
        <w:spacing w:after="80"/>
      </w:pPr>
      <w:r>
        <w:rPr>
          <w:rFonts w:ascii="Calibri" w:cs="Calibri" w:eastAsia="Calibri" w:hAnsi="Calibri"/>
          <w:color w:val="2C2C2C"/>
          <w:sz w:val="22"/>
          <w:szCs w:val="22"/>
        </w:rPr>
        <w:t xml:space="preserve">Identify and register all Project Affected Persons (PAPs) and vulnerable groups</w:t>
      </w:r>
    </w:p>
    <w:p>
      <w:pPr>
        <w:pStyle w:val="ListParagraph"/>
        <w:numPr>
          <w:ilvl w:val="0"/>
          <w:numId w:val="2"/>
        </w:numPr>
        <w:spacing w:after="80"/>
      </w:pPr>
      <w:r>
        <w:rPr>
          <w:rFonts w:ascii="Calibri" w:cs="Calibri" w:eastAsia="Calibri" w:hAnsi="Calibri"/>
          <w:color w:val="2C2C2C"/>
          <w:sz w:val="22"/>
          <w:szCs w:val="22"/>
        </w:rPr>
        <w:t xml:space="preserve">Maintain a functioning, accessible, and culturally appropriate Grievance Redress Mechanism</w:t>
      </w:r>
    </w:p>
    <w:p>
      <w:pPr>
        <w:pStyle w:val="ListParagraph"/>
        <w:numPr>
          <w:ilvl w:val="0"/>
          <w:numId w:val="2"/>
        </w:numPr>
        <w:spacing w:after="80"/>
      </w:pPr>
      <w:r>
        <w:rPr>
          <w:rFonts w:ascii="Calibri" w:cs="Calibri" w:eastAsia="Calibri" w:hAnsi="Calibri"/>
          <w:color w:val="2C2C2C"/>
          <w:sz w:val="22"/>
          <w:szCs w:val="22"/>
        </w:rPr>
        <w:t xml:space="preserve">Acknowledge grievances within defined SLA timeframes (24–240 hours depending on severity)</w:t>
      </w:r>
    </w:p>
    <w:p>
      <w:pPr>
        <w:pStyle w:val="ListParagraph"/>
        <w:numPr>
          <w:ilvl w:val="0"/>
          <w:numId w:val="2"/>
        </w:numPr>
        <w:spacing w:after="80"/>
      </w:pPr>
      <w:r>
        <w:rPr>
          <w:rFonts w:ascii="Calibri" w:cs="Calibri" w:eastAsia="Calibri" w:hAnsi="Calibri"/>
          <w:color w:val="2C2C2C"/>
          <w:sz w:val="22"/>
          <w:szCs w:val="22"/>
        </w:rPr>
        <w:t xml:space="preserve">Resolve grievances within 7–30 days depending on priority</w:t>
      </w:r>
    </w:p>
    <w:p>
      <w:pPr>
        <w:pStyle w:val="ListParagraph"/>
        <w:numPr>
          <w:ilvl w:val="0"/>
          <w:numId w:val="2"/>
        </w:numPr>
        <w:spacing w:after="80"/>
      </w:pPr>
      <w:r>
        <w:rPr>
          <w:rFonts w:ascii="Calibri" w:cs="Calibri" w:eastAsia="Calibri" w:hAnsi="Calibri"/>
          <w:color w:val="2C2C2C"/>
          <w:sz w:val="22"/>
          <w:szCs w:val="22"/>
        </w:rPr>
        <w:t xml:space="preserve">Produce audit-ready logs, SEP Annex reports, and stakeholder engagement records</w:t>
      </w:r>
    </w:p>
    <w:p>
      <w:pPr>
        <w:pStyle w:val="ListParagraph"/>
        <w:numPr>
          <w:ilvl w:val="0"/>
          <w:numId w:val="2"/>
        </w:numPr>
        <w:spacing w:after="80"/>
      </w:pPr>
      <w:r>
        <w:rPr>
          <w:rFonts w:ascii="Calibri" w:cs="Calibri" w:eastAsia="Calibri" w:hAnsi="Calibri"/>
          <w:color w:val="2C2C2C"/>
          <w:sz w:val="22"/>
          <w:szCs w:val="22"/>
        </w:rPr>
        <w:t xml:space="preserve">Ensure anonymous submissions are genuinely protected — not just policy-level promises</w:t>
      </w:r>
    </w:p>
    <w:p>
      <w:pPr>
        <w:spacing w:after="80"/>
      </w:pPr>
      <w:r>
        <w:t xml:space="preserve"/>
      </w:r>
    </w:p>
    <w:p>
      <w:pPr>
        <w:spacing w:after="120"/>
      </w:pPr>
      <w:r>
        <w:rPr>
          <w:rFonts w:ascii="Calibri" w:cs="Calibri" w:eastAsia="Calibri" w:hAnsi="Calibri"/>
          <w:color w:val="2C2C2C"/>
          <w:sz w:val="22"/>
          <w:szCs w:val="22"/>
        </w:rPr>
        <w:t xml:space="preserve">In practice, most Tanzanian infrastructure projects have relied on:</w:t>
      </w:r>
    </w:p>
    <w:p>
      <w:pPr>
        <w:pStyle w:val="ListParagraph"/>
        <w:numPr>
          <w:ilvl w:val="0"/>
          <w:numId w:val="2"/>
        </w:numPr>
        <w:spacing w:after="80"/>
      </w:pPr>
      <w:r>
        <w:rPr>
          <w:rFonts w:ascii="Calibri" w:cs="Calibri" w:eastAsia="Calibri" w:hAnsi="Calibri"/>
          <w:color w:val="2C2C2C"/>
          <w:sz w:val="22"/>
          <w:szCs w:val="22"/>
        </w:rPr>
        <w:t xml:space="preserve">Physical registers and logbooks — lost, damaged, or inconsistently maintained</w:t>
      </w:r>
    </w:p>
    <w:p>
      <w:pPr>
        <w:pStyle w:val="ListParagraph"/>
        <w:numPr>
          <w:ilvl w:val="0"/>
          <w:numId w:val="2"/>
        </w:numPr>
        <w:spacing w:after="80"/>
      </w:pPr>
      <w:r>
        <w:rPr>
          <w:rFonts w:ascii="Calibri" w:cs="Calibri" w:eastAsia="Calibri" w:hAnsi="Calibri"/>
          <w:color w:val="2C2C2C"/>
          <w:sz w:val="22"/>
          <w:szCs w:val="22"/>
        </w:rPr>
        <w:t xml:space="preserve">Excel spreadsheets emailed between ward officers, LGA staff, and PCU — no single source of truth</w:t>
      </w:r>
    </w:p>
    <w:p>
      <w:pPr>
        <w:pStyle w:val="ListParagraph"/>
        <w:numPr>
          <w:ilvl w:val="0"/>
          <w:numId w:val="2"/>
        </w:numPr>
        <w:spacing w:after="80"/>
      </w:pPr>
      <w:r>
        <w:rPr>
          <w:rFonts w:ascii="Calibri" w:cs="Calibri" w:eastAsia="Calibri" w:hAnsi="Calibri"/>
          <w:color w:val="2C2C2C"/>
          <w:sz w:val="22"/>
          <w:szCs w:val="22"/>
        </w:rPr>
        <w:t xml:space="preserve">No mechanism for a PAP to track the status of their complaint</w:t>
      </w:r>
    </w:p>
    <w:p>
      <w:pPr>
        <w:pStyle w:val="ListParagraph"/>
        <w:numPr>
          <w:ilvl w:val="0"/>
          <w:numId w:val="2"/>
        </w:numPr>
        <w:spacing w:after="80"/>
      </w:pPr>
      <w:r>
        <w:rPr>
          <w:rFonts w:ascii="Calibri" w:cs="Calibri" w:eastAsia="Calibri" w:hAnsi="Calibri"/>
          <w:color w:val="2C2C2C"/>
          <w:sz w:val="22"/>
          <w:szCs w:val="22"/>
        </w:rPr>
        <w:t xml:space="preserve">Manual escalation requiring physical travel between administrative levels</w:t>
      </w:r>
    </w:p>
    <w:p>
      <w:pPr>
        <w:pStyle w:val="ListParagraph"/>
        <w:numPr>
          <w:ilvl w:val="0"/>
          <w:numId w:val="2"/>
        </w:numPr>
        <w:spacing w:after="80"/>
      </w:pPr>
      <w:r>
        <w:rPr>
          <w:rFonts w:ascii="Calibri" w:cs="Calibri" w:eastAsia="Calibri" w:hAnsi="Calibri"/>
          <w:color w:val="2C2C2C"/>
          <w:sz w:val="22"/>
          <w:szCs w:val="22"/>
        </w:rPr>
        <w:t xml:space="preserve">Month-end summary reports prepared manually — often inaccurate and prepared retrospectively</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Before Riviwa</w:t>
            </w:r>
          </w:p>
        </w:tc>
        <w:tc>
          <w:tcPr>
            <w:tcW w:type="dxa" w:w="46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With Riviwa</w:t>
            </w:r>
          </w:p>
        </w:tc>
      </w:tr>
      <w:tr>
        <w:tc>
          <w:tcPr>
            <w:tcW w:type="dxa" w:w="46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Paper grievance log at ward office — no copies</w:t>
            </w:r>
          </w:p>
        </w:tc>
        <w:tc>
          <w:tcPr>
            <w:tcW w:type="dxa" w:w="4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Every submission timestamped, backed up, searchable in real time</w:t>
            </w:r>
          </w:p>
        </w:tc>
      </w:tr>
      <w:tr>
        <w:tc>
          <w:tcPr>
            <w:tcW w:type="dxa" w:w="46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PAP has no way to follow up on their complaint</w:t>
            </w:r>
          </w:p>
        </w:tc>
        <w:tc>
          <w:tcPr>
            <w:tcW w:type="dxa" w:w="4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PAP self-service portal shows full status, escalation trail, and resolution</w:t>
            </w:r>
          </w:p>
        </w:tc>
      </w:tr>
      <w:tr>
        <w:tc>
          <w:tcPr>
            <w:tcW w:type="dxa" w:w="46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Escalation requires physical letter and travel</w:t>
            </w:r>
          </w:p>
        </w:tc>
        <w:tc>
          <w:tcPr>
            <w:tcW w:type="dxa" w:w="4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One-click escalation through GRM hierarchy with automatic notification</w:t>
            </w:r>
          </w:p>
        </w:tc>
      </w:tr>
      <w:tr>
        <w:tc>
          <w:tcPr>
            <w:tcW w:type="dxa" w:w="46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Anonymous submissions practically impossible to protect</w:t>
            </w:r>
          </w:p>
        </w:tc>
        <w:tc>
          <w:tcPr>
            <w:tcW w:type="dxa" w:w="4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Three-layer anonymity enforcement: DB constraint, API gatekeeper, and serialiser</w:t>
            </w:r>
          </w:p>
        </w:tc>
      </w:tr>
      <w:tr>
        <w:tc>
          <w:tcPr>
            <w:tcW w:type="dxa" w:w="46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SLA breaches discovered weeks later in month-end report</w:t>
            </w:r>
          </w:p>
        </w:tc>
        <w:tc>
          <w:tcPr>
            <w:tcW w:type="dxa" w:w="4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Real-time SLA breach alerts, overdue dashboard, automatic priority escalation</w:t>
            </w:r>
          </w:p>
        </w:tc>
      </w:tr>
      <w:tr>
        <w:tc>
          <w:tcPr>
            <w:tcW w:type="dxa" w:w="46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Stakeholder engagement documented in separate files per officer</w:t>
            </w:r>
          </w:p>
        </w:tc>
        <w:tc>
          <w:tcPr>
            <w:tcW w:type="dxa" w:w="4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Unified stakeholder register: contacts, engagements, communications, distributions</w:t>
            </w:r>
          </w:p>
        </w:tc>
      </w:tr>
      <w:tr>
        <w:tc>
          <w:tcPr>
            <w:tcW w:type="dxa" w:w="46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SEP Annex 5 report prepared manually — error-prone and delayed</w:t>
            </w:r>
          </w:p>
        </w:tc>
        <w:tc>
          <w:tcPr>
            <w:tcW w:type="dxa" w:w="4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One-click export in JSON, PDF, Excel, or CSV — SEP format built in</w:t>
            </w:r>
          </w:p>
        </w:tc>
      </w:tr>
    </w:tbl>
    <w:p>
      <w:pPr>
        <w:spacing w:after="80"/>
      </w:pPr>
      <w:r>
        <w:t xml:space="preserve"/>
      </w:r>
    </w:p>
    <w:p>
      <w:pPr>
        <w:pStyle w:val="Heading1"/>
        <w:pBdr>
          <w:bottom w:val="single" w:color="0B7A8C" w:sz="6" w:space="4"/>
        </w:pBdr>
        <w:spacing w:before="320" w:after="160"/>
      </w:pPr>
      <w:r>
        <w:rPr>
          <w:rFonts w:ascii="Calibri" w:cs="Calibri" w:eastAsia="Calibri" w:hAnsi="Calibri"/>
          <w:b/>
          <w:bCs/>
          <w:color w:val="0C3547"/>
          <w:sz w:val="36"/>
          <w:szCs w:val="36"/>
        </w:rPr>
        <w:t xml:space="preserve">What Riviwa Does: The Four Pillars</w:t>
      </w:r>
    </w:p>
    <w:p>
      <w:pPr>
        <w:spacing w:before="200" w:after="100"/>
      </w:pPr>
      <w:r>
        <w:rPr>
          <w:rFonts w:ascii="Calibri" w:cs="Calibri" w:eastAsia="Calibri" w:hAnsi="Calibri"/>
          <w:b/>
          <w:bCs/>
          <w:color w:val="0B7A8C"/>
          <w:sz w:val="24"/>
          <w:szCs w:val="24"/>
        </w:rPr>
        <w:t xml:space="preserve">1  |  Identity and Access — Who Can Use It and How</w:t>
      </w:r>
    </w:p>
    <w:p>
      <w:pPr>
        <w:spacing w:after="120"/>
      </w:pPr>
      <w:r>
        <w:rPr>
          <w:rFonts w:ascii="Calibri" w:cs="Calibri" w:eastAsia="Calibri" w:hAnsi="Calibri"/>
          <w:color w:val="2C2C2C"/>
          <w:sz w:val="22"/>
          <w:szCs w:val="22"/>
        </w:rPr>
        <w:t xml:space="preserve">Riviwa's authentication service manages every user across the entire programme ecosystem — from World Bank task team leaders to ward-level PIU staff to the most isolated PAP submitting a complaint via SMS.</w:t>
      </w:r>
    </w:p>
    <w:p>
      <w:pPr>
        <w:spacing w:after="80"/>
      </w:pPr>
      <w:r>
        <w:t xml:space="preserve"/>
      </w:r>
    </w:p>
    <w:p>
      <w:pPr>
        <w:pStyle w:val="ListParagraph"/>
        <w:numPr>
          <w:ilvl w:val="0"/>
          <w:numId w:val="2"/>
        </w:numPr>
        <w:spacing w:after="80"/>
      </w:pPr>
      <w:r>
        <w:rPr>
          <w:rFonts w:ascii="Calibri" w:cs="Calibri" w:eastAsia="Calibri" w:hAnsi="Calibri"/>
          <w:color w:val="2C2C2C"/>
          <w:sz w:val="22"/>
          <w:szCs w:val="22"/>
        </w:rPr>
        <w:t xml:space="preserve">Secure two-factor login for all staff (SMS OTP + password)</w:t>
      </w:r>
    </w:p>
    <w:p>
      <w:pPr>
        <w:pStyle w:val="ListParagraph"/>
        <w:numPr>
          <w:ilvl w:val="0"/>
          <w:numId w:val="2"/>
        </w:numPr>
        <w:spacing w:after="80"/>
      </w:pPr>
      <w:r>
        <w:rPr>
          <w:rFonts w:ascii="Calibri" w:cs="Calibri" w:eastAsia="Calibri" w:hAnsi="Calibri"/>
          <w:color w:val="2C2C2C"/>
          <w:sz w:val="22"/>
          <w:szCs w:val="22"/>
        </w:rPr>
        <w:t xml:space="preserve">Role-based access control: Super Admin, PCU Admin, LGA PIU Officer, Ward Officer, PAP, Viewer</w:t>
      </w:r>
    </w:p>
    <w:p>
      <w:pPr>
        <w:pStyle w:val="ListParagraph"/>
        <w:numPr>
          <w:ilvl w:val="0"/>
          <w:numId w:val="2"/>
        </w:numPr>
        <w:spacing w:after="80"/>
      </w:pPr>
      <w:r>
        <w:rPr>
          <w:rFonts w:ascii="Calibri" w:cs="Calibri" w:eastAsia="Calibri" w:hAnsi="Calibri"/>
          <w:color w:val="2C2C2C"/>
          <w:sz w:val="22"/>
          <w:szCs w:val="22"/>
        </w:rPr>
        <w:t xml:space="preserve">Organisation hierarchy mirrors the actual administrative structure — TANROADS → TARURA → LGA → Ward</w:t>
      </w:r>
    </w:p>
    <w:p>
      <w:pPr>
        <w:pStyle w:val="ListParagraph"/>
        <w:numPr>
          <w:ilvl w:val="0"/>
          <w:numId w:val="2"/>
        </w:numPr>
        <w:spacing w:after="80"/>
      </w:pPr>
      <w:r>
        <w:rPr>
          <w:rFonts w:ascii="Calibri" w:cs="Calibri" w:eastAsia="Calibri" w:hAnsi="Calibri"/>
          <w:color w:val="2C2C2C"/>
          <w:sz w:val="22"/>
          <w:szCs w:val="22"/>
        </w:rPr>
        <w:t xml:space="preserve">Channel registration: a PAP who submits via SMS or WhatsApp is automatically registered as a system user — no smartphone or data plan required</w:t>
      </w:r>
    </w:p>
    <w:p>
      <w:pPr>
        <w:pStyle w:val="ListParagraph"/>
        <w:numPr>
          <w:ilvl w:val="0"/>
          <w:numId w:val="2"/>
        </w:numPr>
        <w:spacing w:after="80"/>
      </w:pPr>
      <w:r>
        <w:rPr>
          <w:rFonts w:ascii="Calibri" w:cs="Calibri" w:eastAsia="Calibri" w:hAnsi="Calibri"/>
          <w:color w:val="2C2C2C"/>
          <w:sz w:val="22"/>
          <w:szCs w:val="22"/>
        </w:rPr>
        <w:t xml:space="preserve">Fraud scoring on registration — flags suspicious accounts before they interact with grievances</w:t>
      </w:r>
    </w:p>
    <w:p>
      <w:pPr>
        <w:pStyle w:val="ListParagraph"/>
        <w:numPr>
          <w:ilvl w:val="0"/>
          <w:numId w:val="2"/>
        </w:numPr>
        <w:spacing w:after="80"/>
      </w:pPr>
      <w:r>
        <w:rPr>
          <w:rFonts w:ascii="Calibri" w:cs="Calibri" w:eastAsia="Calibri" w:hAnsi="Calibri"/>
          <w:color w:val="2C2C2C"/>
          <w:sz w:val="22"/>
          <w:szCs w:val="22"/>
        </w:rPr>
        <w:t xml:space="preserve">Full OAuth 2.0 support for Google and Apple Sign-In when staff use modern devices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62E" w:sz="12"/>
              <w:left w:val="single" w:color="C8962E" w:sz="12"/>
              <w:bottom w:val="single" w:color="C8962E" w:sz="4"/>
              <w:right w:val="single" w:color="C8962E" w:sz="4"/>
            </w:tcBorders>
            <w:shd w:fill="FDF4E0" w:val="clear"/>
            <w:tcMar>
              <w:top w:type="dxa" w:w="120"/>
              <w:left w:type="dxa" w:w="200"/>
              <w:bottom w:type="dxa" w:w="120"/>
              <w:right w:type="dxa" w:w="200"/>
            </w:tcMar>
          </w:tcPr>
          <w:p>
            <w:pPr>
              <w:spacing w:after="80"/>
            </w:pPr>
            <w:r>
              <w:rPr>
                <w:rFonts w:ascii="Calibri" w:cs="Calibri" w:eastAsia="Calibri" w:hAnsi="Calibri"/>
                <w:b/>
                <w:bCs/>
                <w:color w:val="C8962E"/>
                <w:sz w:val="22"/>
                <w:szCs w:val="22"/>
              </w:rPr>
              <w:t xml:space="preserve">Beyond Expectation: Zero-Friction PAP Registration</w:t>
            </w:r>
          </w:p>
          <w:p>
            <w:pPr>
              <w:spacing w:after="0"/>
            </w:pPr>
            <w:r>
              <w:rPr>
                <w:rFonts w:ascii="Calibri" w:cs="Calibri" w:eastAsia="Calibri" w:hAnsi="Calibri"/>
                <w:color w:val="2C2C2C"/>
                <w:sz w:val="22"/>
                <w:szCs w:val="22"/>
              </w:rPr>
              <w:t xml:space="preserve">Standard GRM platforms require PAPs to register before submitting. Riviwa reverses this — a PAP sends one SMS, and Riviwa automatically creates their account, logs their grievance, and sends them a reference number. They are registered without knowing it. This is critical for low-literacy, low-connectivity communities in rural Tanzania.</w:t>
            </w:r>
          </w:p>
        </w:tc>
      </w:tr>
    </w:tbl>
    <w:p>
      <w:pPr>
        <w:spacing w:after="80"/>
      </w:pPr>
      <w:r>
        <w:t xml:space="preserve"/>
      </w:r>
    </w:p>
    <w:p>
      <w:pPr>
        <w:spacing w:before="200" w:after="100"/>
      </w:pPr>
      <w:r>
        <w:rPr>
          <w:rFonts w:ascii="Calibri" w:cs="Calibri" w:eastAsia="Calibri" w:hAnsi="Calibri"/>
          <w:b/>
          <w:bCs/>
          <w:color w:val="0B7A8C"/>
          <w:sz w:val="24"/>
          <w:szCs w:val="24"/>
        </w:rPr>
        <w:t xml:space="preserve">2  |  Stakeholder Management — Knowing Who Is Affected</w:t>
      </w:r>
    </w:p>
    <w:p>
      <w:pPr>
        <w:spacing w:after="120"/>
      </w:pPr>
      <w:r>
        <w:rPr>
          <w:rFonts w:ascii="Calibri" w:cs="Calibri" w:eastAsia="Calibri" w:hAnsi="Calibri"/>
          <w:color w:val="2C2C2C"/>
          <w:sz w:val="22"/>
          <w:szCs w:val="22"/>
        </w:rPr>
        <w:t xml:space="preserve">A core World Bank requirement is that projects identify, categorise, and continuously engage their stakeholder groups. Riviwa's stakeholder service is a complete Stakeholder Engagement Plan execution engine.</w:t>
      </w:r>
    </w:p>
    <w:p>
      <w:pPr>
        <w:spacing w:after="80"/>
      </w:pPr>
      <w:r>
        <w:t xml:space="preserve"/>
      </w:r>
    </w:p>
    <w:p>
      <w:pPr>
        <w:pStyle w:val="ListParagraph"/>
        <w:numPr>
          <w:ilvl w:val="0"/>
          <w:numId w:val="2"/>
        </w:numPr>
        <w:spacing w:after="80"/>
      </w:pPr>
      <w:r>
        <w:rPr>
          <w:rFonts w:ascii="Calibri" w:cs="Calibri" w:eastAsia="Calibri" w:hAnsi="Calibri"/>
          <w:color w:val="2C2C2C"/>
          <w:sz w:val="22"/>
          <w:szCs w:val="22"/>
        </w:rPr>
        <w:t xml:space="preserve">Register stakeholder entities: communities, NGOs, government bodies, vulnerable groups, PAPs</w:t>
      </w:r>
    </w:p>
    <w:p>
      <w:pPr>
        <w:pStyle w:val="ListParagraph"/>
        <w:numPr>
          <w:ilvl w:val="0"/>
          <w:numId w:val="2"/>
        </w:numPr>
        <w:spacing w:after="80"/>
      </w:pPr>
      <w:r>
        <w:rPr>
          <w:rFonts w:ascii="Calibri" w:cs="Calibri" w:eastAsia="Calibri" w:hAnsi="Calibri"/>
          <w:color w:val="2C2C2C"/>
          <w:sz w:val="22"/>
          <w:szCs w:val="22"/>
        </w:rPr>
        <w:t xml:space="preserve">Link individual contacts to stakeholder organisations</w:t>
      </w:r>
    </w:p>
    <w:p>
      <w:pPr>
        <w:pStyle w:val="ListParagraph"/>
        <w:numPr>
          <w:ilvl w:val="0"/>
          <w:numId w:val="2"/>
        </w:numPr>
        <w:spacing w:after="80"/>
      </w:pPr>
      <w:r>
        <w:rPr>
          <w:rFonts w:ascii="Calibri" w:cs="Calibri" w:eastAsia="Calibri" w:hAnsi="Calibri"/>
          <w:color w:val="2C2C2C"/>
          <w:sz w:val="22"/>
          <w:szCs w:val="22"/>
        </w:rPr>
        <w:t xml:space="preserve">Record every engagement: consultations, public meetings, site visits, information distributions</w:t>
      </w:r>
    </w:p>
    <w:p>
      <w:pPr>
        <w:pStyle w:val="ListParagraph"/>
        <w:numPr>
          <w:ilvl w:val="0"/>
          <w:numId w:val="2"/>
        </w:numPr>
        <w:spacing w:after="80"/>
      </w:pPr>
      <w:r>
        <w:rPr>
          <w:rFonts w:ascii="Calibri" w:cs="Calibri" w:eastAsia="Calibri" w:hAnsi="Calibri"/>
          <w:color w:val="2C2C2C"/>
          <w:sz w:val="22"/>
          <w:szCs w:val="22"/>
        </w:rPr>
        <w:t xml:space="preserve">When an engagement is marked CONDUCTED, consultation counts automatically update — always accurate for reporting</w:t>
      </w:r>
    </w:p>
    <w:p>
      <w:pPr>
        <w:pStyle w:val="ListParagraph"/>
        <w:numPr>
          <w:ilvl w:val="0"/>
          <w:numId w:val="2"/>
        </w:numPr>
        <w:spacing w:after="80"/>
      </w:pPr>
      <w:r>
        <w:rPr>
          <w:rFonts w:ascii="Calibri" w:cs="Calibri" w:eastAsia="Calibri" w:hAnsi="Calibri"/>
          <w:color w:val="2C2C2C"/>
          <w:sz w:val="22"/>
          <w:szCs w:val="22"/>
        </w:rPr>
        <w:t xml:space="preserve">Track communications: formal letters, SMS broadcasts, WhatsApp distributions, public notices</w:t>
      </w:r>
    </w:p>
    <w:p>
      <w:pPr>
        <w:pStyle w:val="ListParagraph"/>
        <w:numPr>
          <w:ilvl w:val="0"/>
          <w:numId w:val="2"/>
        </w:numPr>
        <w:spacing w:after="80"/>
      </w:pPr>
      <w:r>
        <w:rPr>
          <w:rFonts w:ascii="Calibri" w:cs="Calibri" w:eastAsia="Calibri" w:hAnsi="Calibri"/>
          <w:color w:val="2C2C2C"/>
          <w:sz w:val="22"/>
          <w:szCs w:val="22"/>
        </w:rPr>
        <w:t xml:space="preserve">Assign and manage focal persons at project, LGA, and ward level</w:t>
      </w:r>
    </w:p>
    <w:p>
      <w:pPr>
        <w:pStyle w:val="ListParagraph"/>
        <w:numPr>
          <w:ilvl w:val="0"/>
          <w:numId w:val="2"/>
        </w:numPr>
        <w:spacing w:after="80"/>
      </w:pPr>
      <w:r>
        <w:rPr>
          <w:rFonts w:ascii="Calibri" w:cs="Calibri" w:eastAsia="Calibri" w:hAnsi="Calibri"/>
          <w:color w:val="2C2C2C"/>
          <w:sz w:val="22"/>
          <w:szCs w:val="22"/>
        </w:rPr>
        <w:t xml:space="preserve">Filter and query stakeholders by geography, vulnerability, engagement frequency, or project</w:t>
      </w:r>
    </w:p>
    <w:p>
      <w:pPr>
        <w:spacing w:after="80"/>
      </w:pPr>
      <w:r>
        <w:t xml:space="preserve"/>
      </w:r>
    </w:p>
    <w:p>
      <w:pPr>
        <w:spacing w:after="120"/>
      </w:pPr>
      <w:r>
        <w:rPr>
          <w:rFonts w:ascii="Calibri" w:cs="Calibri" w:eastAsia="Calibri" w:hAnsi="Calibri"/>
          <w:color w:val="2C2C2C"/>
          <w:sz w:val="22"/>
          <w:szCs w:val="22"/>
        </w:rPr>
        <w:t xml:space="preserve">The result: for the first time, a TANROADS PCU manager can open their dashboard and see </w:t>
      </w:r>
      <w:r>
        <w:rPr>
          <w:rFonts w:ascii="Calibri" w:cs="Calibri" w:eastAsia="Calibri" w:hAnsi="Calibri"/>
          <w:b/>
          <w:bCs/>
          <w:color w:val="2C2C2C"/>
          <w:sz w:val="22"/>
          <w:szCs w:val="22"/>
        </w:rPr>
        <w:t xml:space="preserve">exactly how many consultations have been held with each stakeholder group, which communications have been distributed, and which groups have not been engaged within the required period</w:t>
      </w:r>
      <w:r>
        <w:rPr>
          <w:rFonts w:ascii="Calibri" w:cs="Calibri" w:eastAsia="Calibri" w:hAnsi="Calibri"/>
          <w:color w:val="2C2C2C"/>
          <w:sz w:val="22"/>
          <w:szCs w:val="22"/>
        </w:rPr>
        <w:t xml:space="preserve"> — without waiting for a monthly district report.</w:t>
      </w:r>
    </w:p>
    <w:p>
      <w:pPr>
        <w:spacing w:after="80"/>
      </w:pPr>
      <w:r>
        <w:t xml:space="preserve"/>
      </w:r>
    </w:p>
    <w:p>
      <w:pPr>
        <w:spacing w:before="200" w:after="100"/>
      </w:pPr>
      <w:r>
        <w:rPr>
          <w:rFonts w:ascii="Calibri" w:cs="Calibri" w:eastAsia="Calibri" w:hAnsi="Calibri"/>
          <w:b/>
          <w:bCs/>
          <w:color w:val="0B7A8C"/>
          <w:sz w:val="24"/>
          <w:szCs w:val="24"/>
        </w:rPr>
        <w:t xml:space="preserve">3  |  Grievance Redress Mechanism — The Heart of ESS10 Compliance</w:t>
      </w:r>
    </w:p>
    <w:p>
      <w:pPr>
        <w:spacing w:after="120"/>
      </w:pPr>
      <w:r>
        <w:rPr>
          <w:rFonts w:ascii="Calibri" w:cs="Calibri" w:eastAsia="Calibri" w:hAnsi="Calibri"/>
          <w:color w:val="2C2C2C"/>
          <w:sz w:val="22"/>
          <w:szCs w:val="22"/>
        </w:rPr>
        <w:t xml:space="preserve">Riviwa's feedback service implements the complete World Bank GRM lifecycle as defined in Tanzania's SEP requirements, with enhancements that go significantly beyond the minimum standard.</w:t>
      </w:r>
    </w:p>
    <w:p>
      <w:pPr>
        <w:spacing w:after="80"/>
      </w:pPr>
      <w:r>
        <w:t xml:space="preserve"/>
      </w:r>
    </w:p>
    <w:p>
      <w:pPr>
        <w:pStyle w:val="Heading3"/>
        <w:spacing w:before="160" w:after="80"/>
      </w:pPr>
      <w:r>
        <w:rPr>
          <w:rFonts w:ascii="Calibri" w:cs="Calibri" w:eastAsia="Calibri" w:hAnsi="Calibri"/>
          <w:b/>
          <w:bCs/>
          <w:color w:val="0C3547"/>
          <w:sz w:val="24"/>
          <w:szCs w:val="24"/>
        </w:rPr>
        <w:t xml:space="preserve">The GRM Hierarchy</w:t>
      </w:r>
    </w:p>
    <w:p>
      <w:pPr>
        <w:spacing w:after="120"/>
      </w:pPr>
      <w:r>
        <w:rPr>
          <w:rFonts w:ascii="Calibri" w:cs="Calibri" w:eastAsia="Calibri" w:hAnsi="Calibri"/>
          <w:color w:val="2C2C2C"/>
          <w:sz w:val="22"/>
          <w:szCs w:val="22"/>
        </w:rPr>
        <w:t xml:space="preserve">Every grievance follows the defined escalation path, and Riviwa enforces it automatically:</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400"/>
      </w:tblGrid>
      <w:tr>
        <w:tc>
          <w:tcPr>
            <w:tcW w:type="dxa" w:w="12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Level</w:t>
            </w:r>
          </w:p>
        </w:tc>
        <w:tc>
          <w:tcPr>
            <w:tcW w:type="dxa" w:w="32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Responsible Body</w:t>
            </w:r>
          </w:p>
        </w:tc>
        <w:tc>
          <w:tcPr>
            <w:tcW w:type="dxa" w:w="24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Ack. SLA</w:t>
            </w:r>
          </w:p>
        </w:tc>
        <w:tc>
          <w:tcPr>
            <w:tcW w:type="dxa" w:w="24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Resolution SLA</w:t>
            </w:r>
          </w:p>
        </w:tc>
      </w:tr>
      <w:tr>
        <w:tc>
          <w:tcPr>
            <w:tcW w:type="dxa" w:w="1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bCs/>
                <w:color w:val="2C2C2C"/>
                <w:sz w:val="20"/>
                <w:szCs w:val="20"/>
              </w:rPr>
              <w:t xml:space="preserve">1</w:t>
            </w:r>
          </w:p>
        </w:tc>
        <w:tc>
          <w:tcPr>
            <w:tcW w:type="dxa" w:w="3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Ward — Local GHC</w:t>
            </w:r>
          </w:p>
        </w:tc>
        <w:tc>
          <w:tcPr>
            <w:tcW w:type="dxa" w:w="2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24–240 hours</w:t>
            </w:r>
          </w:p>
        </w:tc>
        <w:tc>
          <w:tcPr>
            <w:tcW w:type="dxa" w:w="2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7–30 days</w:t>
            </w:r>
          </w:p>
        </w:tc>
      </w:tr>
      <w:tr>
        <w:tc>
          <w:tcPr>
            <w:tcW w:type="dxa" w:w="1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2C2C2C"/>
                <w:sz w:val="20"/>
                <w:szCs w:val="20"/>
              </w:rPr>
              <w:t xml:space="preserve">2</w:t>
            </w:r>
          </w:p>
        </w:tc>
        <w:tc>
          <w:tcPr>
            <w:tcW w:type="dxa" w:w="3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LGA PIU — District Officer</w:t>
            </w:r>
          </w:p>
        </w:tc>
        <w:tc>
          <w:tcPr>
            <w:tcW w:type="dxa" w:w="2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24–240 hours</w:t>
            </w:r>
          </w:p>
        </w:tc>
        <w:tc>
          <w:tcPr>
            <w:tcW w:type="dxa" w:w="2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7–30 days</w:t>
            </w:r>
          </w:p>
        </w:tc>
      </w:tr>
      <w:tr>
        <w:tc>
          <w:tcPr>
            <w:tcW w:type="dxa" w:w="1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bCs/>
                <w:color w:val="2C2C2C"/>
                <w:sz w:val="20"/>
                <w:szCs w:val="20"/>
              </w:rPr>
              <w:t xml:space="preserve">3</w:t>
            </w:r>
          </w:p>
        </w:tc>
        <w:tc>
          <w:tcPr>
            <w:tcW w:type="dxa" w:w="3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PCU — Programme Coordination Unit</w:t>
            </w:r>
          </w:p>
        </w:tc>
        <w:tc>
          <w:tcPr>
            <w:tcW w:type="dxa" w:w="2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24–240 hours</w:t>
            </w:r>
          </w:p>
        </w:tc>
        <w:tc>
          <w:tcPr>
            <w:tcW w:type="dxa" w:w="2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14–30 days</w:t>
            </w:r>
          </w:p>
        </w:tc>
      </w:tr>
      <w:tr>
        <w:tc>
          <w:tcPr>
            <w:tcW w:type="dxa" w:w="1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2C2C2C"/>
                <w:sz w:val="20"/>
                <w:szCs w:val="20"/>
              </w:rPr>
              <w:t xml:space="preserve">4</w:t>
            </w:r>
          </w:p>
        </w:tc>
        <w:tc>
          <w:tcPr>
            <w:tcW w:type="dxa" w:w="3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TARURA / WBCU</w:t>
            </w:r>
          </w:p>
        </w:tc>
        <w:tc>
          <w:tcPr>
            <w:tcW w:type="dxa" w:w="2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48 hours</w:t>
            </w:r>
          </w:p>
        </w:tc>
        <w:tc>
          <w:tcPr>
            <w:tcW w:type="dxa" w:w="2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14 days</w:t>
            </w:r>
          </w:p>
        </w:tc>
      </w:tr>
      <w:tr>
        <w:tc>
          <w:tcPr>
            <w:tcW w:type="dxa" w:w="1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bCs/>
                <w:color w:val="2C2C2C"/>
                <w:sz w:val="20"/>
                <w:szCs w:val="20"/>
              </w:rPr>
              <w:t xml:space="preserve">5</w:t>
            </w:r>
          </w:p>
        </w:tc>
        <w:tc>
          <w:tcPr>
            <w:tcW w:type="dxa" w:w="3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TANROADS HQ</w:t>
            </w:r>
          </w:p>
        </w:tc>
        <w:tc>
          <w:tcPr>
            <w:tcW w:type="dxa" w:w="2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48 hours</w:t>
            </w:r>
          </w:p>
        </w:tc>
        <w:tc>
          <w:tcPr>
            <w:tcW w:type="dxa" w:w="2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14 days</w:t>
            </w:r>
          </w:p>
        </w:tc>
      </w:tr>
      <w:tr>
        <w:tc>
          <w:tcPr>
            <w:tcW w:type="dxa" w:w="1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C8962E"/>
                <w:sz w:val="20"/>
                <w:szCs w:val="20"/>
              </w:rPr>
              <w:t xml:space="preserve">6</w:t>
            </w:r>
          </w:p>
        </w:tc>
        <w:tc>
          <w:tcPr>
            <w:tcW w:type="dxa" w:w="3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World Bank</w:t>
            </w:r>
          </w:p>
        </w:tc>
        <w:tc>
          <w:tcPr>
            <w:tcW w:type="dxa" w:w="2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Final level</w:t>
            </w:r>
          </w:p>
        </w:tc>
        <w:tc>
          <w:tcPr>
            <w:tcW w:type="dxa" w:w="2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2C2C2C"/>
                <w:sz w:val="20"/>
                <w:szCs w:val="20"/>
              </w:rPr>
              <w:t xml:space="preserve">Court referral</w:t>
            </w:r>
          </w:p>
        </w:tc>
      </w:tr>
    </w:tbl>
    <w:p>
      <w:pPr>
        <w:spacing w:after="80"/>
      </w:pPr>
      <w:r>
        <w:t xml:space="preserve"/>
      </w:r>
    </w:p>
    <w:p>
      <w:pPr>
        <w:pStyle w:val="Heading3"/>
        <w:spacing w:before="160" w:after="80"/>
      </w:pPr>
      <w:r>
        <w:rPr>
          <w:rFonts w:ascii="Calibri" w:cs="Calibri" w:eastAsia="Calibri" w:hAnsi="Calibri"/>
          <w:b/>
          <w:bCs/>
          <w:color w:val="0C3547"/>
          <w:sz w:val="24"/>
          <w:szCs w:val="24"/>
        </w:rPr>
        <w:t xml:space="preserve">Submission Channels — Meeting PAPs Where They Are</w:t>
      </w:r>
    </w:p>
    <w:p>
      <w:pPr>
        <w:spacing w:after="120"/>
      </w:pPr>
      <w:r>
        <w:rPr>
          <w:rFonts w:ascii="Calibri" w:cs="Calibri" w:eastAsia="Calibri" w:hAnsi="Calibri"/>
          <w:color w:val="2C2C2C"/>
          <w:sz w:val="22"/>
          <w:szCs w:val="22"/>
        </w:rPr>
        <w:t xml:space="preserve">PAPs can submit grievances through any of the following channels — no channel requires a smartphone or a data plan:</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c>
          <w:tcPr>
            <w:tcW w:type="dxa" w:w="23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Channel</w:t>
            </w:r>
          </w:p>
        </w:tc>
        <w:tc>
          <w:tcPr>
            <w:tcW w:type="dxa" w:w="69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How It Works</w:t>
            </w:r>
          </w:p>
        </w:tc>
      </w:tr>
      <w:tr>
        <w:tc>
          <w:tcPr>
            <w:tcW w:type="dxa" w:w="23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SMS</w:t>
            </w:r>
          </w:p>
        </w:tc>
        <w:tc>
          <w:tcPr>
            <w:tcW w:type="dxa" w:w="69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PAP sends text to project shortcode. Riviwa AI (in Swahili or English) conducts a conversation, collects the grievance details, and auto-submits. Reference number returned by SMS.</w:t>
            </w:r>
          </w:p>
        </w:tc>
      </w:tr>
      <w:tr>
        <w:tc>
          <w:tcPr>
            <w:tcW w:type="dxa" w:w="23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WhatsApp</w:t>
            </w:r>
          </w:p>
        </w:tc>
        <w:tc>
          <w:tcPr>
            <w:tcW w:type="dxa" w:w="69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Same AI conversation engine over WhatsApp. Meta Cloud API integration. No app download required.</w:t>
            </w:r>
          </w:p>
        </w:tc>
      </w:tr>
      <w:tr>
        <w:tc>
          <w:tcPr>
            <w:tcW w:type="dxa" w:w="23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Mobile App</w:t>
            </w:r>
          </w:p>
        </w:tc>
        <w:tc>
          <w:tcPr>
            <w:tcW w:type="dxa" w:w="69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Flutter app for PAPs: submit, track status, view responses, request escalation, file appeals. Works offline.</w:t>
            </w:r>
          </w:p>
        </w:tc>
      </w:tr>
      <w:tr>
        <w:tc>
          <w:tcPr>
            <w:tcW w:type="dxa" w:w="23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Web Portal</w:t>
            </w:r>
          </w:p>
        </w:tc>
        <w:tc>
          <w:tcPr>
            <w:tcW w:type="dxa" w:w="69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Browser-based submission for urban PAPs and literate community members.</w:t>
            </w:r>
          </w:p>
        </w:tc>
      </w:tr>
      <w:tr>
        <w:tc>
          <w:tcPr>
            <w:tcW w:type="dxa" w:w="23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Officer-Recorded</w:t>
            </w:r>
          </w:p>
        </w:tc>
        <w:tc>
          <w:tcPr>
            <w:tcW w:type="dxa" w:w="69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PIU officer records on behalf of a PAP during field visit or public meeting. Entered in the system immediately.</w:t>
            </w:r>
          </w:p>
        </w:tc>
      </w:tr>
      <w:tr>
        <w:tc>
          <w:tcPr>
            <w:tcW w:type="dxa" w:w="23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Phone Call</w:t>
            </w:r>
          </w:p>
        </w:tc>
        <w:tc>
          <w:tcPr>
            <w:tcW w:type="dxa" w:w="69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Officer documents call in real time. Session linked to PAP record.</w:t>
            </w:r>
          </w:p>
        </w:tc>
      </w:tr>
      <w:tr>
        <w:tc>
          <w:tcPr>
            <w:tcW w:type="dxa" w:w="23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Notice Box</w:t>
            </w:r>
          </w:p>
        </w:tc>
        <w:tc>
          <w:tcPr>
            <w:tcW w:type="dxa" w:w="69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Paper forms collected, digitised, and entered by ward officer. Fully tracked in system.</w:t>
            </w:r>
          </w:p>
        </w:tc>
      </w:tr>
    </w:tbl>
    <w:p>
      <w:pPr>
        <w:spacing w:after="80"/>
      </w:pPr>
      <w:r>
        <w:t xml:space="preserve"/>
      </w:r>
    </w:p>
    <w:p>
      <w:pPr>
        <w:pStyle w:val="Heading3"/>
        <w:spacing w:before="160" w:after="80"/>
      </w:pPr>
      <w:r>
        <w:rPr>
          <w:rFonts w:ascii="Calibri" w:cs="Calibri" w:eastAsia="Calibri" w:hAnsi="Calibri"/>
          <w:b/>
          <w:bCs/>
          <w:color w:val="0C3547"/>
          <w:sz w:val="24"/>
          <w:szCs w:val="24"/>
        </w:rPr>
        <w:t xml:space="preserve">Anonymity — A Real Guarantee, Not a Policy Promise</w:t>
      </w:r>
    </w:p>
    <w:p>
      <w:pPr>
        <w:spacing w:after="120"/>
      </w:pPr>
      <w:r>
        <w:rPr>
          <w:rFonts w:ascii="Calibri" w:cs="Calibri" w:eastAsia="Calibri" w:hAnsi="Calibri"/>
          <w:color w:val="2C2C2C"/>
          <w:sz w:val="22"/>
          <w:szCs w:val="22"/>
        </w:rPr>
        <w:t xml:space="preserve">Most GRM platforms claim to support anonymous submissions but store the submitter's phone number or user ID in the database and simply do not display it — meaning a database administrator or a determined officer could trace the submission. Riviwa implements a </w:t>
      </w:r>
      <w:r>
        <w:rPr>
          <w:rFonts w:ascii="Calibri" w:cs="Calibri" w:eastAsia="Calibri" w:hAnsi="Calibri"/>
          <w:b/>
          <w:bCs/>
          <w:color w:val="2C2C2C"/>
          <w:sz w:val="22"/>
          <w:szCs w:val="22"/>
        </w:rPr>
        <w:t xml:space="preserve">three-layer anonymity enforcement architecture:</w:t>
      </w:r>
      <w:r>
        <w:rPr>
          <w:rFonts w:ascii="Calibri" w:cs="Calibri" w:eastAsia="Calibri" w:hAnsi="Calibri"/>
          <w:color w:val="2C2C2C"/>
          <w:sz w:val="22"/>
          <w:szCs w:val="22"/>
        </w:rPr>
        <w:t xml:space="preserve"> a database-level CHECK constraint that physically prevents identity fields from being stored; an API-level serialiser that returns null for all identity fields regardless of what is in the database; and a submission-layer enforcer that nulls all identity before the database insert. Even the conversation session ID is severed from the feedback record for anonymous submissions, preventing phone number traversal. This is a level of anonymity protection that exceeds World Bank requirements and would survive scrutiny from any independent audit.</w:t>
      </w:r>
    </w:p>
    <w:p>
      <w:pPr>
        <w:spacing w:after="80"/>
      </w:pPr>
      <w:r>
        <w:t xml:space="preserve"/>
      </w:r>
    </w:p>
    <w:p>
      <w:pPr>
        <w:pStyle w:val="Heading3"/>
        <w:spacing w:before="160" w:after="80"/>
      </w:pPr>
      <w:r>
        <w:rPr>
          <w:rFonts w:ascii="Calibri" w:cs="Calibri" w:eastAsia="Calibri" w:hAnsi="Calibri"/>
          <w:b/>
          <w:bCs/>
          <w:color w:val="0C3547"/>
          <w:sz w:val="24"/>
          <w:szCs w:val="24"/>
        </w:rPr>
        <w:t xml:space="preserve">AI-Powered Grievance Classification</w:t>
      </w:r>
    </w:p>
    <w:p>
      <w:pPr>
        <w:spacing w:after="120"/>
      </w:pPr>
      <w:r>
        <w:rPr>
          <w:rFonts w:ascii="Calibri" w:cs="Calibri" w:eastAsia="Calibri" w:hAnsi="Calibri"/>
          <w:color w:val="2C2C2C"/>
          <w:sz w:val="22"/>
          <w:szCs w:val="22"/>
        </w:rPr>
        <w:t xml:space="preserve">Riviwa uses the Anthropic Claude AI to automatically classify every incoming grievance against the project's active category library. Classification confidence above 85% results in automatic assignment; between 60–85% results in a Pending Review flag for PIU staff to approve; below 60% routes to 'Other' for manual review. Categories can also be suggested by AI and reviewed — the system learns the vocabulary of each specific project over time.</w:t>
      </w:r>
    </w:p>
    <w:p>
      <w:pPr>
        <w:spacing w:after="80"/>
      </w:pPr>
      <w:r>
        <w:t xml:space="preserve"/>
      </w:r>
    </w:p>
    <w:p>
      <w:pPr>
        <w:pStyle w:val="Heading3"/>
        <w:spacing w:before="160" w:after="80"/>
      </w:pPr>
      <w:r>
        <w:rPr>
          <w:rFonts w:ascii="Calibri" w:cs="Calibri" w:eastAsia="Calibri" w:hAnsi="Calibri"/>
          <w:b/>
          <w:bCs/>
          <w:color w:val="0C3547"/>
          <w:sz w:val="24"/>
          <w:szCs w:val="24"/>
        </w:rPr>
        <w:t xml:space="preserve">The PAP Portal — Transparency as a Right</w:t>
      </w:r>
    </w:p>
    <w:p>
      <w:pPr>
        <w:spacing w:after="120"/>
      </w:pPr>
      <w:r>
        <w:rPr>
          <w:rFonts w:ascii="Calibri" w:cs="Calibri" w:eastAsia="Calibri" w:hAnsi="Calibri"/>
          <w:color w:val="2C2C2C"/>
          <w:sz w:val="22"/>
          <w:szCs w:val="22"/>
        </w:rPr>
        <w:t xml:space="preserve">Every PAP has a self-service portal where they can track their submission in real time. They see: current status with a human-readable label (not a technical code); the full escalation trail (who handled it at each level); all public responses from PIU; the resolution summary; and what they can do next — including the right to request escalation, file an appeal, or seek court referral if the resolution is unsatisfactory. This is unprecedented transparency for Tanzania road infrastructure projects.</w:t>
      </w:r>
    </w:p>
    <w:p>
      <w:pPr>
        <w:spacing w:after="80"/>
      </w:pPr>
      <w:r>
        <w:t xml:space="preserve"/>
      </w:r>
    </w:p>
    <w:p>
      <w:pPr>
        <w:spacing w:before="200" w:after="100"/>
      </w:pPr>
      <w:r>
        <w:rPr>
          <w:rFonts w:ascii="Calibri" w:cs="Calibri" w:eastAsia="Calibri" w:hAnsi="Calibri"/>
          <w:b/>
          <w:bCs/>
          <w:color w:val="0B7A8C"/>
          <w:sz w:val="24"/>
          <w:szCs w:val="24"/>
        </w:rPr>
        <w:t xml:space="preserve">4  |  Payments — Enabling Fee-Based Services and Compensation Tracking</w:t>
      </w:r>
    </w:p>
    <w:p>
      <w:pPr>
        <w:spacing w:after="120"/>
      </w:pPr>
      <w:r>
        <w:rPr>
          <w:rFonts w:ascii="Calibri" w:cs="Calibri" w:eastAsia="Calibri" w:hAnsi="Calibri"/>
          <w:color w:val="2C2C2C"/>
          <w:sz w:val="22"/>
          <w:szCs w:val="22"/>
        </w:rPr>
        <w:t xml:space="preserve">Riviwa includes a full payment service that handles:</w:t>
      </w:r>
    </w:p>
    <w:p>
      <w:pPr>
        <w:pStyle w:val="ListParagraph"/>
        <w:numPr>
          <w:ilvl w:val="0"/>
          <w:numId w:val="2"/>
        </w:numPr>
        <w:spacing w:after="80"/>
      </w:pPr>
      <w:r>
        <w:rPr>
          <w:rFonts w:ascii="Calibri" w:cs="Calibri" w:eastAsia="Calibri" w:hAnsi="Calibri"/>
          <w:color w:val="2C2C2C"/>
          <w:sz w:val="22"/>
          <w:szCs w:val="22"/>
        </w:rPr>
        <w:t xml:space="preserve">Service fee collection for permit applications and project-related charges</w:t>
      </w:r>
    </w:p>
    <w:p>
      <w:pPr>
        <w:pStyle w:val="ListParagraph"/>
        <w:numPr>
          <w:ilvl w:val="0"/>
          <w:numId w:val="2"/>
        </w:numPr>
        <w:spacing w:after="80"/>
      </w:pPr>
      <w:r>
        <w:rPr>
          <w:rFonts w:ascii="Calibri" w:cs="Calibri" w:eastAsia="Calibri" w:hAnsi="Calibri"/>
          <w:color w:val="2C2C2C"/>
          <w:sz w:val="22"/>
          <w:szCs w:val="22"/>
        </w:rPr>
        <w:t xml:space="preserve">Compensation payment tracking for PAPs receiving resettlement or land compensation</w:t>
      </w:r>
    </w:p>
    <w:p>
      <w:pPr>
        <w:pStyle w:val="ListParagraph"/>
        <w:numPr>
          <w:ilvl w:val="0"/>
          <w:numId w:val="2"/>
        </w:numPr>
        <w:spacing w:after="80"/>
      </w:pPr>
      <w:r>
        <w:rPr>
          <w:rFonts w:ascii="Calibri" w:cs="Calibri" w:eastAsia="Calibri" w:hAnsi="Calibri"/>
          <w:color w:val="2C2C2C"/>
          <w:sz w:val="22"/>
          <w:szCs w:val="22"/>
        </w:rPr>
        <w:t xml:space="preserve">Three payment providers fully integrated for Tanzania: AzamPay (Airtel, M-Pesa via AzamPay, CRDB, NMB), Selcom (Tigo Pesa, TTCL Pesa, Halotel), and direct Vodacom M-Pesa with RSA session key encryption</w:t>
      </w:r>
    </w:p>
    <w:p>
      <w:pPr>
        <w:pStyle w:val="ListParagraph"/>
        <w:numPr>
          <w:ilvl w:val="0"/>
          <w:numId w:val="2"/>
        </w:numPr>
        <w:spacing w:after="80"/>
      </w:pPr>
      <w:r>
        <w:rPr>
          <w:rFonts w:ascii="Calibri" w:cs="Calibri" w:eastAsia="Calibri" w:hAnsi="Calibri"/>
          <w:color w:val="2C2C2C"/>
          <w:sz w:val="22"/>
          <w:szCs w:val="22"/>
        </w:rPr>
        <w:t xml:space="preserve">Automated USSD push to customer's mobile phone — no app, no smartphone, no data plan required</w:t>
      </w:r>
    </w:p>
    <w:p>
      <w:pPr>
        <w:pStyle w:val="ListParagraph"/>
        <w:numPr>
          <w:ilvl w:val="0"/>
          <w:numId w:val="2"/>
        </w:numPr>
        <w:spacing w:after="80"/>
      </w:pPr>
      <w:r>
        <w:rPr>
          <w:rFonts w:ascii="Calibri" w:cs="Calibri" w:eastAsia="Calibri" w:hAnsi="Calibri"/>
          <w:color w:val="2C2C2C"/>
          <w:sz w:val="22"/>
          <w:szCs w:val="22"/>
        </w:rPr>
        <w:t xml:space="preserve">Full refund and cancellation management</w:t>
      </w:r>
    </w:p>
    <w:p>
      <w:pPr>
        <w:pStyle w:val="ListParagraph"/>
        <w:numPr>
          <w:ilvl w:val="0"/>
          <w:numId w:val="2"/>
        </w:numPr>
        <w:spacing w:after="80"/>
      </w:pPr>
      <w:r>
        <w:rPr>
          <w:rFonts w:ascii="Calibri" w:cs="Calibri" w:eastAsia="Calibri" w:hAnsi="Calibri"/>
          <w:color w:val="2C2C2C"/>
          <w:sz w:val="22"/>
          <w:szCs w:val="22"/>
        </w:rPr>
        <w:t xml:space="preserve">Webhook-based reconciliation from all three provider gateways</w:t>
      </w:r>
    </w:p>
    <w:p>
      <w:pPr>
        <w:spacing w:after="80"/>
      </w:pPr>
      <w:r>
        <w:t xml:space="preserve"/>
      </w:r>
    </w:p>
    <w:p>
      <w:pPr>
        <w:pStyle w:val="Heading1"/>
        <w:pBdr>
          <w:bottom w:val="single" w:color="0B7A8C" w:sz="6" w:space="4"/>
        </w:pBdr>
        <w:spacing w:before="320" w:after="160"/>
      </w:pPr>
      <w:r>
        <w:rPr>
          <w:rFonts w:ascii="Calibri" w:cs="Calibri" w:eastAsia="Calibri" w:hAnsi="Calibri"/>
          <w:b/>
          <w:bCs/>
          <w:color w:val="0C3547"/>
          <w:sz w:val="36"/>
          <w:szCs w:val="36"/>
        </w:rPr>
        <w:t xml:space="preserve">Reporting — Audit-Ready, Always</w:t>
      </w:r>
    </w:p>
    <w:p>
      <w:pPr>
        <w:spacing w:after="120"/>
      </w:pPr>
      <w:r>
        <w:rPr>
          <w:rFonts w:ascii="Calibri" w:cs="Calibri" w:eastAsia="Calibri" w:hAnsi="Calibri"/>
          <w:color w:val="2C2C2C"/>
          <w:sz w:val="22"/>
          <w:szCs w:val="22"/>
        </w:rPr>
        <w:t xml:space="preserve">Riviwa produces ten categories of reports, all exportable in JSON, PDF, Excel, and CSV, formatted to align with World Bank SEP Annex requirements: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Report</w:t>
            </w:r>
          </w:p>
        </w:tc>
        <w:tc>
          <w:tcPr>
            <w:tcW w:type="dxa" w:w="62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What It Shows</w:t>
            </w:r>
          </w:p>
        </w:tc>
      </w:tr>
      <w:tr>
        <w:tc>
          <w:tcPr>
            <w:tcW w:type="dxa" w:w="30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Performance Dashboard</w:t>
            </w:r>
          </w:p>
        </w:tc>
        <w:tc>
          <w:tcPr>
            <w:tcW w:type="dxa" w:w="6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Total, open, resolved, dismissed counts across all types. Resolution rate, average acknowledgement and resolution hours, SLA compliance %.</w:t>
            </w:r>
          </w:p>
        </w:tc>
      </w:tr>
      <w:tr>
        <w:tc>
          <w:tcPr>
            <w:tcW w:type="dxa" w:w="30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Grievance Performance</w:t>
            </w:r>
          </w:p>
        </w:tc>
        <w:tc>
          <w:tcPr>
            <w:tcW w:type="dxa" w:w="6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Detailed SLA compliance by priority (CRITICAL/HIGH/MEDIUM/LOW), escalation breakdown by GRM level, appeal and dismissal rates.</w:t>
            </w:r>
          </w:p>
        </w:tc>
      </w:tr>
      <w:tr>
        <w:tc>
          <w:tcPr>
            <w:tcW w:type="dxa" w:w="30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Category Rate Analytics</w:t>
            </w:r>
          </w:p>
        </w:tc>
        <w:tc>
          <w:tcPr>
            <w:tcW w:type="dxa" w:w="6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Real-time and period-based rate of grievances per category. Trend direction (up/down/stable). Breakdowns by status, type, geography.</w:t>
            </w:r>
          </w:p>
        </w:tc>
      </w:tr>
      <w:tr>
        <w:tc>
          <w:tcPr>
            <w:tcW w:type="dxa" w:w="30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Channel Analytics</w:t>
            </w:r>
          </w:p>
        </w:tc>
        <w:tc>
          <w:tcPr>
            <w:tcW w:type="dxa" w:w="6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Which intake channels are being used, by feedback type. AI conversation conversion rate — how many SMS sessions resulted in submitted grievances.</w:t>
            </w:r>
          </w:p>
        </w:tc>
      </w:tr>
      <w:tr>
        <w:tc>
          <w:tcPr>
            <w:tcW w:type="dxa" w:w="30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Grievance Log (SEP Format)</w:t>
            </w:r>
          </w:p>
        </w:tc>
        <w:tc>
          <w:tcPr>
            <w:tcW w:type="dxa" w:w="6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Full row-level log for SEP Annex 5/6 submission: reference, subject, channel, priority, GRM level, SLA breach flags, submission to resolution timeline.</w:t>
            </w:r>
          </w:p>
        </w:tc>
      </w:tr>
      <w:tr>
        <w:tc>
          <w:tcPr>
            <w:tcW w:type="dxa" w:w="30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Overdue Grievances</w:t>
            </w:r>
          </w:p>
        </w:tc>
        <w:tc>
          <w:tcPr>
            <w:tcW w:type="dxa" w:w="6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All grievances that have passed their target resolution date, sorted by how many days overdue. Assigned officer shown.</w:t>
            </w:r>
          </w:p>
        </w:tc>
      </w:tr>
      <w:tr>
        <w:tc>
          <w:tcPr>
            <w:tcW w:type="dxa" w:w="30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Suggestion &amp; Applause Logs</w:t>
            </w:r>
          </w:p>
        </w:tc>
        <w:tc>
          <w:tcPr>
            <w:tcW w:type="dxa" w:w="6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Separate exportable logs for suggestions and applause — actioned rate, noted rate, acknowledgement timelines.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62E" w:sz="12"/>
              <w:left w:val="single" w:color="C8962E" w:sz="12"/>
              <w:bottom w:val="single" w:color="C8962E" w:sz="4"/>
              <w:right w:val="single" w:color="C8962E" w:sz="4"/>
            </w:tcBorders>
            <w:shd w:fill="FDF4E0" w:val="clear"/>
            <w:tcMar>
              <w:top w:type="dxa" w:w="120"/>
              <w:left w:type="dxa" w:w="200"/>
              <w:bottom w:type="dxa" w:w="120"/>
              <w:right w:type="dxa" w:w="200"/>
            </w:tcMar>
          </w:tcPr>
          <w:p>
            <w:pPr>
              <w:spacing w:after="80"/>
            </w:pPr>
            <w:r>
              <w:rPr>
                <w:rFonts w:ascii="Calibri" w:cs="Calibri" w:eastAsia="Calibri" w:hAnsi="Calibri"/>
                <w:b/>
                <w:bCs/>
                <w:color w:val="C8962E"/>
                <w:sz w:val="22"/>
                <w:szCs w:val="22"/>
              </w:rPr>
              <w:t xml:space="preserve">For World Bank Task Teams</w:t>
            </w:r>
          </w:p>
          <w:p>
            <w:pPr>
              <w:spacing w:after="0"/>
            </w:pPr>
            <w:r>
              <w:rPr>
                <w:rFonts w:ascii="Calibri" w:cs="Calibri" w:eastAsia="Calibri" w:hAnsi="Calibri"/>
                <w:color w:val="2C2C2C"/>
                <w:sz w:val="22"/>
                <w:szCs w:val="22"/>
              </w:rPr>
              <w:t xml:space="preserve">Riviwa's reports are formatted to align directly with ESF ESS10 disclosure requirements and the Grievance Log format required for World Bank supervision missions. Instead of preparing a report for the mission, the PCU presses Export — and the audit-ready document is generated in seconds. No manual compilation. No risk of retrospective modification.</w:t>
            </w:r>
          </w:p>
        </w:tc>
      </w:tr>
    </w:tbl>
    <w:p>
      <w:pPr>
        <w:spacing w:after="80"/>
      </w:pPr>
      <w:r>
        <w:t xml:space="preserve"/>
      </w:r>
    </w:p>
    <w:p>
      <w:pPr>
        <w:pStyle w:val="Heading1"/>
        <w:pBdr>
          <w:bottom w:val="single" w:color="0B7A8C" w:sz="6" w:space="4"/>
        </w:pBdr>
        <w:spacing w:before="320" w:after="160"/>
      </w:pPr>
      <w:r>
        <w:rPr>
          <w:rFonts w:ascii="Calibri" w:cs="Calibri" w:eastAsia="Calibri" w:hAnsi="Calibri"/>
          <w:b/>
          <w:bCs/>
          <w:color w:val="0C3547"/>
          <w:sz w:val="36"/>
          <w:szCs w:val="36"/>
        </w:rPr>
        <w:t xml:space="preserve">How Riviwa Exceeds Expectations</w:t>
      </w:r>
    </w:p>
    <w:p>
      <w:pPr>
        <w:spacing w:after="120"/>
      </w:pPr>
      <w:r>
        <w:rPr>
          <w:rFonts w:ascii="Calibri" w:cs="Calibri" w:eastAsia="Calibri" w:hAnsi="Calibri"/>
          <w:color w:val="2C2C2C"/>
          <w:sz w:val="22"/>
          <w:szCs w:val="22"/>
        </w:rPr>
        <w:t xml:space="preserve">The following features were not specified in the original SEP requirements. They emerged from the technical implementation and represent capabilities the platform delivers beyond what any standard GRM system would provide.</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Capability</w:t>
            </w:r>
          </w:p>
        </w:tc>
        <w:tc>
          <w:tcPr>
            <w:tcW w:type="dxa" w:w="62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Why It Matters</w:t>
            </w:r>
          </w:p>
        </w:tc>
      </w:tr>
      <w:tr>
        <w:tc>
          <w:tcPr>
            <w:tcW w:type="dxa" w:w="30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Bilingual AI Conversation Engine</w:t>
            </w:r>
          </w:p>
        </w:tc>
        <w:tc>
          <w:tcPr>
            <w:tcW w:type="dxa" w:w="6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The AI (Riviwa) conducts grievance intake conversations in Swahili or English, auto-detecting language from the first message. A rural PAP in Dodoma sends an SMS in Swahili and receives a professional, empathetic response in Swahili — in real time, 24 hours a day, with no officer involvement.</w:t>
            </w:r>
          </w:p>
        </w:tc>
      </w:tr>
      <w:tr>
        <w:tc>
          <w:tcPr>
            <w:tcW w:type="dxa" w:w="30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PAP Escalation Requests</w:t>
            </w:r>
          </w:p>
        </w:tc>
        <w:tc>
          <w:tcPr>
            <w:tcW w:type="dxa" w:w="6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PAPs can formally request that their grievance be escalated to a higher GRM level if they feel it is stagnating. The request goes to PIU inbox for review. Approved requests trigger actual escalation. Rejected requests include a written explanation visible to the PAP. This transforms the escalation process from an internal bureaucratic function into a right the PAP can exercise.</w:t>
            </w:r>
          </w:p>
        </w:tc>
      </w:tr>
      <w:tr>
        <w:tc>
          <w:tcPr>
            <w:tcW w:type="dxa" w:w="30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Real-Time SLA Monitoring</w:t>
            </w:r>
          </w:p>
        </w:tc>
        <w:tc>
          <w:tcPr>
            <w:tcW w:type="dxa" w:w="6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SLA compliance is calculated in real time — not at end of month. Every grievance record carries ack_sla_breached and resolve_sla_breached flags visible to every level of management. A PCU director can see at 9am how many grievances are at risk of SLA breach today.</w:t>
            </w:r>
          </w:p>
        </w:tc>
      </w:tr>
      <w:tr>
        <w:tc>
          <w:tcPr>
            <w:tcW w:type="dxa" w:w="30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GHC Stakeholder Coverage</w:t>
            </w:r>
          </w:p>
        </w:tc>
        <w:tc>
          <w:tcPr>
            <w:tcW w:type="dxa" w:w="6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Grievance Handling Committees (GHCs) can be scoped to specific stakeholder groups using a JSONB stakeholder_ids array with full PostgreSQL containment query support. This means a GHC for the Jangwani community in Ilala handles only Jangwani grievances automatically, with no manual routing.</w:t>
            </w:r>
          </w:p>
        </w:tc>
      </w:tr>
      <w:tr>
        <w:tc>
          <w:tcPr>
            <w:tcW w:type="dxa" w:w="30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Kafka Event Streaming</w:t>
            </w:r>
          </w:p>
        </w:tc>
        <w:tc>
          <w:tcPr>
            <w:tcW w:type="dxa" w:w="6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Every significant action — grievance submitted, acknowledged, escalated, resolved — publishes an event to a 4-node Apache Kafka cluster. This means other systems (TANROADS MIS, World Bank reporting dashboards, SMS notification systems) can subscribe to Riviwa events in real time without API polling.</w:t>
            </w:r>
          </w:p>
        </w:tc>
      </w:tr>
      <w:tr>
        <w:tc>
          <w:tcPr>
            <w:tcW w:type="dxa" w:w="30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Offline-Capable Mobile App</w:t>
            </w:r>
          </w:p>
        </w:tc>
        <w:tc>
          <w:tcPr>
            <w:tcW w:type="dxa" w:w="6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The Flutter mobile application is designed to work offline. Ward officers in areas with poor connectivity can enter grievances, consultation records, and engagement notes offline — data syncs when connectivity is restored. This is the reality of working in rural Tanzanian road corridors.</w:t>
            </w:r>
          </w:p>
        </w:tc>
      </w:tr>
      <w:tr>
        <w:tc>
          <w:tcPr>
            <w:tcW w:type="dxa" w:w="30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AI Category Learning</w:t>
            </w:r>
          </w:p>
        </w:tc>
        <w:tc>
          <w:tcPr>
            <w:tcW w:type="dxa" w:w="62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When the AI encounters a grievance that does not fit existing categories with sufficient confidence, it suggests a new category with a slug and description. PIU staff approve or reject the suggestion. Over time, the system's category library reflects the actual vocabulary of the communities — dust and noise complaints from peri-urban areas, bridge access complaints from rural districts — not generic templates from a policy document.</w:t>
            </w:r>
          </w:p>
        </w:tc>
      </w:tr>
      <w:tr>
        <w:tc>
          <w:tcPr>
            <w:tcW w:type="dxa" w:w="30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0B7A8C"/>
                <w:sz w:val="20"/>
                <w:szCs w:val="20"/>
              </w:rPr>
              <w:t xml:space="preserve">Court Referral Rights</w:t>
            </w:r>
          </w:p>
        </w:tc>
        <w:tc>
          <w:tcPr>
            <w:tcW w:type="dxa" w:w="62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The PAP portal explicitly informs every PAP of their right to seek court referral if the appeal outcome is unsatisfactory. This is not merely a legal compliance statement — it is presented in plain Swahili or English at the exact moment the PAP needs to know it: when they receive an appeal outcome.</w:t>
            </w:r>
          </w:p>
        </w:tc>
      </w:tr>
    </w:tbl>
    <w:p>
      <w:pPr>
        <w:spacing w:after="80"/>
      </w:pPr>
      <w:r>
        <w:t xml:space="preserve"/>
      </w:r>
    </w:p>
    <w:p>
      <w:pPr>
        <w:pStyle w:val="Heading1"/>
        <w:pBdr>
          <w:bottom w:val="single" w:color="0B7A8C" w:sz="6" w:space="4"/>
        </w:pBdr>
        <w:spacing w:before="320" w:after="160"/>
      </w:pPr>
      <w:r>
        <w:rPr>
          <w:rFonts w:ascii="Calibri" w:cs="Calibri" w:eastAsia="Calibri" w:hAnsi="Calibri"/>
          <w:b/>
          <w:bCs/>
          <w:color w:val="0C3547"/>
          <w:sz w:val="36"/>
          <w:szCs w:val="36"/>
        </w:rPr>
        <w:t xml:space="preserve">World Bank ESF Compliance Summary</w:t>
      </w:r>
    </w:p>
    <w:p>
      <w:pPr>
        <w:spacing w:after="120"/>
      </w:pPr>
      <w:r>
        <w:rPr>
          <w:rFonts w:ascii="Calibri" w:cs="Calibri" w:eastAsia="Calibri" w:hAnsi="Calibri"/>
          <w:color w:val="2C2C2C"/>
          <w:sz w:val="22"/>
          <w:szCs w:val="22"/>
        </w:rPr>
        <w:t xml:space="preserve">The following table maps Riviwa's capabilities directly to World Bank Environmental and Social Standard 10 requirements.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600"/>
      </w:tblGrid>
      <w:tr>
        <w:tc>
          <w:tcPr>
            <w:tcW w:type="dxa" w:w="38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ESS10 Requirement</w:t>
            </w:r>
          </w:p>
        </w:tc>
        <w:tc>
          <w:tcPr>
            <w:tcW w:type="dxa" w:w="38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Riviwa Implementation</w:t>
            </w:r>
          </w:p>
        </w:tc>
        <w:tc>
          <w:tcPr>
            <w:tcW w:type="dxa" w:w="16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Status</w:t>
            </w:r>
          </w:p>
        </w:tc>
      </w:tr>
      <w:tr>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Stakeholder identification and mapping</w:t>
            </w:r>
          </w:p>
        </w:tc>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Stakeholder register with contacts, categories, vulnerability flags, geographic scoping</w:t>
            </w:r>
          </w:p>
        </w:tc>
        <w:tc>
          <w:tcPr>
            <w:tcW w:type="dxa" w:w="1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pPr>
              <w:jc w:val="center"/>
            </w:pPr>
            <w:r>
              <w:rPr>
                <w:rFonts w:ascii="Calibri" w:cs="Calibri" w:eastAsia="Calibri" w:hAnsi="Calibri"/>
                <w:b/>
                <w:bCs/>
                <w:color w:val="2E7D32"/>
                <w:sz w:val="20"/>
                <w:szCs w:val="20"/>
              </w:rPr>
              <w:t xml:space="preserve">MEETS</w:t>
            </w:r>
          </w:p>
        </w:tc>
      </w:tr>
      <w:tr>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SEP preparation and disclosure</w:t>
            </w:r>
          </w:p>
        </w:tc>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All engagement records exportable in SEP Annex format at any time</w:t>
            </w:r>
          </w:p>
        </w:tc>
        <w:tc>
          <w:tcPr>
            <w:tcW w:type="dxa" w:w="1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pPr>
              <w:jc w:val="center"/>
            </w:pPr>
            <w:r>
              <w:rPr>
                <w:rFonts w:ascii="Calibri" w:cs="Calibri" w:eastAsia="Calibri" w:hAnsi="Calibri"/>
                <w:b/>
                <w:bCs/>
                <w:color w:val="2E7D32"/>
                <w:sz w:val="20"/>
                <w:szCs w:val="20"/>
              </w:rPr>
              <w:t xml:space="preserve">MEETS</w:t>
            </w:r>
          </w:p>
        </w:tc>
      </w:tr>
      <w:tr>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Accessible GRM with multiple channels</w:t>
            </w:r>
          </w:p>
        </w:tc>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10 submission channels including SMS, WhatsApp, voice, mobile app, web, officer-recorded</w:t>
            </w:r>
          </w:p>
        </w:tc>
        <w:tc>
          <w:tcPr>
            <w:tcW w:type="dxa" w:w="1600"/>
            <w:tcBorders>
              <w:top w:val="single" w:color="EEEEEE" w:sz="4"/>
              <w:left w:val="single" w:color="EEEEEE" w:sz="4"/>
              <w:bottom w:val="single" w:color="EEEEEE" w:sz="4"/>
              <w:right w:val="single" w:color="EEEEEE" w:sz="4"/>
            </w:tcBorders>
            <w:shd w:fill="E3F2FD" w:val="clear"/>
            <w:tcMar>
              <w:top w:type="dxa" w:w="80"/>
              <w:left w:type="dxa" w:w="140"/>
              <w:bottom w:type="dxa" w:w="80"/>
              <w:right w:type="dxa" w:w="140"/>
            </w:tcMar>
            <w:vAlign w:val="center"/>
          </w:tcPr>
          <w:p>
            <w:pPr>
              <w:jc w:val="center"/>
            </w:pPr>
            <w:r>
              <w:rPr>
                <w:rFonts w:ascii="Calibri" w:cs="Calibri" w:eastAsia="Calibri" w:hAnsi="Calibri"/>
                <w:b/>
                <w:bCs/>
                <w:color w:val="0B7A8C"/>
                <w:sz w:val="20"/>
                <w:szCs w:val="20"/>
              </w:rPr>
              <w:t xml:space="preserve">EXCEEDS</w:t>
            </w:r>
          </w:p>
        </w:tc>
      </w:tr>
      <w:tr>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Confidentiality of complainants</w:t>
            </w:r>
          </w:p>
        </w:tc>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3-layer anonymity enforcement: DB constraint, API gatekeeper, submission enforcer</w:t>
            </w:r>
          </w:p>
        </w:tc>
        <w:tc>
          <w:tcPr>
            <w:tcW w:type="dxa" w:w="1600"/>
            <w:tcBorders>
              <w:top w:val="single" w:color="EEEEEE" w:sz="4"/>
              <w:left w:val="single" w:color="EEEEEE" w:sz="4"/>
              <w:bottom w:val="single" w:color="EEEEEE" w:sz="4"/>
              <w:right w:val="single" w:color="EEEEEE" w:sz="4"/>
            </w:tcBorders>
            <w:shd w:fill="E3F2FD" w:val="clear"/>
            <w:tcMar>
              <w:top w:type="dxa" w:w="80"/>
              <w:left w:type="dxa" w:w="140"/>
              <w:bottom w:type="dxa" w:w="80"/>
              <w:right w:type="dxa" w:w="140"/>
            </w:tcMar>
            <w:vAlign w:val="center"/>
          </w:tcPr>
          <w:p>
            <w:pPr>
              <w:jc w:val="center"/>
            </w:pPr>
            <w:r>
              <w:rPr>
                <w:rFonts w:ascii="Calibri" w:cs="Calibri" w:eastAsia="Calibri" w:hAnsi="Calibri"/>
                <w:b/>
                <w:bCs/>
                <w:color w:val="0B7A8C"/>
                <w:sz w:val="20"/>
                <w:szCs w:val="20"/>
              </w:rPr>
              <w:t xml:space="preserve">EXCEEDS</w:t>
            </w:r>
          </w:p>
        </w:tc>
      </w:tr>
      <w:tr>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GRM at all project levels</w:t>
            </w:r>
          </w:p>
        </w:tc>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6-level hierarchy: Ward → LGA PIU → PCU → TARURA/WBCU → TANROADS → World Bank</w:t>
            </w:r>
          </w:p>
        </w:tc>
        <w:tc>
          <w:tcPr>
            <w:tcW w:type="dxa" w:w="1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pPr>
              <w:jc w:val="center"/>
            </w:pPr>
            <w:r>
              <w:rPr>
                <w:rFonts w:ascii="Calibri" w:cs="Calibri" w:eastAsia="Calibri" w:hAnsi="Calibri"/>
                <w:b/>
                <w:bCs/>
                <w:color w:val="2E7D32"/>
                <w:sz w:val="20"/>
                <w:szCs w:val="20"/>
              </w:rPr>
              <w:t xml:space="preserve">MEETS</w:t>
            </w:r>
          </w:p>
        </w:tc>
      </w:tr>
      <w:tr>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Timely response and resolution</w:t>
            </w:r>
          </w:p>
        </w:tc>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Per-priority SLA enforcement: CRITICAL 24h/7d, HIGH 48h/14d, MEDIUM 5d/30d, LOW 10d/no limit. Real-time breach monitoring.</w:t>
            </w:r>
          </w:p>
        </w:tc>
        <w:tc>
          <w:tcPr>
            <w:tcW w:type="dxa" w:w="1600"/>
            <w:tcBorders>
              <w:top w:val="single" w:color="EEEEEE" w:sz="4"/>
              <w:left w:val="single" w:color="EEEEEE" w:sz="4"/>
              <w:bottom w:val="single" w:color="EEEEEE" w:sz="4"/>
              <w:right w:val="single" w:color="EEEEEE" w:sz="4"/>
            </w:tcBorders>
            <w:shd w:fill="E3F2FD" w:val="clear"/>
            <w:tcMar>
              <w:top w:type="dxa" w:w="80"/>
              <w:left w:type="dxa" w:w="140"/>
              <w:bottom w:type="dxa" w:w="80"/>
              <w:right w:type="dxa" w:w="140"/>
            </w:tcMar>
            <w:vAlign w:val="center"/>
          </w:tcPr>
          <w:p>
            <w:pPr>
              <w:jc w:val="center"/>
            </w:pPr>
            <w:r>
              <w:rPr>
                <w:rFonts w:ascii="Calibri" w:cs="Calibri" w:eastAsia="Calibri" w:hAnsi="Calibri"/>
                <w:b/>
                <w:bCs/>
                <w:color w:val="0B7A8C"/>
                <w:sz w:val="20"/>
                <w:szCs w:val="20"/>
              </w:rPr>
              <w:t xml:space="preserve">EXCEEDS</w:t>
            </w:r>
          </w:p>
        </w:tc>
      </w:tr>
      <w:tr>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No-retaliation protection</w:t>
            </w:r>
          </w:p>
        </w:tc>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Anonymous submission with genuine technical protection; PAP identity never stored or traceable</w:t>
            </w:r>
          </w:p>
        </w:tc>
        <w:tc>
          <w:tcPr>
            <w:tcW w:type="dxa" w:w="1600"/>
            <w:tcBorders>
              <w:top w:val="single" w:color="EEEEEE" w:sz="4"/>
              <w:left w:val="single" w:color="EEEEEE" w:sz="4"/>
              <w:bottom w:val="single" w:color="EEEEEE" w:sz="4"/>
              <w:right w:val="single" w:color="EEEEEE" w:sz="4"/>
            </w:tcBorders>
            <w:shd w:fill="E3F2FD" w:val="clear"/>
            <w:tcMar>
              <w:top w:type="dxa" w:w="80"/>
              <w:left w:type="dxa" w:w="140"/>
              <w:bottom w:type="dxa" w:w="80"/>
              <w:right w:type="dxa" w:w="140"/>
            </w:tcMar>
            <w:vAlign w:val="center"/>
          </w:tcPr>
          <w:p>
            <w:pPr>
              <w:jc w:val="center"/>
            </w:pPr>
            <w:r>
              <w:rPr>
                <w:rFonts w:ascii="Calibri" w:cs="Calibri" w:eastAsia="Calibri" w:hAnsi="Calibri"/>
                <w:b/>
                <w:bCs/>
                <w:color w:val="0B7A8C"/>
                <w:sz w:val="20"/>
                <w:szCs w:val="20"/>
              </w:rPr>
              <w:t xml:space="preserve">EXCEEDS</w:t>
            </w:r>
          </w:p>
        </w:tc>
      </w:tr>
      <w:tr>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Monitoring and evaluation of GRM</w:t>
            </w:r>
          </w:p>
        </w:tc>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10 live reports, exportable at any time, with trend analysis and real-time rate monitoring</w:t>
            </w:r>
          </w:p>
        </w:tc>
        <w:tc>
          <w:tcPr>
            <w:tcW w:type="dxa" w:w="1600"/>
            <w:tcBorders>
              <w:top w:val="single" w:color="EEEEEE" w:sz="4"/>
              <w:left w:val="single" w:color="EEEEEE" w:sz="4"/>
              <w:bottom w:val="single" w:color="EEEEEE" w:sz="4"/>
              <w:right w:val="single" w:color="EEEEEE" w:sz="4"/>
            </w:tcBorders>
            <w:shd w:fill="E3F2FD" w:val="clear"/>
            <w:tcMar>
              <w:top w:type="dxa" w:w="80"/>
              <w:left w:type="dxa" w:w="140"/>
              <w:bottom w:type="dxa" w:w="80"/>
              <w:right w:type="dxa" w:w="140"/>
            </w:tcMar>
            <w:vAlign w:val="center"/>
          </w:tcPr>
          <w:p>
            <w:pPr>
              <w:jc w:val="center"/>
            </w:pPr>
            <w:r>
              <w:rPr>
                <w:rFonts w:ascii="Calibri" w:cs="Calibri" w:eastAsia="Calibri" w:hAnsi="Calibri"/>
                <w:b/>
                <w:bCs/>
                <w:color w:val="0B7A8C"/>
                <w:sz w:val="20"/>
                <w:szCs w:val="20"/>
              </w:rPr>
              <w:t xml:space="preserve">EXCEEDS</w:t>
            </w:r>
          </w:p>
        </w:tc>
      </w:tr>
      <w:tr>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Documentation and record keeping</w:t>
            </w:r>
          </w:p>
        </w:tc>
        <w:tc>
          <w:tcPr>
            <w:tcW w:type="dxa" w:w="3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Complete audit trail for every action on every grievance; immutable Kafka event log; PostgreSQL with full history</w:t>
            </w:r>
          </w:p>
        </w:tc>
        <w:tc>
          <w:tcPr>
            <w:tcW w:type="dxa" w:w="1600"/>
            <w:tcBorders>
              <w:top w:val="single" w:color="EEEEEE" w:sz="4"/>
              <w:left w:val="single" w:color="EEEEEE" w:sz="4"/>
              <w:bottom w:val="single" w:color="EEEEEE" w:sz="4"/>
              <w:right w:val="single" w:color="EEEEEE" w:sz="4"/>
            </w:tcBorders>
            <w:shd w:fill="E8F5E9" w:val="clear"/>
            <w:tcMar>
              <w:top w:type="dxa" w:w="80"/>
              <w:left w:type="dxa" w:w="140"/>
              <w:bottom w:type="dxa" w:w="80"/>
              <w:right w:type="dxa" w:w="140"/>
            </w:tcMar>
            <w:vAlign w:val="center"/>
          </w:tcPr>
          <w:p>
            <w:pPr>
              <w:jc w:val="center"/>
            </w:pPr>
            <w:r>
              <w:rPr>
                <w:rFonts w:ascii="Calibri" w:cs="Calibri" w:eastAsia="Calibri" w:hAnsi="Calibri"/>
                <w:b/>
                <w:bCs/>
                <w:color w:val="2E7D32"/>
                <w:sz w:val="20"/>
                <w:szCs w:val="20"/>
              </w:rPr>
              <w:t xml:space="preserve">MEETS</w:t>
            </w:r>
          </w:p>
        </w:tc>
      </w:tr>
      <w:tr>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Vulnerable group consideration</w:t>
            </w:r>
          </w:p>
        </w:tc>
        <w:tc>
          <w:tcPr>
            <w:tcW w:type="dxa" w:w="3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Vulnerability flags on stakeholder records; offline app for areas with no connectivity; SMS/USSD for no-smartphone PAPs; Swahili-first AI</w:t>
            </w:r>
          </w:p>
        </w:tc>
        <w:tc>
          <w:tcPr>
            <w:tcW w:type="dxa" w:w="1600"/>
            <w:tcBorders>
              <w:top w:val="single" w:color="EEEEEE" w:sz="4"/>
              <w:left w:val="single" w:color="EEEEEE" w:sz="4"/>
              <w:bottom w:val="single" w:color="EEEEEE" w:sz="4"/>
              <w:right w:val="single" w:color="EEEEEE" w:sz="4"/>
            </w:tcBorders>
            <w:shd w:fill="E3F2FD" w:val="clear"/>
            <w:tcMar>
              <w:top w:type="dxa" w:w="80"/>
              <w:left w:type="dxa" w:w="140"/>
              <w:bottom w:type="dxa" w:w="80"/>
              <w:right w:type="dxa" w:w="140"/>
            </w:tcMar>
            <w:vAlign w:val="center"/>
          </w:tcPr>
          <w:p>
            <w:pPr>
              <w:jc w:val="center"/>
            </w:pPr>
            <w:r>
              <w:rPr>
                <w:rFonts w:ascii="Calibri" w:cs="Calibri" w:eastAsia="Calibri" w:hAnsi="Calibri"/>
                <w:b/>
                <w:bCs/>
                <w:color w:val="0B7A8C"/>
                <w:sz w:val="20"/>
                <w:szCs w:val="20"/>
              </w:rPr>
              <w:t xml:space="preserve">EXCEEDS</w:t>
            </w:r>
          </w:p>
        </w:tc>
      </w:tr>
    </w:tbl>
    <w:p>
      <w:pPr>
        <w:spacing w:after="80"/>
      </w:pPr>
      <w:r>
        <w:t xml:space="preserve"/>
      </w:r>
    </w:p>
    <w:p>
      <w:pPr>
        <w:pStyle w:val="Heading1"/>
        <w:pBdr>
          <w:bottom w:val="single" w:color="0B7A8C" w:sz="6" w:space="4"/>
        </w:pBdr>
        <w:spacing w:before="320" w:after="160"/>
      </w:pPr>
      <w:r>
        <w:rPr>
          <w:rFonts w:ascii="Calibri" w:cs="Calibri" w:eastAsia="Calibri" w:hAnsi="Calibri"/>
          <w:b/>
          <w:bCs/>
          <w:color w:val="0C3547"/>
          <w:sz w:val="36"/>
          <w:szCs w:val="36"/>
        </w:rPr>
        <w:t xml:space="preserve">Strategic Benefits for Government and Project Stakeholders</w:t>
      </w:r>
    </w:p>
    <w:p>
      <w:pPr>
        <w:spacing w:before="200" w:after="100"/>
      </w:pPr>
      <w:r>
        <w:rPr>
          <w:rFonts w:ascii="Calibri" w:cs="Calibri" w:eastAsia="Calibri" w:hAnsi="Calibri"/>
          <w:b/>
          <w:bCs/>
          <w:color w:val="0B7A8C"/>
          <w:sz w:val="24"/>
          <w:szCs w:val="24"/>
        </w:rPr>
        <w:t xml:space="preserve">For the Ministry of Works and Transport / TANROADS / TARURA</w:t>
      </w:r>
    </w:p>
    <w:p>
      <w:pPr>
        <w:pStyle w:val="ListParagraph"/>
        <w:numPr>
          <w:ilvl w:val="0"/>
          <w:numId w:val="2"/>
        </w:numPr>
        <w:spacing w:after="80"/>
      </w:pPr>
      <w:r>
        <w:rPr>
          <w:rFonts w:ascii="Calibri" w:cs="Calibri" w:eastAsia="Calibri" w:hAnsi="Calibri"/>
          <w:color w:val="2C2C2C"/>
          <w:sz w:val="22"/>
          <w:szCs w:val="22"/>
        </w:rPr>
        <w:t xml:space="preserve">Full visibility into the grievance load, resolution performance, and SLA compliance of every LGA and district — in real time, from headquarters</w:t>
      </w:r>
    </w:p>
    <w:p>
      <w:pPr>
        <w:pStyle w:val="ListParagraph"/>
        <w:numPr>
          <w:ilvl w:val="0"/>
          <w:numId w:val="2"/>
        </w:numPr>
        <w:spacing w:after="80"/>
      </w:pPr>
      <w:r>
        <w:rPr>
          <w:rFonts w:ascii="Calibri" w:cs="Calibri" w:eastAsia="Calibri" w:hAnsi="Calibri"/>
          <w:color w:val="2C2C2C"/>
          <w:sz w:val="22"/>
          <w:szCs w:val="22"/>
        </w:rPr>
        <w:t xml:space="preserve">Credible, exportable records for Parliamentary oversight, Auditor General inquiries, and ministerial briefings</w:t>
      </w:r>
    </w:p>
    <w:p>
      <w:pPr>
        <w:pStyle w:val="ListParagraph"/>
        <w:numPr>
          <w:ilvl w:val="0"/>
          <w:numId w:val="2"/>
        </w:numPr>
        <w:spacing w:after="80"/>
      </w:pPr>
      <w:r>
        <w:rPr>
          <w:rFonts w:ascii="Calibri" w:cs="Calibri" w:eastAsia="Calibri" w:hAnsi="Calibri"/>
          <w:color w:val="2C2C2C"/>
          <w:sz w:val="22"/>
          <w:szCs w:val="22"/>
        </w:rPr>
        <w:t xml:space="preserve">Elimination of the most common reason for World Bank non-compliance findings: poor or missing GRM documentation</w:t>
      </w:r>
    </w:p>
    <w:p>
      <w:pPr>
        <w:pStyle w:val="ListParagraph"/>
        <w:numPr>
          <w:ilvl w:val="0"/>
          <w:numId w:val="2"/>
        </w:numPr>
        <w:spacing w:after="80"/>
      </w:pPr>
      <w:r>
        <w:rPr>
          <w:rFonts w:ascii="Calibri" w:cs="Calibri" w:eastAsia="Calibri" w:hAnsi="Calibri"/>
          <w:color w:val="2C2C2C"/>
          <w:sz w:val="22"/>
          <w:szCs w:val="22"/>
        </w:rPr>
        <w:t xml:space="preserve">Reputational benefit: Tanzania becomes a model for digitised, transparent infrastructure grievance management in Sub-Saharan Africa</w:t>
      </w:r>
    </w:p>
    <w:p>
      <w:pPr>
        <w:spacing w:after="80"/>
      </w:pPr>
      <w:r>
        <w:t xml:space="preserve"/>
      </w:r>
    </w:p>
    <w:p>
      <w:pPr>
        <w:spacing w:before="200" w:after="100"/>
      </w:pPr>
      <w:r>
        <w:rPr>
          <w:rFonts w:ascii="Calibri" w:cs="Calibri" w:eastAsia="Calibri" w:hAnsi="Calibri"/>
          <w:b/>
          <w:bCs/>
          <w:color w:val="0B7A8C"/>
          <w:sz w:val="24"/>
          <w:szCs w:val="24"/>
        </w:rPr>
        <w:t xml:space="preserve">For Project Coordination Units (PCUs)</w:t>
      </w:r>
    </w:p>
    <w:p>
      <w:pPr>
        <w:pStyle w:val="ListParagraph"/>
        <w:numPr>
          <w:ilvl w:val="0"/>
          <w:numId w:val="2"/>
        </w:numPr>
        <w:spacing w:after="80"/>
      </w:pPr>
      <w:r>
        <w:rPr>
          <w:rFonts w:ascii="Calibri" w:cs="Calibri" w:eastAsia="Calibri" w:hAnsi="Calibri"/>
          <w:color w:val="2C2C2C"/>
          <w:sz w:val="22"/>
          <w:szCs w:val="22"/>
        </w:rPr>
        <w:t xml:space="preserve">No more end-of-month scramble to compile grievance logs for World Bank supervision missions</w:t>
      </w:r>
    </w:p>
    <w:p>
      <w:pPr>
        <w:pStyle w:val="ListParagraph"/>
        <w:numPr>
          <w:ilvl w:val="0"/>
          <w:numId w:val="2"/>
        </w:numPr>
        <w:spacing w:after="80"/>
      </w:pPr>
      <w:r>
        <w:rPr>
          <w:rFonts w:ascii="Calibri" w:cs="Calibri" w:eastAsia="Calibri" w:hAnsi="Calibri"/>
          <w:color w:val="2C2C2C"/>
          <w:sz w:val="22"/>
          <w:szCs w:val="22"/>
        </w:rPr>
        <w:t xml:space="preserve">Automatic escalation routing eliminates the need for officers to manually forward cases</w:t>
      </w:r>
    </w:p>
    <w:p>
      <w:pPr>
        <w:pStyle w:val="ListParagraph"/>
        <w:numPr>
          <w:ilvl w:val="0"/>
          <w:numId w:val="2"/>
        </w:numPr>
        <w:spacing w:after="80"/>
      </w:pPr>
      <w:r>
        <w:rPr>
          <w:rFonts w:ascii="Calibri" w:cs="Calibri" w:eastAsia="Calibri" w:hAnsi="Calibri"/>
          <w:color w:val="2C2C2C"/>
          <w:sz w:val="22"/>
          <w:szCs w:val="22"/>
        </w:rPr>
        <w:t xml:space="preserve">Staff in the field use the mobile app — data reaches headquarters in real time without email or WhatsApp forwarding</w:t>
      </w:r>
    </w:p>
    <w:p>
      <w:pPr>
        <w:pStyle w:val="ListParagraph"/>
        <w:numPr>
          <w:ilvl w:val="0"/>
          <w:numId w:val="2"/>
        </w:numPr>
        <w:spacing w:after="80"/>
      </w:pPr>
      <w:r>
        <w:rPr>
          <w:rFonts w:ascii="Calibri" w:cs="Calibri" w:eastAsia="Calibri" w:hAnsi="Calibri"/>
          <w:color w:val="2C2C2C"/>
          <w:sz w:val="22"/>
          <w:szCs w:val="22"/>
        </w:rPr>
        <w:t xml:space="preserve">Categories and SLA rules configurable per project — one platform serves BCUP, RTP, and any future programme</w:t>
      </w:r>
    </w:p>
    <w:p>
      <w:pPr>
        <w:spacing w:after="80"/>
      </w:pPr>
      <w:r>
        <w:t xml:space="preserve"/>
      </w:r>
    </w:p>
    <w:p>
      <w:pPr>
        <w:spacing w:before="200" w:after="100"/>
      </w:pPr>
      <w:r>
        <w:rPr>
          <w:rFonts w:ascii="Calibri" w:cs="Calibri" w:eastAsia="Calibri" w:hAnsi="Calibri"/>
          <w:b/>
          <w:bCs/>
          <w:color w:val="0B7A8C"/>
          <w:sz w:val="24"/>
          <w:szCs w:val="24"/>
        </w:rPr>
        <w:t xml:space="preserve">For the World Bank Task Team</w:t>
      </w:r>
    </w:p>
    <w:p>
      <w:pPr>
        <w:pStyle w:val="ListParagraph"/>
        <w:numPr>
          <w:ilvl w:val="0"/>
          <w:numId w:val="2"/>
        </w:numPr>
        <w:spacing w:after="80"/>
      </w:pPr>
      <w:r>
        <w:rPr>
          <w:rFonts w:ascii="Calibri" w:cs="Calibri" w:eastAsia="Calibri" w:hAnsi="Calibri"/>
          <w:color w:val="2C2C2C"/>
          <w:sz w:val="22"/>
          <w:szCs w:val="22"/>
        </w:rPr>
        <w:t xml:space="preserve">Supervision missions can access live dashboards rather than waiting for compiled reports</w:t>
      </w:r>
    </w:p>
    <w:p>
      <w:pPr>
        <w:pStyle w:val="ListParagraph"/>
        <w:numPr>
          <w:ilvl w:val="0"/>
          <w:numId w:val="2"/>
        </w:numPr>
        <w:spacing w:after="80"/>
      </w:pPr>
      <w:r>
        <w:rPr>
          <w:rFonts w:ascii="Calibri" w:cs="Calibri" w:eastAsia="Calibri" w:hAnsi="Calibri"/>
          <w:color w:val="2C2C2C"/>
          <w:sz w:val="22"/>
          <w:szCs w:val="22"/>
        </w:rPr>
        <w:t xml:space="preserve">Every grievance record carries a complete, immutable trail from submission to resolution — no question of records being prepared retrospectively</w:t>
      </w:r>
    </w:p>
    <w:p>
      <w:pPr>
        <w:pStyle w:val="ListParagraph"/>
        <w:numPr>
          <w:ilvl w:val="0"/>
          <w:numId w:val="2"/>
        </w:numPr>
        <w:spacing w:after="80"/>
      </w:pPr>
      <w:r>
        <w:rPr>
          <w:rFonts w:ascii="Calibri" w:cs="Calibri" w:eastAsia="Calibri" w:hAnsi="Calibri"/>
          <w:color w:val="2C2C2C"/>
          <w:sz w:val="22"/>
          <w:szCs w:val="22"/>
        </w:rPr>
        <w:t xml:space="preserve">Real-time SLA compliance metrics satisfy the monitoring and evaluation requirements of the project legal agreement</w:t>
      </w:r>
    </w:p>
    <w:p>
      <w:pPr>
        <w:pStyle w:val="ListParagraph"/>
        <w:numPr>
          <w:ilvl w:val="0"/>
          <w:numId w:val="2"/>
        </w:numPr>
        <w:spacing w:after="80"/>
      </w:pPr>
      <w:r>
        <w:rPr>
          <w:rFonts w:ascii="Calibri" w:cs="Calibri" w:eastAsia="Calibri" w:hAnsi="Calibri"/>
          <w:color w:val="2C2C2C"/>
          <w:sz w:val="22"/>
          <w:szCs w:val="22"/>
        </w:rPr>
        <w:t xml:space="preserve">The platform's architecture — event streaming, microservices, API-first design — is compatible with World Bank digital development standards and could be reused across other IDA-financed projects</w:t>
      </w:r>
    </w:p>
    <w:p>
      <w:pPr>
        <w:spacing w:after="80"/>
      </w:pPr>
      <w:r>
        <w:t xml:space="preserve"/>
      </w:r>
    </w:p>
    <w:p>
      <w:pPr>
        <w:spacing w:before="200" w:after="100"/>
      </w:pPr>
      <w:r>
        <w:rPr>
          <w:rFonts w:ascii="Calibri" w:cs="Calibri" w:eastAsia="Calibri" w:hAnsi="Calibri"/>
          <w:b/>
          <w:bCs/>
          <w:color w:val="0B7A8C"/>
          <w:sz w:val="24"/>
          <w:szCs w:val="24"/>
        </w:rPr>
        <w:t xml:space="preserve">For Project Affected People</w:t>
      </w:r>
    </w:p>
    <w:p>
      <w:pPr>
        <w:pStyle w:val="ListParagraph"/>
        <w:numPr>
          <w:ilvl w:val="0"/>
          <w:numId w:val="2"/>
        </w:numPr>
        <w:spacing w:after="80"/>
      </w:pPr>
      <w:r>
        <w:rPr>
          <w:rFonts w:ascii="Calibri" w:cs="Calibri" w:eastAsia="Calibri" w:hAnsi="Calibri"/>
          <w:color w:val="2C2C2C"/>
          <w:sz w:val="22"/>
          <w:szCs w:val="22"/>
        </w:rPr>
        <w:t xml:space="preserve">A reference number the moment a grievance is submitted — regardless of whether it was submitted by SMS in rural Dodoma or online in Dar es Salaam</w:t>
      </w:r>
    </w:p>
    <w:p>
      <w:pPr>
        <w:pStyle w:val="ListParagraph"/>
        <w:numPr>
          <w:ilvl w:val="0"/>
          <w:numId w:val="2"/>
        </w:numPr>
        <w:spacing w:after="80"/>
      </w:pPr>
      <w:r>
        <w:rPr>
          <w:rFonts w:ascii="Calibri" w:cs="Calibri" w:eastAsia="Calibri" w:hAnsi="Calibri"/>
          <w:color w:val="2C2C2C"/>
          <w:sz w:val="22"/>
          <w:szCs w:val="22"/>
        </w:rPr>
        <w:t xml:space="preserve">Real-time status updates visible on a mobile phone without a smartphone</w:t>
      </w:r>
    </w:p>
    <w:p>
      <w:pPr>
        <w:pStyle w:val="ListParagraph"/>
        <w:numPr>
          <w:ilvl w:val="0"/>
          <w:numId w:val="2"/>
        </w:numPr>
        <w:spacing w:after="80"/>
      </w:pPr>
      <w:r>
        <w:rPr>
          <w:rFonts w:ascii="Calibri" w:cs="Calibri" w:eastAsia="Calibri" w:hAnsi="Calibri"/>
          <w:color w:val="2C2C2C"/>
          <w:sz w:val="22"/>
          <w:szCs w:val="22"/>
        </w:rPr>
        <w:t xml:space="preserve">The right to request escalation directly, without waiting for an officer to decide</w:t>
      </w:r>
    </w:p>
    <w:p>
      <w:pPr>
        <w:pStyle w:val="ListParagraph"/>
        <w:numPr>
          <w:ilvl w:val="0"/>
          <w:numId w:val="2"/>
        </w:numPr>
        <w:spacing w:after="80"/>
      </w:pPr>
      <w:r>
        <w:rPr>
          <w:rFonts w:ascii="Calibri" w:cs="Calibri" w:eastAsia="Calibri" w:hAnsi="Calibri"/>
          <w:color w:val="2C2C2C"/>
          <w:sz w:val="22"/>
          <w:szCs w:val="22"/>
        </w:rPr>
        <w:t xml:space="preserve">Court referral rights communicated clearly and at the right moment</w:t>
      </w:r>
    </w:p>
    <w:p>
      <w:pPr>
        <w:pStyle w:val="ListParagraph"/>
        <w:numPr>
          <w:ilvl w:val="0"/>
          <w:numId w:val="2"/>
        </w:numPr>
        <w:spacing w:after="80"/>
      </w:pPr>
      <w:r>
        <w:rPr>
          <w:rFonts w:ascii="Calibri" w:cs="Calibri" w:eastAsia="Calibri" w:hAnsi="Calibri"/>
          <w:color w:val="2C2C2C"/>
          <w:sz w:val="22"/>
          <w:szCs w:val="22"/>
        </w:rPr>
        <w:t xml:space="preserve">Genuine anonymity for those who need it — backed by technical enforcement, not just policy</w:t>
      </w:r>
    </w:p>
    <w:p>
      <w:pPr>
        <w:spacing w:after="80"/>
      </w:pPr>
      <w:r>
        <w:t xml:space="preserve"/>
      </w:r>
    </w:p>
    <w:p>
      <w:pPr>
        <w:pStyle w:val="Heading1"/>
        <w:pBdr>
          <w:bottom w:val="single" w:color="0B7A8C" w:sz="6" w:space="4"/>
        </w:pBdr>
        <w:spacing w:before="320" w:after="160"/>
      </w:pPr>
      <w:r>
        <w:rPr>
          <w:rFonts w:ascii="Calibri" w:cs="Calibri" w:eastAsia="Calibri" w:hAnsi="Calibri"/>
          <w:b/>
          <w:bCs/>
          <w:color w:val="0C3547"/>
          <w:sz w:val="36"/>
          <w:szCs w:val="36"/>
        </w:rPr>
        <w:t xml:space="preserve">Technology Architecture — Built to Last</w:t>
      </w:r>
    </w:p>
    <w:p>
      <w:pPr>
        <w:spacing w:after="120"/>
      </w:pPr>
      <w:r>
        <w:rPr>
          <w:rFonts w:ascii="Calibri" w:cs="Calibri" w:eastAsia="Calibri" w:hAnsi="Calibri"/>
          <w:color w:val="2C2C2C"/>
          <w:sz w:val="22"/>
          <w:szCs w:val="22"/>
        </w:rPr>
        <w:t xml:space="preserve">Riviwa is not a single application. It is a production-grade microservices platform built to the same architectural standards as systems serving millions of users. The technology choices were made specifically for long-term maintainability, scalability, and security in a Tanzanian operational context.</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Component</w:t>
            </w:r>
          </w:p>
        </w:tc>
        <w:tc>
          <w:tcPr>
            <w:tcW w:type="dxa" w:w="6400"/>
            <w:gridSpan w:val="1"/>
            <w:tcBorders>
              <w:top w:val="single" w:color="0C3547" w:sz="4"/>
              <w:left w:val="single" w:color="0C3547" w:sz="4"/>
              <w:bottom w:val="single" w:color="0C3547" w:sz="4"/>
              <w:right w:val="single" w:color="0C3547" w:sz="4"/>
            </w:tcBorders>
            <w:shd w:fill="0C354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Why This Choice</w:t>
            </w:r>
          </w:p>
        </w:tc>
      </w:tr>
      <w:tr>
        <w:tc>
          <w:tcPr>
            <w:tcW w:type="dxa" w:w="2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FastAPI (Python)</w:t>
            </w:r>
          </w:p>
        </w:tc>
        <w:tc>
          <w:tcPr>
            <w:tcW w:type="dxa" w:w="6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Modern, async, high-performance API framework. Automatic OpenAPI documentation. Easy to hire for and maintain. Used by Uber, Netflix, and Microsoft.</w:t>
            </w:r>
          </w:p>
        </w:tc>
      </w:tr>
      <w:tr>
        <w:tc>
          <w:tcPr>
            <w:tcW w:type="dxa" w:w="2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PostgreSQL 15</w:t>
            </w:r>
          </w:p>
        </w:tc>
        <w:tc>
          <w:tcPr>
            <w:tcW w:type="dxa" w:w="6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World's most advanced open-source database. JSONB support for flexible stakeholder data. Full ACID compliance for grievance records. No licensing cost.</w:t>
            </w:r>
          </w:p>
        </w:tc>
      </w:tr>
      <w:tr>
        <w:tc>
          <w:tcPr>
            <w:tcW w:type="dxa" w:w="2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Apache Kafka (4-node)</w:t>
            </w:r>
          </w:p>
        </w:tc>
        <w:tc>
          <w:tcPr>
            <w:tcW w:type="dxa" w:w="6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Production-grade event streaming. Every system action is an event that can be consumed by other systems. Built for fault tolerance — survives the failure of any single node.</w:t>
            </w:r>
          </w:p>
        </w:tc>
      </w:tr>
      <w:tr>
        <w:tc>
          <w:tcPr>
            <w:tcW w:type="dxa" w:w="2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Flutter Mobile App</w:t>
            </w:r>
          </w:p>
        </w:tc>
        <w:tc>
          <w:tcPr>
            <w:tcW w:type="dxa" w:w="6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Single codebase for Android and iOS. Offline-first design. Proven for use in low-connectivity environments.</w:t>
            </w:r>
          </w:p>
        </w:tc>
      </w:tr>
      <w:tr>
        <w:tc>
          <w:tcPr>
            <w:tcW w:type="dxa" w:w="2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Redis</w:t>
            </w:r>
          </w:p>
        </w:tc>
        <w:tc>
          <w:tcPr>
            <w:tcW w:type="dxa" w:w="6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OTP session storage, JWT token management, rate limiting. Sub-millisecond response times for security-critical operations.</w:t>
            </w:r>
          </w:p>
        </w:tc>
      </w:tr>
      <w:tr>
        <w:tc>
          <w:tcPr>
            <w:tcW w:type="dxa" w:w="28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Anthropic Claude AI</w:t>
            </w:r>
          </w:p>
        </w:tc>
        <w:tc>
          <w:tcPr>
            <w:tcW w:type="dxa" w:w="6400"/>
            <w:tcBorders>
              <w:top w:val="single" w:color="EEEEEE" w:sz="4"/>
              <w:left w:val="single" w:color="EEEEEE" w:sz="4"/>
              <w:bottom w:val="single" w:color="EEEEEE" w:sz="4"/>
              <w:right w:val="single" w:color="EEEEEE" w:sz="4"/>
            </w:tcBorders>
            <w:shd w:fill="FFFFFF"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State-of-the-art language model for grievance classification and conversational intake. Runs over secure API — no data stored on third-party servers beyond the API call.</w:t>
            </w:r>
          </w:p>
        </w:tc>
      </w:tr>
      <w:tr>
        <w:tc>
          <w:tcPr>
            <w:tcW w:type="dxa" w:w="28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bCs/>
                <w:color w:val="2C2C2C"/>
                <w:sz w:val="20"/>
                <w:szCs w:val="20"/>
              </w:rPr>
              <w:t xml:space="preserve">Docker + Docker Compose</w:t>
            </w:r>
          </w:p>
        </w:tc>
        <w:tc>
          <w:tcPr>
            <w:tcW w:type="dxa" w:w="6400"/>
            <w:tcBorders>
              <w:top w:val="single" w:color="EEEEEE" w:sz="4"/>
              <w:left w:val="single" w:color="EEEEEE" w:sz="4"/>
              <w:bottom w:val="single" w:color="EEEEEE" w:sz="4"/>
              <w:right w:val="single" w:color="EEEEEE" w:sz="4"/>
            </w:tcBorders>
            <w:shd w:fill="EFF7FB" w:val="clear"/>
            <w:tcMar>
              <w:top w:type="dxa" w:w="80"/>
              <w:left w:type="dxa" w:w="140"/>
              <w:bottom w:type="dxa" w:w="80"/>
              <w:right w:type="dxa" w:w="140"/>
            </w:tcMar>
            <w:vAlign w:val="center"/>
          </w:tcPr>
          <w:p>
            <w:r>
              <w:rPr>
                <w:rFonts w:ascii="Calibri" w:cs="Calibri" w:eastAsia="Calibri" w:hAnsi="Calibri"/>
                <w:b w:val="false"/>
                <w:bCs w:val="false"/>
                <w:color w:val="2C2C2C"/>
                <w:sz w:val="20"/>
                <w:szCs w:val="20"/>
              </w:rPr>
              <w:t xml:space="preserve">Fully containerised deployment. Can run on any server, cloud or on-premise. Development environment is identical to production — no deployment surprises.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62E" w:sz="12"/>
              <w:left w:val="single" w:color="C8962E" w:sz="12"/>
              <w:bottom w:val="single" w:color="C8962E" w:sz="4"/>
              <w:right w:val="single" w:color="C8962E" w:sz="4"/>
            </w:tcBorders>
            <w:shd w:fill="FDF4E0" w:val="clear"/>
            <w:tcMar>
              <w:top w:type="dxa" w:w="120"/>
              <w:left w:type="dxa" w:w="200"/>
              <w:bottom w:type="dxa" w:w="120"/>
              <w:right w:type="dxa" w:w="200"/>
            </w:tcMar>
          </w:tcPr>
          <w:p>
            <w:pPr>
              <w:spacing w:after="80"/>
            </w:pPr>
            <w:r>
              <w:rPr>
                <w:rFonts w:ascii="Calibri" w:cs="Calibri" w:eastAsia="Calibri" w:hAnsi="Calibri"/>
                <w:b/>
                <w:bCs/>
                <w:color w:val="C8962E"/>
                <w:sz w:val="22"/>
                <w:szCs w:val="22"/>
              </w:rPr>
              <w:t xml:space="preserve">Deployment Flexibility</w:t>
            </w:r>
          </w:p>
          <w:p>
            <w:pPr>
              <w:spacing w:after="0"/>
            </w:pPr>
            <w:r>
              <w:rPr>
                <w:rFonts w:ascii="Calibri" w:cs="Calibri" w:eastAsia="Calibri" w:hAnsi="Calibri"/>
                <w:color w:val="2C2C2C"/>
                <w:sz w:val="22"/>
                <w:szCs w:val="22"/>
              </w:rPr>
              <w:t xml:space="preserve">Riviwa can be deployed on-premise at TANROADS/TARURA data centres, on Tanzanian cloud infrastructure (TTCL DataCentre), or on AWS/Azure/GCP. It does not depend on any single vendor. If the World Bank requires on-premise deployment for data sovereignty reasons, Riviwa supports it without modification.</w:t>
            </w:r>
          </w:p>
        </w:tc>
      </w:tr>
    </w:tbl>
    <w:p>
      <w:pPr>
        <w:spacing w:after="80"/>
      </w:pPr>
      <w:r>
        <w:t xml:space="preserve"/>
      </w:r>
    </w:p>
    <w:p>
      <w:pPr>
        <w:pStyle w:val="Heading1"/>
        <w:pBdr>
          <w:bottom w:val="single" w:color="0B7A8C" w:sz="6" w:space="4"/>
        </w:pBdr>
        <w:spacing w:before="320" w:after="160"/>
      </w:pPr>
      <w:r>
        <w:rPr>
          <w:rFonts w:ascii="Calibri" w:cs="Calibri" w:eastAsia="Calibri" w:hAnsi="Calibri"/>
          <w:b/>
          <w:bCs/>
          <w:color w:val="0C3547"/>
          <w:sz w:val="36"/>
          <w:szCs w:val="36"/>
        </w:rPr>
        <w:t xml:space="preserve">Conclusion — A Platform That Changes What Is Possible</w:t>
      </w:r>
    </w:p>
    <w:p>
      <w:pPr>
        <w:spacing w:after="120"/>
      </w:pPr>
      <w:r>
        <w:rPr>
          <w:rFonts w:ascii="Calibri" w:cs="Calibri" w:eastAsia="Calibri" w:hAnsi="Calibri"/>
          <w:color w:val="2C2C2C"/>
          <w:sz w:val="22"/>
          <w:szCs w:val="22"/>
        </w:rPr>
        <w:t xml:space="preserve">Riviwa was designed with a clear understanding of the gap between what international development standards require and what ground-level implementation in Tanzania has historically delivered. That gap is wide — and it has real consequences for communities, projects, and country programmes.</w:t>
      </w:r>
    </w:p>
    <w:p>
      <w:pPr>
        <w:spacing w:after="80"/>
      </w:pPr>
      <w:r>
        <w:t xml:space="preserve"/>
      </w:r>
    </w:p>
    <w:p>
      <w:pPr>
        <w:spacing w:after="120"/>
      </w:pPr>
      <w:r>
        <w:rPr>
          <w:rFonts w:ascii="Calibri" w:cs="Calibri" w:eastAsia="Calibri" w:hAnsi="Calibri"/>
          <w:color w:val="2C2C2C"/>
          <w:sz w:val="22"/>
          <w:szCs w:val="22"/>
        </w:rPr>
        <w:t xml:space="preserve">Every feature in the platform was built with a specific question in mind: </w:t>
      </w:r>
      <w:r>
        <w:rPr>
          <w:rFonts w:ascii="Calibri" w:cs="Calibri" w:eastAsia="Calibri" w:hAnsi="Calibri"/>
          <w:b/>
          <w:bCs/>
          <w:color w:val="2C2C2C"/>
          <w:sz w:val="22"/>
          <w:szCs w:val="22"/>
        </w:rPr>
        <w:t xml:space="preserve">what would a ward officer in a rural district actually need to do their job; what would a PAP in Jangwani actually need to feel heard; what would a World Bank task team leader actually need to be confident the project is compliant?</w:t>
      </w:r>
    </w:p>
    <w:p>
      <w:pPr>
        <w:spacing w:after="80"/>
      </w:pPr>
      <w:r>
        <w:t xml:space="preserve"/>
      </w:r>
    </w:p>
    <w:p>
      <w:pPr>
        <w:spacing w:after="120"/>
      </w:pPr>
      <w:r>
        <w:rPr>
          <w:rFonts w:ascii="Calibri" w:cs="Calibri" w:eastAsia="Calibri" w:hAnsi="Calibri"/>
          <w:color w:val="2C2C2C"/>
          <w:sz w:val="22"/>
          <w:szCs w:val="22"/>
        </w:rPr>
        <w:t xml:space="preserve">The result is a platform that does not simply digitise the existing paper process. It transforms the process — making compliance automatic rather than effortful, making transparency the default rather than the exception, and giving every person touched by a road project, from the Minister to the subsistence farmer whose access road was disrupted, a genuine stake in how their concern is handled.</w:t>
      </w:r>
    </w:p>
    <w:p>
      <w:pPr>
        <w:spacing w:after="80"/>
      </w:pPr>
      <w:r>
        <w:t xml:space="preserve"/>
      </w:r>
    </w:p>
    <w:p>
      <w:pPr>
        <w:spacing w:after="120"/>
      </w:pPr>
      <w:r>
        <w:rPr>
          <w:rFonts w:ascii="Calibri" w:cs="Calibri" w:eastAsia="Calibri" w:hAnsi="Calibri"/>
          <w:color w:val="2C2C2C"/>
          <w:sz w:val="22"/>
          <w:szCs w:val="22"/>
        </w:rPr>
        <w:t xml:space="preserve">Tanzania's infrastructure programme has an opportunity to set a standard for ESF compliance and community engagement that the entire Africa region will reference. Riviwa is the platform that makes that possible.</w:t>
      </w:r>
    </w:p>
    <w:p>
      <w:pPr>
        <w:spacing w:after="80"/>
      </w:pPr>
      <w:r>
        <w:t xml:space="preserve"/>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C3547" w:sz="8"/>
              <w:left w:val="single" w:color="0C3547" w:sz="8"/>
              <w:bottom w:val="single" w:color="0C3547" w:sz="8"/>
              <w:right w:val="single" w:color="0C3547" w:sz="8"/>
            </w:tcBorders>
            <w:shd w:fill="0C3547" w:val="clear"/>
            <w:tcMar>
              <w:top w:type="dxa" w:w="200"/>
              <w:left w:type="dxa" w:w="300"/>
              <w:bottom w:type="dxa" w:w="200"/>
              <w:right w:type="dxa" w:w="300"/>
            </w:tcMar>
          </w:tcPr>
          <w:p>
            <w:pPr>
              <w:spacing w:after="80"/>
              <w:jc w:val="center"/>
            </w:pPr>
            <w:r>
              <w:rPr>
                <w:rFonts w:ascii="Calibri" w:cs="Calibri" w:eastAsia="Calibri" w:hAnsi="Calibri"/>
                <w:b/>
                <w:bCs/>
                <w:color w:val="FFFFFF"/>
                <w:sz w:val="48"/>
                <w:szCs w:val="48"/>
              </w:rPr>
              <w:t xml:space="preserve">RIVIWA</w:t>
            </w:r>
          </w:p>
          <w:p>
            <w:pPr>
              <w:spacing w:after="80"/>
              <w:jc w:val="center"/>
            </w:pPr>
            <w:r>
              <w:rPr>
                <w:rFonts w:ascii="Calibri" w:cs="Calibri" w:eastAsia="Calibri" w:hAnsi="Calibri"/>
                <w:color w:val="D9EDF5"/>
                <w:sz w:val="20"/>
                <w:szCs w:val="20"/>
              </w:rPr>
              <w:t xml:space="preserve">Developed by Aduinola Company Limited  |  Dar es Salaam, Tanzania</w:t>
            </w:r>
          </w:p>
          <w:p>
            <w:pPr>
              <w:spacing w:after="0"/>
              <w:jc w:val="center"/>
            </w:pPr>
            <w:r>
              <w:rPr>
                <w:rFonts w:ascii="Calibri" w:cs="Calibri" w:eastAsia="Calibri" w:hAnsi="Calibri"/>
                <w:b/>
                <w:bCs/>
                <w:color w:val="C8962E"/>
                <w:sz w:val="22"/>
                <w:szCs w:val="22"/>
              </w:rPr>
              <w:t xml:space="preserve">Built for Tanzania. Built for the World Bank. Built for the people.</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7A8C" w:sz="4" w:space="4"/>
      </w:pBdr>
      <w:jc w:val="center"/>
    </w:pPr>
    <w:r>
      <w:rPr>
        <w:rFonts w:ascii="Calibri" w:cs="Calibri" w:eastAsia="Calibri" w:hAnsi="Calibri"/>
        <w:color w:val="555555"/>
        <w:sz w:val="16"/>
        <w:szCs w:val="16"/>
      </w:rPr>
      <w:t xml:space="preserve">Riviwa  |  Aduinola Company Limited  |  Tanzania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7A8C" w:sz="4" w:space="4"/>
      </w:pBdr>
      <w:spacing w:after="80"/>
      <w:jc w:val="right"/>
    </w:pPr>
    <w:r>
      <w:rPr>
        <w:rFonts w:ascii="Calibri" w:cs="Calibri" w:eastAsia="Calibri" w:hAnsi="Calibri"/>
        <w:color w:val="555555"/>
        <w:sz w:val="16"/>
        <w:szCs w:val="16"/>
      </w:rPr>
      <w:t xml:space="preserve">RIVIWA Platform  |  Executive Briefing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0C3547"/>
      <w:sz w:val="36"/>
      <w:szCs w:val="36"/>
    </w:rPr>
  </w:style>
  <w:style w:type="paragraph" w:styleId="Heading2">
    <w:name w:val="Heading 2"/>
    <w:basedOn w:val="Normal"/>
    <w:next w:val="Normal"/>
    <w:qFormat/>
    <w:pPr>
      <w:spacing w:before="200" w:after="120"/>
      <w:outlineLvl w:val="1"/>
    </w:pPr>
    <w:rPr>
      <w:rFonts w:ascii="Calibri" w:cs="Calibri" w:eastAsia="Calibri" w:hAnsi="Calibri"/>
      <w:b/>
      <w:bCs/>
      <w:color w:val="0B7A8C"/>
      <w:sz w:val="28"/>
      <w:szCs w:val="28"/>
    </w:rPr>
  </w:style>
  <w:style w:type="paragraph" w:styleId="Heading3">
    <w:name w:val="Heading 3"/>
    <w:basedOn w:val="Normal"/>
    <w:next w:val="Normal"/>
    <w:qFormat/>
    <w:pPr>
      <w:spacing w:before="160" w:after="80"/>
      <w:outlineLvl w:val="2"/>
    </w:pPr>
    <w:rPr>
      <w:rFonts w:ascii="Calibri" w:cs="Calibri" w:eastAsia="Calibri" w:hAnsi="Calibri"/>
      <w:b/>
      <w:bCs/>
      <w:color w:val="0C35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2026-03-27T10:39:41.557Z</dcterms:created>
  <dcterms:modified xsi:type="dcterms:W3CDTF">2026-03-27T10:39:41.558Z</dcterms:modified>
</cp:coreProperties>
</file>

<file path=docProps/custom.xml><?xml version="1.0" encoding="utf-8"?>
<Properties xmlns="http://schemas.openxmlformats.org/officeDocument/2006/custom-properties" xmlns:vt="http://schemas.openxmlformats.org/officeDocument/2006/docPropsVTypes"/>
</file>