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9" w:lineRule="auto"/>
      </w:pPr>
      <w:r>
        <w:rPr>
          <w:rFonts w:ascii="Calibri" w:hAnsi="Calibri" w:eastAsia="Calibri"/>
          <w:b/>
          <w:i w:val="0"/>
          <w:color w:val="2E75B6"/>
          <w:sz w:val="20"/>
        </w:rPr>
        <w:t>DOCUMENTO 01 DE 03</w:t>
      </w:r>
    </w:p>
    <w:p>
      <w:pPr>
        <w:spacing w:before="0" w:after="80" w:line="259" w:lineRule="auto"/>
      </w:pPr>
      <w:r>
        <w:rPr>
          <w:rFonts w:ascii="Calibri" w:hAnsi="Calibri" w:eastAsia="Calibri"/>
          <w:b/>
          <w:i w:val="0"/>
          <w:color w:val="1F4E79"/>
          <w:sz w:val="44"/>
        </w:rPr>
        <w:t>Project charter</w:t>
      </w:r>
    </w:p>
    <w:p>
      <w:pPr>
        <w:spacing w:before="0" w:after="200" w:line="259" w:lineRule="auto"/>
      </w:pPr>
      <w:r>
        <w:rPr>
          <w:rFonts w:ascii="Calibri" w:hAnsi="Calibri" w:eastAsia="Calibri"/>
          <w:b w:val="0"/>
          <w:i/>
          <w:color w:val="595959"/>
          <w:sz w:val="22"/>
        </w:rPr>
        <w:t>Nombre de trabajo: Curated CVs. El nombre comercial sigue abierto.</w:t>
      </w:r>
    </w:p>
    <w:tbl>
      <w:tblPr>
        <w:tblStyle w:val="TableGrid"/>
        <w:tblW w:type="auto" w:w="0"/>
        <w:tblLayout w:type="fixed"/>
        <w:tblLook w:firstColumn="1" w:firstRow="1" w:lastColumn="0" w:lastRow="0" w:noHBand="0" w:noVBand="1" w:val="04A0"/>
      </w:tblPr>
      <w:tblGrid>
        <w:gridCol w:w="5100"/>
        <w:gridCol w:w="5100"/>
      </w:tblGrid>
      <w:tr>
        <w:trPr>
          <w:cantSplit/>
        </w:trPr>
        <w:tc>
          <w:tcPr>
            <w:tcW w:type="dxa" w:w="2381"/>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Campo</w:t>
            </w:r>
          </w:p>
        </w:tc>
        <w:tc>
          <w:tcPr>
            <w:tcW w:type="dxa" w:w="7710"/>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Valor</w:t>
            </w:r>
          </w:p>
        </w:tc>
      </w:tr>
      <w:tr>
        <w:trPr>
          <w:cantSplit/>
        </w:trPr>
        <w:tc>
          <w:tcPr>
            <w:tcW w:type="dxa" w:w="2381"/>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Estado</w:t>
            </w:r>
          </w:p>
        </w:tc>
        <w:tc>
          <w:tcPr>
            <w:tcW w:type="dxa" w:w="7710"/>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Borrador 0.3. No está aprobado.</w:t>
            </w:r>
          </w:p>
        </w:tc>
      </w:tr>
      <w:tr>
        <w:trPr>
          <w:cantSplit/>
        </w:trPr>
        <w:tc>
          <w:tcPr>
            <w:tcW w:type="dxa" w:w="2381"/>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Fecha</w:t>
            </w:r>
          </w:p>
        </w:tc>
        <w:tc>
          <w:tcPr>
            <w:tcW w:type="dxa" w:w="7710"/>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22 de setiembre de 2026</w:t>
            </w:r>
          </w:p>
        </w:tc>
      </w:tr>
      <w:tr>
        <w:trPr>
          <w:cantSplit/>
        </w:trPr>
        <w:tc>
          <w:tcPr>
            <w:tcW w:type="dxa" w:w="2381"/>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Preparado por</w:t>
            </w:r>
          </w:p>
        </w:tc>
        <w:tc>
          <w:tcPr>
            <w:tcW w:type="dxa" w:w="7710"/>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José Adrián Alemán Rojas</w:t>
            </w:r>
          </w:p>
        </w:tc>
      </w:tr>
      <w:tr>
        <w:trPr>
          <w:cantSplit/>
        </w:trPr>
        <w:tc>
          <w:tcPr>
            <w:tcW w:type="dxa" w:w="2381"/>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Para validar con</w:t>
            </w:r>
          </w:p>
        </w:tc>
        <w:tc>
          <w:tcPr>
            <w:tcW w:type="dxa" w:w="7710"/>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Johanna Alfaro y Sabrina Vargas (Pitaya Talent)</w:t>
            </w:r>
          </w:p>
        </w:tc>
      </w:tr>
      <w:tr>
        <w:trPr>
          <w:cantSplit/>
        </w:trPr>
        <w:tc>
          <w:tcPr>
            <w:tcW w:type="dxa" w:w="2381"/>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Fuente de este texto</w:t>
            </w:r>
          </w:p>
        </w:tc>
        <w:tc>
          <w:tcPr>
            <w:tcW w:type="dxa" w:w="7710"/>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Reunión grabada de aproximadamente 62 minutos, más el resumen de validación posterior.</w:t>
            </w:r>
          </w:p>
        </w:tc>
      </w:tr>
      <w:tr>
        <w:trPr>
          <w:cantSplit/>
        </w:trPr>
        <w:tc>
          <w:tcPr>
            <w:tcW w:type="dxa" w:w="2381"/>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Contexto, no alcance</w:t>
            </w:r>
          </w:p>
        </w:tc>
        <w:tc>
          <w:tcPr>
            <w:tcW w:type="dxa" w:w="7710"/>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Panorama de mercado y diferenciadores (Johanna Alfaro y Sabrina Vargas, setiembre 2026).</w:t>
            </w:r>
          </w:p>
        </w:tc>
      </w:tr>
      <w:tr>
        <w:trPr>
          <w:cantSplit/>
        </w:trPr>
        <w:tc>
          <w:tcPr>
            <w:tcW w:type="dxa" w:w="2381"/>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Se lee junto con</w:t>
            </w:r>
          </w:p>
        </w:tc>
        <w:tc>
          <w:tcPr>
            <w:tcW w:type="dxa" w:w="7710"/>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02 Alcance y 03 Requerimientos de negocio.</w:t>
            </w:r>
          </w:p>
        </w:tc>
      </w:tr>
    </w:tbl>
    <w:p/>
    <w:p>
      <w:pPr>
        <w:pStyle w:val="Heading1"/>
        <w:spacing w:before="280" w:after="120" w:line="259" w:lineRule="auto"/>
      </w:pPr>
      <w:r>
        <w:rPr>
          <w:rFonts w:ascii="Calibri" w:hAnsi="Calibri" w:eastAsia="Calibri"/>
          <w:b/>
          <w:i w:val="0"/>
          <w:color w:val="1F4E79"/>
          <w:sz w:val="32"/>
        </w:rPr>
        <w:t>1. Para qué existe este charter</w:t>
      </w:r>
    </w:p>
    <w:p>
      <w:pPr>
        <w:spacing w:before="0" w:after="160" w:line="259" w:lineRule="auto"/>
      </w:pPr>
      <w:r>
        <w:rPr>
          <w:rFonts w:ascii="Calibri" w:hAnsi="Calibri" w:eastAsia="Calibri"/>
          <w:b w:val="0"/>
          <w:i w:val="0"/>
          <w:color w:val="222222"/>
          <w:sz w:val="22"/>
        </w:rPr>
        <w:t>Este charter fija el mandato del proyecto para que los tres socios confirmen la misma iniciativa antes de escribir detalle de construcción, precios o figura legal. Si una frase de las secciones 3 o 4 no se sostiene, el charter se corrige antes de estimar trabajo.</w:t>
      </w:r>
    </w:p>
    <w:p>
      <w:pPr>
        <w:pStyle w:val="Heading1"/>
        <w:spacing w:before="280" w:after="120" w:line="259" w:lineRule="auto"/>
      </w:pPr>
      <w:r>
        <w:rPr>
          <w:rFonts w:ascii="Calibri" w:hAnsi="Calibri" w:eastAsia="Calibri"/>
          <w:b/>
          <w:i w:val="0"/>
          <w:color w:val="1F4E79"/>
          <w:sz w:val="32"/>
        </w:rPr>
        <w:t>2. Oportunidad</w:t>
      </w:r>
    </w:p>
    <w:p>
      <w:pPr>
        <w:spacing w:before="0" w:after="160" w:line="259" w:lineRule="auto"/>
      </w:pPr>
      <w:r>
        <w:rPr>
          <w:rFonts w:ascii="Calibri" w:hAnsi="Calibri" w:eastAsia="Calibri"/>
          <w:b w:val="0"/>
          <w:i w:val="0"/>
          <w:color w:val="222222"/>
          <w:sz w:val="22"/>
        </w:rPr>
        <w:t>Quien busca trabajo en la región suele pegar un currículum armado con IA que se ve completo y no resiste una conversación. Quien contrata, sobre todo fuera de tecnología, recibe ese papel y no tiene una forma ordenada de saber qué hizo de verdad la persona. Las herramientas que ya existen cubren una parte: unas entrevistan con una máquina, otras buscan en LinkedIn, otras comparan un CV contra una vacante técnica. Ninguna de las revisadas junta, en español y con LATAM como mercado de arranque, un perfil construido desde la experiencia real y una bolsa que una empresa solo ve después de un filtro humano.</w:t>
      </w:r>
    </w:p>
    <w:p>
      <w:pPr>
        <w:spacing w:before="0" w:after="160" w:line="259" w:lineRule="auto"/>
      </w:pPr>
      <w:r>
        <w:rPr>
          <w:rFonts w:ascii="Calibri" w:hAnsi="Calibri" w:eastAsia="Calibri"/>
          <w:b w:val="0"/>
          <w:i w:val="0"/>
          <w:color w:val="222222"/>
          <w:sz w:val="22"/>
        </w:rPr>
        <w:t>El panorama de mercado sirve para ubicar a Jack &amp; Jill, KrewJobs, Lía Talent OS, Talentum y HeyMilo. No define el alcance ni una meta de facturación.</w:t>
      </w:r>
    </w:p>
    <w:p>
      <w:pPr>
        <w:pStyle w:val="Heading1"/>
        <w:spacing w:before="280" w:after="120" w:line="259" w:lineRule="auto"/>
      </w:pPr>
      <w:r>
        <w:rPr>
          <w:rFonts w:ascii="Calibri" w:hAnsi="Calibri" w:eastAsia="Calibri"/>
          <w:b/>
          <w:i w:val="0"/>
          <w:color w:val="1F4E79"/>
          <w:sz w:val="32"/>
        </w:rPr>
        <w:t>3. Objetivo</w:t>
      </w:r>
    </w:p>
    <w:p>
      <w:pPr>
        <w:spacing w:before="0" w:after="160" w:line="259" w:lineRule="auto"/>
      </w:pPr>
      <w:r>
        <w:rPr>
          <w:rFonts w:ascii="Calibri" w:hAnsi="Calibri" w:eastAsia="Calibri"/>
          <w:b w:val="0"/>
          <w:i w:val="0"/>
          <w:color w:val="222222"/>
          <w:sz w:val="22"/>
        </w:rPr>
        <w:t>Crear una plataforma nueva de reclutamiento a partir de IT Job Opportunities. IT Job Opportunities se toma como base. La plataforma nueva lleva las características de este proyecto: la persona arma un perfil verdadero con ayuda de la IA y la empresa contrata sobre gente que ya pasó por criterio humano.</w:t>
      </w:r>
    </w:p>
    <w:p>
      <w:pPr>
        <w:spacing w:before="0" w:after="160" w:line="259" w:lineRule="auto"/>
      </w:pPr>
      <w:r>
        <w:rPr>
          <w:rFonts w:ascii="Calibri" w:hAnsi="Calibri" w:eastAsia="Calibri"/>
          <w:b w:val="0"/>
          <w:i w:val="0"/>
          <w:color w:val="222222"/>
          <w:sz w:val="22"/>
        </w:rPr>
        <w:t>El objetivo se cumple cuando los tres confirman estas tres frases, sin agregar condiciones:</w:t>
      </w:r>
    </w:p>
    <w:p>
      <w:pPr>
        <w:pStyle w:val="ListBullet"/>
        <w:spacing w:before="20" w:after="60" w:line="259" w:lineRule="auto"/>
      </w:pPr>
      <w:r>
        <w:rPr>
          <w:rFonts w:ascii="Calibri" w:hAnsi="Calibri" w:eastAsia="Calibri"/>
          <w:b w:val="0"/>
          <w:i w:val="0"/>
          <w:sz w:val="22"/>
        </w:rPr>
        <w:t>El candidato entra primero.</w:t>
      </w:r>
    </w:p>
    <w:p>
      <w:pPr>
        <w:pStyle w:val="ListBullet"/>
        <w:spacing w:before="20" w:after="60" w:line="259" w:lineRule="auto"/>
      </w:pPr>
      <w:r>
        <w:rPr>
          <w:rFonts w:ascii="Calibri" w:hAnsi="Calibri" w:eastAsia="Calibri"/>
          <w:b w:val="0"/>
          <w:i w:val="0"/>
          <w:sz w:val="22"/>
        </w:rPr>
        <w:t>El perfil sale de lo que la persona realmente hizo.</w:t>
      </w:r>
    </w:p>
    <w:p>
      <w:pPr>
        <w:pStyle w:val="ListBullet"/>
        <w:spacing w:before="20" w:after="60" w:line="259" w:lineRule="auto"/>
      </w:pPr>
      <w:r>
        <w:rPr>
          <w:rFonts w:ascii="Calibri" w:hAnsi="Calibri" w:eastAsia="Calibri"/>
          <w:b w:val="0"/>
          <w:i w:val="0"/>
          <w:sz w:val="22"/>
        </w:rPr>
        <w:t>Una persona sigue decidiendo el fit.</w:t>
      </w:r>
    </w:p>
    <w:p>
      <w:pPr>
        <w:pStyle w:val="Heading1"/>
        <w:spacing w:before="280" w:after="120" w:line="259" w:lineRule="auto"/>
      </w:pPr>
      <w:r>
        <w:rPr>
          <w:rFonts w:ascii="Calibri" w:hAnsi="Calibri" w:eastAsia="Calibri"/>
          <w:b/>
          <w:i w:val="0"/>
          <w:color w:val="1F4E79"/>
          <w:sz w:val="32"/>
        </w:rPr>
        <w:t>4. Resultado que se valida</w:t>
      </w:r>
    </w:p>
    <w:p>
      <w:pPr>
        <w:spacing w:before="0" w:after="160" w:line="259" w:lineRule="auto"/>
      </w:pPr>
      <w:r>
        <w:rPr>
          <w:rFonts w:ascii="Calibri" w:hAnsi="Calibri" w:eastAsia="Calibri"/>
          <w:b w:val="0"/>
          <w:i w:val="0"/>
          <w:color w:val="222222"/>
          <w:sz w:val="22"/>
        </w:rPr>
        <w:t>El texto de alcance es el documento 02, y es solo ese resumen. Este charter no lo amplía. Los requerimientos del documento 03 lo traducen. No agregan producto.</w:t>
      </w:r>
    </w:p>
    <w:p>
      <w:pPr>
        <w:pStyle w:val="Heading1"/>
        <w:spacing w:before="280" w:after="120" w:line="259" w:lineRule="auto"/>
      </w:pPr>
      <w:r>
        <w:rPr>
          <w:rFonts w:ascii="Calibri" w:hAnsi="Calibri" w:eastAsia="Calibri"/>
          <w:b/>
          <w:i w:val="0"/>
          <w:color w:val="1F4E79"/>
          <w:sz w:val="32"/>
        </w:rPr>
        <w:t>5. Socios y aportes</w:t>
      </w:r>
    </w:p>
    <w:p>
      <w:pPr>
        <w:spacing w:before="0" w:after="160" w:line="259" w:lineRule="auto"/>
      </w:pPr>
      <w:r>
        <w:rPr>
          <w:rFonts w:ascii="Calibri" w:hAnsi="Calibri" w:eastAsia="Calibri"/>
          <w:b w:val="0"/>
          <w:i w:val="0"/>
          <w:color w:val="222222"/>
          <w:sz w:val="22"/>
        </w:rPr>
        <w:t>Los tres entran como socios del proyecto. Este charter no asigna porcentajes, capital ni propiedad intelectual. Eso se conversa en el trabajo legal paralelo.</w:t>
      </w:r>
    </w:p>
    <w:tbl>
      <w:tblPr>
        <w:tblStyle w:val="TableGrid"/>
        <w:tblW w:type="auto" w:w="0"/>
        <w:tblLayout w:type="fixed"/>
        <w:tblLook w:firstColumn="1" w:firstRow="1" w:lastColumn="0" w:lastRow="0" w:noHBand="0" w:noVBand="1" w:val="04A0"/>
      </w:tblPr>
      <w:tblGrid>
        <w:gridCol w:w="3400"/>
        <w:gridCol w:w="3400"/>
        <w:gridCol w:w="3400"/>
      </w:tblGrid>
      <w:tr>
        <w:trPr>
          <w:cantSplit/>
        </w:trPr>
        <w:tc>
          <w:tcPr>
            <w:tcW w:type="dxa" w:w="2381"/>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Socio</w:t>
            </w:r>
          </w:p>
        </w:tc>
        <w:tc>
          <w:tcPr>
            <w:tcW w:type="dxa" w:w="3855"/>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Lo que pone en el proyecto</w:t>
            </w:r>
          </w:p>
        </w:tc>
        <w:tc>
          <w:tcPr>
            <w:tcW w:type="dxa" w:w="3855"/>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Límite de este charter</w:t>
            </w:r>
          </w:p>
        </w:tc>
      </w:tr>
      <w:tr>
        <w:trPr>
          <w:cantSplit/>
        </w:trPr>
        <w:tc>
          <w:tcPr>
            <w:tcW w:type="dxa" w:w="2381"/>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José Adrián Alemán Rojas</w:t>
            </w:r>
          </w:p>
        </w:tc>
        <w:tc>
          <w:tcPr>
            <w:tcW w:type="dxa" w:w="3855"/>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IT Job Opportunities como base, y la construcción de la plataforma nueva con las características de este proyecto.</w:t>
            </w:r>
          </w:p>
        </w:tc>
        <w:tc>
          <w:tcPr>
            <w:tcW w:type="dxa" w:w="3855"/>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Los candidatos y las vacantes actuales de IT Job Opportunities no pasan solos a ser la bolsa del producto nuevo.</w:t>
            </w:r>
          </w:p>
        </w:tc>
      </w:tr>
      <w:tr>
        <w:trPr>
          <w:cantSplit/>
        </w:trPr>
        <w:tc>
          <w:tcPr>
            <w:tcW w:type="dxa" w:w="2381"/>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Johanna Alfaro</w:t>
            </w:r>
          </w:p>
        </w:tc>
        <w:tc>
          <w:tcPr>
            <w:tcW w:type="dxa" w:w="3855"/>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Criterio de reclutamiento, lectura de puestos técnicos y no técnicos, y la red para atraer a las primeras personas.</w:t>
            </w:r>
          </w:p>
        </w:tc>
        <w:tc>
          <w:tcPr>
            <w:tcW w:type="dxa" w:w="3855"/>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No queda definido todavía quién cura el día a día ni con qué plazo.</w:t>
            </w:r>
          </w:p>
        </w:tc>
      </w:tr>
      <w:tr>
        <w:trPr>
          <w:cantSplit/>
        </w:trPr>
        <w:tc>
          <w:tcPr>
            <w:tcW w:type="dxa" w:w="2381"/>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Sabrina Vargas, Pitaya Talent</w:t>
            </w:r>
          </w:p>
        </w:tc>
        <w:tc>
          <w:tcPr>
            <w:tcW w:type="dxa" w:w="3855"/>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Reclutamiento ejecutivo, red comercial y una empresa ya constituida en Costa Rica como posible vehículo.</w:t>
            </w:r>
          </w:p>
        </w:tc>
        <w:tc>
          <w:tcPr>
            <w:tcW w:type="dxa" w:w="3855"/>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El nombre legal que aparece en el panorama es Pitahaya Talent. El nombre a usar en el joint venture queda por confirmar.</w:t>
            </w:r>
          </w:p>
        </w:tc>
      </w:tr>
    </w:tbl>
    <w:p/>
    <w:p>
      <w:pPr>
        <w:pStyle w:val="Heading1"/>
        <w:spacing w:before="280" w:after="120" w:line="259" w:lineRule="auto"/>
      </w:pPr>
      <w:r>
        <w:rPr>
          <w:rFonts w:ascii="Calibri" w:hAnsi="Calibri" w:eastAsia="Calibri"/>
          <w:b/>
          <w:i w:val="0"/>
          <w:color w:val="1F4E79"/>
          <w:sz w:val="32"/>
        </w:rPr>
        <w:t>6. Criterios de éxito de la validación</w:t>
      </w:r>
    </w:p>
    <w:p>
      <w:pPr>
        <w:spacing w:before="0" w:after="160" w:line="259" w:lineRule="auto"/>
      </w:pPr>
      <w:r>
        <w:rPr>
          <w:rFonts w:ascii="Calibri" w:hAnsi="Calibri" w:eastAsia="Calibri"/>
          <w:b w:val="0"/>
          <w:i w:val="0"/>
          <w:color w:val="222222"/>
          <w:sz w:val="22"/>
        </w:rPr>
        <w:t>Esta versión del charter queda validada cuando ocurre lo siguiente:</w:t>
      </w:r>
    </w:p>
    <w:p>
      <w:pPr>
        <w:pStyle w:val="ListBullet"/>
        <w:spacing w:before="20" w:after="60" w:line="259" w:lineRule="auto"/>
      </w:pPr>
      <w:r>
        <w:rPr>
          <w:rFonts w:ascii="Calibri" w:hAnsi="Calibri" w:eastAsia="Calibri"/>
          <w:b w:val="0"/>
          <w:i w:val="0"/>
          <w:sz w:val="22"/>
        </w:rPr>
        <w:t>Johanna y Sabrina confirman el documento 02, o marcan por escrito la frase que cambiarían.</w:t>
      </w:r>
    </w:p>
    <w:p>
      <w:pPr>
        <w:pStyle w:val="ListBullet"/>
        <w:spacing w:before="20" w:after="60" w:line="259" w:lineRule="auto"/>
      </w:pPr>
      <w:r>
        <w:rPr>
          <w:rFonts w:ascii="Calibri" w:hAnsi="Calibri" w:eastAsia="Calibri"/>
          <w:b w:val="0"/>
          <w:i w:val="0"/>
          <w:sz w:val="22"/>
        </w:rPr>
        <w:t>Los tres aceptan que el primer uso publicable es el perfil del candidato, y que la membresía de empresas espera una base curada.</w:t>
      </w:r>
    </w:p>
    <w:p>
      <w:pPr>
        <w:pStyle w:val="ListBullet"/>
        <w:spacing w:before="20" w:after="60" w:line="259" w:lineRule="auto"/>
      </w:pPr>
      <w:r>
        <w:rPr>
          <w:rFonts w:ascii="Calibri" w:hAnsi="Calibri" w:eastAsia="Calibri"/>
          <w:b w:val="0"/>
          <w:i w:val="0"/>
          <w:sz w:val="22"/>
        </w:rPr>
        <w:t>Queda nombrado un dueño para cada pregunta abierta de la sección 10.</w:t>
      </w:r>
    </w:p>
    <w:p>
      <w:pPr>
        <w:pStyle w:val="ListBullet"/>
        <w:spacing w:before="20" w:after="60" w:line="259" w:lineRule="auto"/>
      </w:pPr>
      <w:r>
        <w:rPr>
          <w:rFonts w:ascii="Calibri" w:hAnsi="Calibri" w:eastAsia="Calibri"/>
          <w:b w:val="0"/>
          <w:i w:val="0"/>
          <w:sz w:val="22"/>
        </w:rPr>
        <w:t>Nadie usa las cifras del panorama de mercado como meta de este proyecto.</w:t>
      </w:r>
    </w:p>
    <w:p>
      <w:pPr>
        <w:spacing w:before="0" w:after="160" w:line="259" w:lineRule="auto"/>
      </w:pPr>
      <w:r>
        <w:rPr>
          <w:rFonts w:ascii="Calibri" w:hAnsi="Calibri" w:eastAsia="Calibri"/>
          <w:b w:val="0"/>
          <w:i w:val="0"/>
          <w:color w:val="222222"/>
          <w:sz w:val="22"/>
        </w:rPr>
        <w:t>El éxito del producto, distinto de la validación de este papel, está en los criterios de aceptación del documento 03. No se compromete una fecha de salida en este charter.</w:t>
      </w:r>
    </w:p>
    <w:p>
      <w:pPr>
        <w:pStyle w:val="Heading1"/>
        <w:spacing w:before="280" w:after="120" w:line="259" w:lineRule="auto"/>
      </w:pPr>
      <w:r>
        <w:rPr>
          <w:rFonts w:ascii="Calibri" w:hAnsi="Calibri" w:eastAsia="Calibri"/>
          <w:b/>
          <w:i w:val="0"/>
          <w:color w:val="1F4E79"/>
          <w:sz w:val="32"/>
        </w:rPr>
        <w:t>7. Mandato de alcance</w:t>
      </w:r>
    </w:p>
    <w:p>
      <w:pPr>
        <w:spacing w:before="0" w:after="160" w:line="259" w:lineRule="auto"/>
      </w:pPr>
      <w:r>
        <w:rPr>
          <w:rFonts w:ascii="Calibri" w:hAnsi="Calibri" w:eastAsia="Calibri"/>
          <w:b w:val="0"/>
          <w:i w:val="0"/>
          <w:color w:val="222222"/>
          <w:sz w:val="22"/>
        </w:rPr>
        <w:t>El mandato es el documento 02. Dentro de alcance es el resumen. Fuera de alcance es la lista corta del mismo documento. Lo que no está en esas dos secciones no forma parte del proyecto.</w:t>
      </w:r>
    </w:p>
    <w:p>
      <w:pPr>
        <w:pStyle w:val="Heading1"/>
        <w:spacing w:before="280" w:after="120" w:line="259" w:lineRule="auto"/>
      </w:pPr>
      <w:r>
        <w:rPr>
          <w:rFonts w:ascii="Calibri" w:hAnsi="Calibri" w:eastAsia="Calibri"/>
          <w:b/>
          <w:i w:val="0"/>
          <w:color w:val="1F4E79"/>
          <w:sz w:val="32"/>
        </w:rPr>
        <w:t>8. Supuestos</w:t>
      </w:r>
    </w:p>
    <w:p>
      <w:pPr>
        <w:pStyle w:val="ListBullet"/>
        <w:spacing w:before="20" w:after="60" w:line="259" w:lineRule="auto"/>
      </w:pPr>
      <w:r>
        <w:rPr>
          <w:rFonts w:ascii="Calibri" w:hAnsi="Calibri" w:eastAsia="Calibri"/>
          <w:b w:val="0"/>
          <w:i w:val="0"/>
          <w:sz w:val="22"/>
        </w:rPr>
        <w:t>Los tres quieren un proyecto común. La forma jurídica todavía no está elegida. En la reunión se mencionó un joint venture usando la sociedad ya existente.</w:t>
      </w:r>
    </w:p>
    <w:p>
      <w:pPr>
        <w:pStyle w:val="ListBullet"/>
        <w:spacing w:before="20" w:after="60" w:line="259" w:lineRule="auto"/>
      </w:pPr>
      <w:r>
        <w:rPr>
          <w:rFonts w:ascii="Calibri" w:hAnsi="Calibri" w:eastAsia="Calibri"/>
          <w:b w:val="0"/>
          <w:i w:val="0"/>
          <w:sz w:val="22"/>
        </w:rPr>
        <w:t>El país concreto del primer lanzamiento está por cerrar. El supuesto de trabajo es Costa Rica, dentro de LATAM, porque ahí operan los tres.</w:t>
      </w:r>
    </w:p>
    <w:p>
      <w:pPr>
        <w:pStyle w:val="ListBullet"/>
        <w:spacing w:before="20" w:after="60" w:line="259" w:lineRule="auto"/>
      </w:pPr>
      <w:r>
        <w:rPr>
          <w:rFonts w:ascii="Calibri" w:hAnsi="Calibri" w:eastAsia="Calibri"/>
          <w:b w:val="0"/>
          <w:i w:val="0"/>
          <w:sz w:val="22"/>
        </w:rPr>
        <w:t>Los montos dichos en la reunión (por ejemplo 10 dólares por un extra, o una membresía anual) son ejemplos. No son precios de este charter.</w:t>
      </w:r>
    </w:p>
    <w:p>
      <w:pPr>
        <w:pStyle w:val="ListBullet"/>
        <w:spacing w:before="20" w:after="60" w:line="259" w:lineRule="auto"/>
      </w:pPr>
      <w:r>
        <w:rPr>
          <w:rFonts w:ascii="Calibri" w:hAnsi="Calibri" w:eastAsia="Calibri"/>
          <w:b w:val="0"/>
          <w:i w:val="0"/>
          <w:sz w:val="22"/>
        </w:rPr>
        <w:t>La persona puede declarar algo que no hizo. El producto impide que la IA agregue hechos. No promete, en el primer uso, verificar empleos contra una fuente externa.</w:t>
      </w:r>
    </w:p>
    <w:p>
      <w:pPr>
        <w:pStyle w:val="ListBullet"/>
        <w:spacing w:before="20" w:after="60" w:line="259" w:lineRule="auto"/>
      </w:pPr>
      <w:r>
        <w:rPr>
          <w:rFonts w:ascii="Calibri" w:hAnsi="Calibri" w:eastAsia="Calibri"/>
          <w:b w:val="0"/>
          <w:i w:val="0"/>
          <w:sz w:val="22"/>
        </w:rPr>
        <w:t>Habrá puestos contra los cuales comparar el perfil solo cuando alguien los publique. El perfil se puede crear antes de que eso exista.</w:t>
      </w:r>
    </w:p>
    <w:p>
      <w:pPr>
        <w:pStyle w:val="Heading1"/>
        <w:spacing w:before="280" w:after="120" w:line="259" w:lineRule="auto"/>
      </w:pPr>
      <w:r>
        <w:rPr>
          <w:rFonts w:ascii="Calibri" w:hAnsi="Calibri" w:eastAsia="Calibri"/>
          <w:b/>
          <w:i w:val="0"/>
          <w:color w:val="1F4E79"/>
          <w:sz w:val="32"/>
        </w:rPr>
        <w:t>9. Restricciones</w:t>
      </w:r>
    </w:p>
    <w:p>
      <w:pPr>
        <w:pStyle w:val="ListBullet"/>
        <w:spacing w:before="20" w:after="60" w:line="259" w:lineRule="auto"/>
      </w:pPr>
      <w:r>
        <w:rPr>
          <w:rFonts w:ascii="Calibri" w:hAnsi="Calibri" w:eastAsia="Calibri"/>
          <w:b w:val="0"/>
          <w:i w:val="0"/>
          <w:sz w:val="22"/>
        </w:rPr>
        <w:t>IT Job Opportunities se toma como base para crear la plataforma nueva. No se reemplaza ni se apaga.</w:t>
      </w:r>
    </w:p>
    <w:p>
      <w:pPr>
        <w:pStyle w:val="ListBullet"/>
        <w:spacing w:before="20" w:after="60" w:line="259" w:lineRule="auto"/>
      </w:pPr>
      <w:r>
        <w:rPr>
          <w:rFonts w:ascii="Calibri" w:hAnsi="Calibri" w:eastAsia="Calibri"/>
          <w:b w:val="0"/>
          <w:i w:val="0"/>
          <w:sz w:val="22"/>
        </w:rPr>
        <w:t>El candidato no paga por crear y usar el perfil básico.</w:t>
      </w:r>
    </w:p>
    <w:p>
      <w:pPr>
        <w:pStyle w:val="ListBullet"/>
        <w:spacing w:before="20" w:after="60" w:line="259" w:lineRule="auto"/>
      </w:pPr>
      <w:r>
        <w:rPr>
          <w:rFonts w:ascii="Calibri" w:hAnsi="Calibri" w:eastAsia="Calibri"/>
          <w:b w:val="0"/>
          <w:i w:val="0"/>
          <w:sz w:val="22"/>
        </w:rPr>
        <w:t>La IA no inventa experiencia ni sustituye la decisión humana de curaduría.</w:t>
      </w:r>
    </w:p>
    <w:p>
      <w:pPr>
        <w:pStyle w:val="ListBullet"/>
        <w:spacing w:before="20" w:after="60" w:line="259" w:lineRule="auto"/>
      </w:pPr>
      <w:r>
        <w:rPr>
          <w:rFonts w:ascii="Calibri" w:hAnsi="Calibri" w:eastAsia="Calibri"/>
          <w:b w:val="0"/>
          <w:i w:val="0"/>
          <w:sz w:val="22"/>
        </w:rPr>
        <w:t>No se abre la venta a empresas hasta que los socios declaren que la base curada alcanza para mostrarla.</w:t>
      </w:r>
    </w:p>
    <w:p>
      <w:pPr>
        <w:pStyle w:val="Heading1"/>
        <w:spacing w:before="280" w:after="120" w:line="259" w:lineRule="auto"/>
      </w:pPr>
      <w:r>
        <w:rPr>
          <w:rFonts w:ascii="Calibri" w:hAnsi="Calibri" w:eastAsia="Calibri"/>
          <w:b/>
          <w:i w:val="0"/>
          <w:color w:val="1F4E79"/>
          <w:sz w:val="32"/>
        </w:rPr>
        <w:t>10. Preguntas abiertas</w:t>
      </w:r>
    </w:p>
    <w:tbl>
      <w:tblPr>
        <w:tblStyle w:val="TableGrid"/>
        <w:tblW w:type="auto" w:w="0"/>
        <w:tblLayout w:type="fixed"/>
        <w:tblLook w:firstColumn="1" w:firstRow="1" w:lastColumn="0" w:lastRow="0" w:noHBand="0" w:noVBand="1" w:val="04A0"/>
      </w:tblPr>
      <w:tblGrid>
        <w:gridCol w:w="3400"/>
        <w:gridCol w:w="3400"/>
        <w:gridCol w:w="3400"/>
      </w:tblGrid>
      <w:tr>
        <w:trPr>
          <w:cantSplit/>
        </w:trPr>
        <w:tc>
          <w:tcPr>
            <w:tcW w:type="dxa" w:w="680"/>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w:t>
            </w:r>
          </w:p>
        </w:tc>
        <w:tc>
          <w:tcPr>
            <w:tcW w:type="dxa" w:w="6463"/>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Pregunta</w:t>
            </w:r>
          </w:p>
        </w:tc>
        <w:tc>
          <w:tcPr>
            <w:tcW w:type="dxa" w:w="2948"/>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Quién la cierra</w:t>
            </w:r>
          </w:p>
        </w:tc>
      </w:tr>
      <w:tr>
        <w:trPr>
          <w:cantSplit/>
        </w:trPr>
        <w:tc>
          <w:tcPr>
            <w:tcW w:type="dxa" w:w="680"/>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1</w:t>
            </w:r>
          </w:p>
        </w:tc>
        <w:tc>
          <w:tcPr>
            <w:tcW w:type="dxa" w:w="6463"/>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Nombre comercial del producto.</w:t>
            </w:r>
          </w:p>
        </w:tc>
        <w:tc>
          <w:tcPr>
            <w:tcW w:type="dxa" w:w="2948"/>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Los tres</w:t>
            </w:r>
          </w:p>
        </w:tc>
      </w:tr>
      <w:tr>
        <w:trPr>
          <w:cantSplit/>
        </w:trPr>
        <w:tc>
          <w:tcPr>
            <w:tcW w:type="dxa" w:w="680"/>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2</w:t>
            </w:r>
          </w:p>
        </w:tc>
        <w:tc>
          <w:tcPr>
            <w:tcW w:type="dxa" w:w="6463"/>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País del primer lanzamiento. Supuesto de trabajo: Costa Rica.</w:t>
            </w:r>
          </w:p>
        </w:tc>
        <w:tc>
          <w:tcPr>
            <w:tcW w:type="dxa" w:w="2948"/>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Los tres</w:t>
            </w:r>
          </w:p>
        </w:tc>
      </w:tr>
      <w:tr>
        <w:trPr>
          <w:cantSplit/>
        </w:trPr>
        <w:tc>
          <w:tcPr>
            <w:tcW w:type="dxa" w:w="680"/>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3</w:t>
            </w:r>
          </w:p>
        </w:tc>
        <w:tc>
          <w:tcPr>
            <w:tcW w:type="dxa" w:w="6463"/>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Qué cantidad y qué tipo de perfiles cuentan como base suficiente para ofrecer la membresía.</w:t>
            </w:r>
          </w:p>
        </w:tc>
        <w:tc>
          <w:tcPr>
            <w:tcW w:type="dxa" w:w="2948"/>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Johanna y Sabrina proponen; los tres cierran</w:t>
            </w:r>
          </w:p>
        </w:tc>
      </w:tr>
      <w:tr>
        <w:trPr>
          <w:cantSplit/>
        </w:trPr>
        <w:tc>
          <w:tcPr>
            <w:tcW w:type="dxa" w:w="680"/>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4</w:t>
            </w:r>
          </w:p>
        </w:tc>
        <w:tc>
          <w:tcPr>
            <w:tcW w:type="dxa" w:w="6463"/>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Quién marca un perfil como curado, y en qué plazo desde que la persona lo termina.</w:t>
            </w:r>
          </w:p>
        </w:tc>
        <w:tc>
          <w:tcPr>
            <w:tcW w:type="dxa" w:w="2948"/>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Johanna y Sabrina</w:t>
            </w:r>
          </w:p>
        </w:tc>
      </w:tr>
      <w:tr>
        <w:trPr>
          <w:cantSplit/>
        </w:trPr>
        <w:tc>
          <w:tcPr>
            <w:tcW w:type="dxa" w:w="680"/>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5</w:t>
            </w:r>
          </w:p>
        </w:tc>
        <w:tc>
          <w:tcPr>
            <w:tcW w:type="dxa" w:w="6463"/>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Qué incluye la membresía y a qué precio. Sin usar los ejemplos de la reunión como lista de precios.</w:t>
            </w:r>
          </w:p>
        </w:tc>
        <w:tc>
          <w:tcPr>
            <w:tcW w:type="dxa" w:w="2948"/>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Sabrina propone; los tres cierran</w:t>
            </w:r>
          </w:p>
        </w:tc>
      </w:tr>
      <w:tr>
        <w:trPr>
          <w:cantSplit/>
        </w:trPr>
        <w:tc>
          <w:tcPr>
            <w:tcW w:type="dxa" w:w="680"/>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6</w:t>
            </w:r>
          </w:p>
        </w:tc>
        <w:tc>
          <w:tcPr>
            <w:tcW w:type="dxa" w:w="6463"/>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Si los socios publican los primeros puestos para que el calce exista desde el primer uso.</w:t>
            </w:r>
          </w:p>
        </w:tc>
        <w:tc>
          <w:tcPr>
            <w:tcW w:type="dxa" w:w="2948"/>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Los tres</w:t>
            </w:r>
          </w:p>
        </w:tc>
      </w:tr>
      <w:tr>
        <w:trPr>
          <w:cantSplit/>
        </w:trPr>
        <w:tc>
          <w:tcPr>
            <w:tcW w:type="dxa" w:w="680"/>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7</w:t>
            </w:r>
          </w:p>
        </w:tc>
        <w:tc>
          <w:tcPr>
            <w:tcW w:type="dxa" w:w="6463"/>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Si dos empresas pueden ver a la misma persona al mismo tiempo, y con qué regla.</w:t>
            </w:r>
          </w:p>
        </w:tc>
        <w:tc>
          <w:tcPr>
            <w:tcW w:type="dxa" w:w="2948"/>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Los tres</w:t>
            </w:r>
          </w:p>
        </w:tc>
      </w:tr>
      <w:tr>
        <w:trPr>
          <w:cantSplit/>
        </w:trPr>
        <w:tc>
          <w:tcPr>
            <w:tcW w:type="dxa" w:w="680"/>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8</w:t>
            </w:r>
          </w:p>
        </w:tc>
        <w:tc>
          <w:tcPr>
            <w:tcW w:type="dxa" w:w="6463"/>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De quién es el código de la plataforma nueva, creada a partir de IT Job Opportunities, y de quién son los datos de los candidatos.</w:t>
            </w:r>
          </w:p>
        </w:tc>
        <w:tc>
          <w:tcPr>
            <w:tcW w:type="dxa" w:w="2948"/>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Trabajo legal, con los tres</w:t>
            </w:r>
          </w:p>
        </w:tc>
      </w:tr>
      <w:tr>
        <w:trPr>
          <w:cantSplit/>
        </w:trPr>
        <w:tc>
          <w:tcPr>
            <w:tcW w:type="dxa" w:w="680"/>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9</w:t>
            </w:r>
          </w:p>
        </w:tc>
        <w:tc>
          <w:tcPr>
            <w:tcW w:type="dxa" w:w="6463"/>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Figura jurídica y vehículo. Pitaya Talent es la candidata mencionada, no una decisión tomada.</w:t>
            </w:r>
          </w:p>
        </w:tc>
        <w:tc>
          <w:tcPr>
            <w:tcW w:type="dxa" w:w="2948"/>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Trabajo legal</w:t>
            </w:r>
          </w:p>
        </w:tc>
      </w:tr>
    </w:tbl>
    <w:p/>
    <w:p>
      <w:pPr>
        <w:pStyle w:val="Heading1"/>
        <w:spacing w:before="280" w:after="120" w:line="259" w:lineRule="auto"/>
      </w:pPr>
      <w:r>
        <w:rPr>
          <w:rFonts w:ascii="Calibri" w:hAnsi="Calibri" w:eastAsia="Calibri"/>
          <w:b/>
          <w:i w:val="0"/>
          <w:color w:val="1F4E79"/>
          <w:sz w:val="32"/>
        </w:rPr>
        <w:t>11. Riesgos que este charter ya ve</w:t>
      </w:r>
    </w:p>
    <w:tbl>
      <w:tblPr>
        <w:tblStyle w:val="TableGrid"/>
        <w:tblW w:type="auto" w:w="0"/>
        <w:tblLayout w:type="fixed"/>
        <w:tblLook w:firstColumn="1" w:firstRow="1" w:lastColumn="0" w:lastRow="0" w:noHBand="0" w:noVBand="1" w:val="04A0"/>
      </w:tblPr>
      <w:tblGrid>
        <w:gridCol w:w="3400"/>
        <w:gridCol w:w="3400"/>
        <w:gridCol w:w="3400"/>
      </w:tblGrid>
      <w:tr>
        <w:trPr>
          <w:cantSplit/>
        </w:trPr>
        <w:tc>
          <w:tcPr>
            <w:tcW w:type="dxa" w:w="2608"/>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Riesgo</w:t>
            </w:r>
          </w:p>
        </w:tc>
        <w:tc>
          <w:tcPr>
            <w:tcW w:type="dxa" w:w="3742"/>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Efecto</w:t>
            </w:r>
          </w:p>
        </w:tc>
        <w:tc>
          <w:tcPr>
            <w:tcW w:type="dxa" w:w="3742"/>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Qué se hace ahora</w:t>
            </w:r>
          </w:p>
        </w:tc>
      </w:tr>
      <w:tr>
        <w:trPr>
          <w:cantSplit/>
        </w:trPr>
        <w:tc>
          <w:tcPr>
            <w:tcW w:type="dxa" w:w="2608"/>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Tratar toda la visión como primer uso.</w:t>
            </w:r>
          </w:p>
        </w:tc>
        <w:tc>
          <w:tcPr>
            <w:tcW w:type="dxa" w:w="3742"/>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Se intenta salir con bolsa, membresía, coach de entrevista y extras a la vez, sin base.</w:t>
            </w:r>
          </w:p>
        </w:tc>
        <w:tc>
          <w:tcPr>
            <w:tcW w:type="dxa" w:w="3742"/>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El documento 02 separa primer uso, siguiente uso y visión posterior.</w:t>
            </w:r>
          </w:p>
        </w:tc>
      </w:tr>
      <w:tr>
        <w:trPr>
          <w:cantSplit/>
        </w:trPr>
        <w:tc>
          <w:tcPr>
            <w:tcW w:type="dxa" w:w="2608"/>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Tratar IT Job Opportunities como si ya tuviera las características de este proyecto.</w:t>
            </w:r>
          </w:p>
        </w:tc>
        <w:tc>
          <w:tcPr>
            <w:tcW w:type="dxa" w:w="3742"/>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Se ofrece la bolsa y el perfil nuevo en el producto actual, que todavía no los tiene.</w:t>
            </w:r>
          </w:p>
        </w:tc>
        <w:tc>
          <w:tcPr>
            <w:tcW w:type="dxa" w:w="3742"/>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IT Job Opportunities se toma como base. Esas características viven en la plataforma nueva.</w:t>
            </w:r>
          </w:p>
        </w:tc>
      </w:tr>
      <w:tr>
        <w:trPr>
          <w:cantSplit/>
        </w:trPr>
        <w:tc>
          <w:tcPr>
            <w:tcW w:type="dxa" w:w="2608"/>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Competir en gratis total con Jack &amp; Jill sin decir la diferencia.</w:t>
            </w:r>
          </w:p>
        </w:tc>
        <w:tc>
          <w:tcPr>
            <w:tcW w:type="dxa" w:w="3742"/>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El candidato no entiende por qué registrarse aquí.</w:t>
            </w:r>
          </w:p>
        </w:tc>
        <w:tc>
          <w:tcPr>
            <w:tcW w:type="dxa" w:w="3742"/>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La diferencia que se valida es español, LATAM, perfil desde hechos propios y curaduría humana antes de la empresa.</w:t>
            </w:r>
          </w:p>
        </w:tc>
      </w:tr>
      <w:tr>
        <w:trPr>
          <w:cantSplit/>
        </w:trPr>
        <w:tc>
          <w:tcPr>
            <w:tcW w:type="dxa" w:w="2608"/>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Cerrar sociedad antes de cerrar alcance.</w:t>
            </w:r>
          </w:p>
        </w:tc>
        <w:tc>
          <w:tcPr>
            <w:tcW w:type="dxa" w:w="3742"/>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El joint venture nace sobre un producto que los tres describen distinto.</w:t>
            </w:r>
          </w:p>
        </w:tc>
        <w:tc>
          <w:tcPr>
            <w:tcW w:type="dxa" w:w="3742"/>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Primero se valida este paquete. La reunión legal sigue en paralelo y no reemplaza esta validación.</w:t>
            </w:r>
          </w:p>
        </w:tc>
      </w:tr>
    </w:tbl>
    <w:p/>
    <w:p>
      <w:pPr>
        <w:pStyle w:val="Heading1"/>
        <w:spacing w:before="280" w:after="120" w:line="259" w:lineRule="auto"/>
      </w:pPr>
      <w:r>
        <w:rPr>
          <w:rFonts w:ascii="Calibri" w:hAnsi="Calibri" w:eastAsia="Calibri"/>
          <w:b/>
          <w:i w:val="0"/>
          <w:color w:val="1F4E79"/>
          <w:sz w:val="32"/>
        </w:rPr>
        <w:t>12. Trabajo inmediato</w:t>
      </w:r>
    </w:p>
    <w:p>
      <w:pPr>
        <w:spacing w:before="0" w:after="160" w:line="259" w:lineRule="auto"/>
      </w:pPr>
      <w:r>
        <w:rPr>
          <w:rFonts w:ascii="Calibri" w:hAnsi="Calibri" w:eastAsia="Calibri"/>
          <w:b w:val="0"/>
          <w:i w:val="0"/>
          <w:color w:val="222222"/>
          <w:sz w:val="22"/>
        </w:rPr>
        <w:t>No es un plan de construcción. Es el orden para salir de este borrador.</w:t>
      </w:r>
    </w:p>
    <w:p>
      <w:pPr>
        <w:pStyle w:val="ListBullet"/>
        <w:spacing w:before="20" w:after="60" w:line="259" w:lineRule="auto"/>
      </w:pPr>
      <w:r>
        <w:rPr>
          <w:rFonts w:ascii="Calibri" w:hAnsi="Calibri" w:eastAsia="Calibri"/>
          <w:b w:val="0"/>
          <w:i w:val="0"/>
          <w:sz w:val="22"/>
        </w:rPr>
        <w:t>Johanna y Sabrina leen el documento 02 y devuelven confirmación o correcciones sobre el texto, no sobre ideas nuevas sueltas.</w:t>
      </w:r>
    </w:p>
    <w:p>
      <w:pPr>
        <w:pStyle w:val="ListBullet"/>
        <w:spacing w:before="20" w:after="60" w:line="259" w:lineRule="auto"/>
      </w:pPr>
      <w:r>
        <w:rPr>
          <w:rFonts w:ascii="Calibri" w:hAnsi="Calibri" w:eastAsia="Calibri"/>
          <w:b w:val="0"/>
          <w:i w:val="0"/>
          <w:sz w:val="22"/>
        </w:rPr>
        <w:t>Con ese texto cerrado, el documento 03 pasa a ser la lista de negocio contra la cual se puede estimar.</w:t>
      </w:r>
    </w:p>
    <w:p>
      <w:pPr>
        <w:pStyle w:val="ListBullet"/>
        <w:spacing w:before="20" w:after="60" w:line="259" w:lineRule="auto"/>
      </w:pPr>
      <w:r>
        <w:rPr>
          <w:rFonts w:ascii="Calibri" w:hAnsi="Calibri" w:eastAsia="Calibri"/>
          <w:b w:val="0"/>
          <w:i w:val="0"/>
          <w:sz w:val="22"/>
        </w:rPr>
        <w:t>En paralelo, la conversación legal explica el joint venture, qué incluye y qué no incluye. No se firma un vehículo hasta tener las preguntas 8 y 9 con dueño.</w:t>
      </w:r>
    </w:p>
    <w:p>
      <w:pPr>
        <w:pStyle w:val="ListBullet"/>
        <w:spacing w:before="20" w:after="60" w:line="259" w:lineRule="auto"/>
      </w:pPr>
      <w:r>
        <w:rPr>
          <w:rFonts w:ascii="Calibri" w:hAnsi="Calibri" w:eastAsia="Calibri"/>
          <w:b w:val="0"/>
          <w:i w:val="0"/>
          <w:sz w:val="22"/>
        </w:rPr>
        <w:t>La segunda reunión de producto sirve para cerrar las preguntas 2, 3, 4 y 6.</w:t>
      </w:r>
    </w:p>
    <w:p>
      <w:pPr>
        <w:pStyle w:val="Heading1"/>
        <w:spacing w:before="280" w:after="120" w:line="259" w:lineRule="auto"/>
      </w:pPr>
      <w:r>
        <w:rPr>
          <w:rFonts w:ascii="Calibri" w:hAnsi="Calibri" w:eastAsia="Calibri"/>
          <w:b/>
          <w:i w:val="0"/>
          <w:color w:val="1F4E79"/>
          <w:sz w:val="32"/>
        </w:rPr>
        <w:t>13. Aprobación</w:t>
      </w:r>
    </w:p>
    <w:p>
      <w:pPr>
        <w:spacing w:before="0" w:after="160" w:line="259" w:lineRule="auto"/>
      </w:pPr>
      <w:r>
        <w:rPr>
          <w:rFonts w:ascii="Calibri" w:hAnsi="Calibri" w:eastAsia="Calibri"/>
          <w:b w:val="0"/>
          <w:i w:val="0"/>
          <w:color w:val="222222"/>
          <w:sz w:val="22"/>
        </w:rPr>
        <w:t>La firma de esta tabla significa: estoy de acuerdo con el objetivo de la sección 3 y con el mandato de la sección 7, y acepto que el detalle está en los documentos 02 y 03. No asigna participación societaria.</w:t>
      </w:r>
    </w:p>
    <w:tbl>
      <w:tblPr>
        <w:tblStyle w:val="TableGrid"/>
        <w:tblW w:type="auto" w:w="0"/>
        <w:tblLayout w:type="fixed"/>
        <w:tblLook w:firstColumn="1" w:firstRow="1" w:lastColumn="0" w:lastRow="0" w:noHBand="0" w:noVBand="1" w:val="04A0"/>
      </w:tblPr>
      <w:tblGrid>
        <w:gridCol w:w="2550"/>
        <w:gridCol w:w="2550"/>
        <w:gridCol w:w="2550"/>
        <w:gridCol w:w="2550"/>
      </w:tblGrid>
      <w:tr>
        <w:trPr>
          <w:cantSplit/>
        </w:trPr>
        <w:tc>
          <w:tcPr>
            <w:tcW w:type="dxa" w:w="2835"/>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Socio</w:t>
            </w:r>
          </w:p>
        </w:tc>
        <w:tc>
          <w:tcPr>
            <w:tcW w:type="dxa" w:w="1814"/>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Decisión</w:t>
            </w:r>
          </w:p>
        </w:tc>
        <w:tc>
          <w:tcPr>
            <w:tcW w:type="dxa" w:w="1701"/>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Fecha</w:t>
            </w:r>
          </w:p>
        </w:tc>
        <w:tc>
          <w:tcPr>
            <w:tcW w:type="dxa" w:w="3742"/>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Comentario</w:t>
            </w:r>
          </w:p>
        </w:tc>
      </w:tr>
      <w:tr>
        <w:trPr>
          <w:cantSplit/>
        </w:trPr>
        <w:tc>
          <w:tcPr>
            <w:tcW w:type="dxa" w:w="2835"/>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Johanna Alfaro</w:t>
            </w:r>
          </w:p>
        </w:tc>
        <w:tc>
          <w:tcPr>
            <w:tcW w:type="dxa" w:w="1814"/>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Pendiente</w:t>
            </w:r>
          </w:p>
        </w:tc>
        <w:tc>
          <w:tcPr>
            <w:tcW w:type="dxa" w:w="1701"/>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r>
          </w:p>
        </w:tc>
        <w:tc>
          <w:tcPr>
            <w:tcW w:type="dxa" w:w="3742"/>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r>
          </w:p>
        </w:tc>
      </w:tr>
      <w:tr>
        <w:trPr>
          <w:cantSplit/>
        </w:trPr>
        <w:tc>
          <w:tcPr>
            <w:tcW w:type="dxa" w:w="2835"/>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Sabrina Vargas</w:t>
            </w:r>
          </w:p>
        </w:tc>
        <w:tc>
          <w:tcPr>
            <w:tcW w:type="dxa" w:w="1814"/>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Pendiente</w:t>
            </w:r>
          </w:p>
        </w:tc>
        <w:tc>
          <w:tcPr>
            <w:tcW w:type="dxa" w:w="1701"/>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r>
          </w:p>
        </w:tc>
        <w:tc>
          <w:tcPr>
            <w:tcW w:type="dxa" w:w="3742"/>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r>
          </w:p>
        </w:tc>
      </w:tr>
      <w:tr>
        <w:trPr>
          <w:cantSplit/>
        </w:trPr>
        <w:tc>
          <w:tcPr>
            <w:tcW w:type="dxa" w:w="2835"/>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José Adrián Alemán Rojas</w:t>
            </w:r>
          </w:p>
        </w:tc>
        <w:tc>
          <w:tcPr>
            <w:tcW w:type="dxa" w:w="1814"/>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Pendiente</w:t>
            </w:r>
          </w:p>
        </w:tc>
        <w:tc>
          <w:tcPr>
            <w:tcW w:type="dxa" w:w="1701"/>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r>
          </w:p>
        </w:tc>
        <w:tc>
          <w:tcPr>
            <w:tcW w:type="dxa" w:w="3742"/>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r>
          </w:p>
        </w:tc>
      </w:tr>
    </w:tbl>
    <w:p/>
    <w:p>
      <w:pPr>
        <w:spacing w:before="0" w:after="160" w:line="259" w:lineRule="auto"/>
      </w:pPr>
      <w:r>
        <w:rPr>
          <w:rFonts w:ascii="Calibri" w:hAnsi="Calibri" w:eastAsia="Calibri"/>
          <w:b w:val="0"/>
          <w:i/>
          <w:color w:val="595959"/>
          <w:sz w:val="20"/>
        </w:rPr>
        <w:t>Fin del charter. Versión 0.3, 22 de setiembre de 2026.</w:t>
      </w:r>
    </w:p>
    <w:sectPr w:rsidR="00FC693F" w:rsidRPr="0006063C" w:rsidSect="00034616">
      <w:footerReference w:type="default" r:id="rId9"/>
      <w:headerReference w:type="default" r:id="rId10"/>
      <w:pgSz w:w="12240" w:h="15840"/>
      <w:pgMar w:top="1020" w:right="1020" w:bottom="964" w:left="1020" w:header="340"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59" w:lineRule="auto"/>
      <w:jc w:val="left"/>
    </w:pPr>
    <w:r>
      <w:rPr>
        <w:rFonts w:ascii="Calibri" w:hAnsi="Calibri" w:eastAsia="Calibri"/>
        <w:b w:val="0"/>
        <w:i w:val="0"/>
        <w:color w:val="595959"/>
        <w:sz w:val="16"/>
      </w:rPr>
      <w:t xml:space="preserve">Curated CVs  ·  Project charter  ·  Borrador 0.3  ·  </w:t>
    </w:r>
    <w:r>
      <w:rPr>
        <w:rFonts w:ascii="Calibri" w:hAnsi="Calibri" w:eastAsia="Calibri"/>
        <w:b w:val="0"/>
        <w:i w:val="0"/>
        <w:color w:val="595959"/>
        <w:sz w:val="16"/>
      </w:rPr>
      <w:fldChar w:fldCharType="begin"/>
      <w:instrText xml:space="preserve"> PAGE </w:instrText>
      <w:fldChar w:fldCharType="end"/>
    </w:r>
    <w:r>
      <w:rPr>
        <w:rFonts w:ascii="Calibri" w:hAnsi="Calibri" w:eastAsia="Calibri"/>
        <w:b w:val="0"/>
        <w:i w:val="0"/>
        <w:color w:val="595959"/>
        <w:sz w:val="16"/>
      </w:rPr>
      <w:t xml:space="preserve">  ·  Pendiente de validación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59" w:lineRule="auto"/>
    </w:pPr>
    <w:r>
      <w:rPr>
        <w:rFonts w:ascii="Calibri" w:hAnsi="Calibri" w:eastAsia="Calibri"/>
        <w:b/>
        <w:i w:val="0"/>
        <w:color w:val="1F4E79"/>
        <w:sz w:val="18"/>
      </w:rPr>
      <w:t>CURATED CVS</w:t>
    </w:r>
    <w:r>
      <w:rPr>
        <w:rFonts w:ascii="Calibri" w:hAnsi="Calibri" w:eastAsia="Calibri"/>
        <w:b w:val="0"/>
        <w:i w:val="0"/>
        <w:color w:val="595959"/>
        <w:sz w:val="18"/>
      </w:rPr>
      <w:t xml:space="preserve">   Borrador 0.3 para validación   ·   22 de setiembre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Curated CVs — Project charter</dc:title>
  <dc:subject>Charter borrador para validación del proyecto</dc:subject>
  <dc:creator>José Adrián Alemán Rojas</dc:creator>
  <cp:keywords/>
  <dc:description>Preparado para validar con Johanna Alfaro y Sabrina Vargas. El panorama de mercado es contexto, no alcance.</dc:description>
  <cp:lastModifiedBy/>
  <cp:revision>1</cp:revision>
  <dcterms:created xsi:type="dcterms:W3CDTF">2013-12-23T23:15:00Z</dcterms:created>
  <dcterms:modified xsi:type="dcterms:W3CDTF">2013-12-23T23:15:00Z</dcterms:modified>
  <cp:category>Borrador para validación</cp:category>
</cp:coreProperties>
</file>