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Calibri" w:hAnsi="Calibri" w:eastAsia="Calibri"/>
          <w:b/>
          <w:i w:val="0"/>
          <w:color w:val="2E75B6"/>
          <w:sz w:val="20"/>
        </w:rPr>
        <w:t>DOCUMENTO 03 DE 03</w:t>
      </w:r>
    </w:p>
    <w:p>
      <w:pPr>
        <w:spacing w:before="0" w:after="80" w:line="259" w:lineRule="auto"/>
      </w:pPr>
      <w:r>
        <w:rPr>
          <w:rFonts w:ascii="Calibri" w:hAnsi="Calibri" w:eastAsia="Calibri"/>
          <w:b/>
          <w:i w:val="0"/>
          <w:color w:val="1F4E79"/>
          <w:sz w:val="44"/>
        </w:rPr>
        <w:t>Requerimientos de negocio</w:t>
      </w:r>
    </w:p>
    <w:p>
      <w:pPr>
        <w:spacing w:before="0" w:after="200" w:line="259" w:lineRule="auto"/>
      </w:pPr>
      <w:r>
        <w:rPr>
          <w:rFonts w:ascii="Calibri" w:hAnsi="Calibri" w:eastAsia="Calibri"/>
          <w:b w:val="0"/>
          <w:i/>
          <w:color w:val="595959"/>
          <w:sz w:val="22"/>
        </w:rPr>
        <w:t>Cada requerimiento traduce el documento 02. No agrega alcance. Si el alcance cambia, este documento se vuelve a cortar.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Estado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Borrador 0.3. Espera la validación del documento 02.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Fecha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22 de setiembre de 2026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Preparado por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José Adrián Alemán Rojas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Audiencia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Los tres socios, y después quien construya.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Fuente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02 Alcance. La reunión y el panorama no agregan requerimientos por su cuenta.</w:t>
            </w:r>
          </w:p>
        </w:tc>
      </w:tr>
    </w:tbl>
    <w:p/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1. Cómo está escrito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Hay 16 requerimientos. Cada uno dice qué debe ser verdad para el negocio, en qué momento entra, y cómo se sabría que se cumplió. No describe pantallas, modelos de datos ni proveedores de 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Tiene que existir para que una persona arme su perfil usable.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Cuando haya puestos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Depende de que existan puestos publicados. No bloquea la creación del perfil.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Entra cuando los socios abren la plataforma a empresas.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Visión posterior</w:t>
            </w:r>
          </w:p>
        </w:tc>
        <w:tc>
          <w:tcPr>
            <w:tcW w:type="dxa" w:w="771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Forma parte del proyecto y no forma parte de las dos salidas anteriores.</w:t>
            </w:r>
          </w:p>
        </w:tc>
      </w:tr>
    </w:tbl>
    <w:p/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2. Requerimientos</w:t>
      </w:r>
    </w:p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BR-01  Plataforma nueva sobre IT Job Opportunities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IT Job Opportunities se toma como base. A partir de esa base se crea una plataforma nueva, con las características de este proyecto.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El primer uso ocurre en la plataforma nueva. IT Job Opportunities sigue disponible con su alcance actual y no tiene que incorporar esas características.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BR-02  Español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La persona y la empresa usan la plataforma en español.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Crear el perfil, leer el currículum resultante y, cuando exista, publicar un puesto y ver candidatos, se puede hacer en español de principio a fin.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BR-03  Cualquier puesto, lanzamiento no técnico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El perfil puede describir cualquier familia profesional. El contenido, los ejemplos y la promoción del primer uso priorizan puestos que no son de tecnología.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Una persona de mercadeo, ventas o un rol administrativo puede terminar un perfil sin que el flujo le exija un perfil de software. Un rol técnico no está prohibido por el modelo.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BR-04  Cuenta de la persona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La persona tiene una cuenta. Su perfil permanece y puede actualizarlo.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Cierra la sesión, vuelve a entrar y encuentra el mismo perfil, con los cambios que guardó.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BR-05  Perfil básico gratis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Crear la cuenta, construir el perfil básico, mantenerlo y obtener el currículum de ese perfil no tiene precio.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Ese recorrido no muestra un pago, ni un plan, ni un tope que obligue a pagar para terminar o descargar.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BR-06  El insumo es el relato propio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El perfil se construye con lo que la persona cuenta que hizo. Pegar un currículum viejo no es el camino, ni alcanza como único insumo.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puede llegar a un perfil completo respondiendo a la plataforma. Un documento pegado, por sí solo, no deja el perfil listo para descargar.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BR-07  La IA no inventa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La IA ordena y redacta únicamente hechos que la persona aportó. No agrega empleos, estudios, herramientas, métricas ni logros ausentes en ese relato.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 el relato no menciona un empleo o una cifra, el currículum resultante no los contiene. Si la persona quita un hecho, la versión siguiente ya no lo muestra.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BR-08  Más de una versión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La misma persona puede tener más de un perfil de salida, cada uno orientado a un tipo de puesto, generados desde la misma historia.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Con una sola historia se obtienen dos currículums distintos, por ejemplo uno hacia mercadeo y otro hacia ventas, y cada uno sigue cumpliendo BR-07.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BR-09  Currículum usable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La persona obtiene un perfil usable, listo para una búsqueda, a partir de lo que contó.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 terminar, el perfil se entiende sin que ella lo reescriba a mano, y corresponde a la versión del puesto que eligió.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BR-10  Calce contra puestos publicados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Cuando haya puestos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Frente a un puesto publicado, la persona ve si su perfil calza. Si no calza, la plataforma lo dice y muestra puestos publicados que sí corresponden mejor.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Con un puesto incompatible, el resultado visible es que no corresponde, junto con alternativas que existan. Si no hay puestos publicados, la persona igual puede terminar BR-04 a BR-09.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BR-11  Curaduría humana antes de la empresa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Una empresa solo ve personas que una persona autorizada ya marcó como curadas. El score o el resumen de la IA no alcanza para esa visibilidad.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Un perfil recién creado, aunque esté completo, no aparece en la búsqueda de una empresa. Aparece después de la marca de curaduría. Quien cura y el plazo se definen en la pregunta abierta 4 del charter.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BR-12  La empresa publica, busca y avanza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Una empresa con acceso puede publicar una necesidad, buscar en la bolsa curada y dejar registrado en qué punto va cada candidato.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Para una necesidad publicada se puede ver quién está en consideración y cuál fue la última decisión registrada por una persona.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BR-13  La decisión de avance es humana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Avanzar o descartar a un candidato lo registra una persona. La IA puede mostrar coincidencias y brechas del perfil contra el puesto. No registra sola esa decisión ni una calificación de soft skills.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 un caso de prueba, la IA no mueve al candidato de estado. El estado cambia cuando una persona lo confirma. No existe un puntaje de personalidad o de soft skills como resultado del producto.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BR-14  Membresía, no fee de colocación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La empresa paga por el acceso durante un periodo, y con ese acceso trabaja los puestos que el plan permita. El producto no cobra un porcentaje del salario de la persona contratada.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El acuerdo comercial de una empresa cliente es una membresía. No hay un cargo automático por contratación exitosa. Precio, duración y cupos siguen abiertos.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BR-15  La bolsa de pago espera la base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Siguiente uso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 se ofrece la membresía como producto vendible hasta que los socios declaren que la base curada es suficiente para mostrarla.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Antes de esa declaración, una empresa no puede comprar acceso a la bolsa. El primer uso del candidato puede estar abierto igual.</w:t>
            </w:r>
          </w:p>
        </w:tc>
      </w:tr>
    </w:tbl>
    <w:p/>
    <w:p>
      <w:pPr>
        <w:pStyle w:val="Heading2"/>
        <w:spacing w:before="200" w:after="120" w:line="259" w:lineRule="auto"/>
      </w:pPr>
      <w:r>
        <w:rPr>
          <w:rFonts w:ascii="Calibri" w:hAnsi="Calibri" w:eastAsia="Calibri"/>
          <w:b/>
          <w:i w:val="0"/>
          <w:color w:val="2E75B6"/>
          <w:sz w:val="26"/>
        </w:rPr>
        <w:t>BR-16  Extras posteriores sin cobrar lo básico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Momento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Visión posterior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Requerimiento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Puede existir preparación de entrevista y otras capacidades de pago para la persona. Esas capacidades no convierten el perfil básico en un servicio de pago.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cumple cuando</w:t>
            </w:r>
          </w:p>
        </w:tc>
        <w:tc>
          <w:tcPr>
            <w:tcW w:type="dxa" w:w="805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Con una capacidad de pago activa, BR-05 sigue cumpliéndose para quien no la compra.</w:t>
            </w:r>
          </w:p>
        </w:tc>
      </w:tr>
    </w:tbl>
    <w:p/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3. Trazabilidad al alcance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2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Bloque del alcance</w:t>
            </w:r>
          </w:p>
        </w:tc>
        <w:tc>
          <w:tcPr>
            <w:tcW w:type="dxa" w:w="4989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Requerimientos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IT Job Opportunities como base, plataforma nueva, español, cualquier puesto</w:t>
            </w:r>
          </w:p>
        </w:tc>
        <w:tc>
          <w:tcPr>
            <w:tcW w:type="dxa" w:w="49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BR-01, BR-02, BR-03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Cuenta, gratis, relato propio, varias versiones, perfil usable</w:t>
            </w:r>
          </w:p>
        </w:tc>
        <w:tc>
          <w:tcPr>
            <w:tcW w:type="dxa" w:w="498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BR-04, BR-05, BR-06, BR-07, BR-08, BR-09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Calce cuando existan puestos</w:t>
            </w:r>
          </w:p>
        </w:tc>
        <w:tc>
          <w:tcPr>
            <w:tcW w:type="dxa" w:w="49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BR-10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Bolsa curada, herramienta de la empresa, decisión humana, membresía</w:t>
            </w:r>
          </w:p>
        </w:tc>
        <w:tc>
          <w:tcPr>
            <w:tcW w:type="dxa" w:w="4989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BR-11, BR-12, BR-13, BR-14, BR-15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Preparación de entrevista y extras, después</w:t>
            </w:r>
          </w:p>
        </w:tc>
        <w:tc>
          <w:tcPr>
            <w:tcW w:type="dxa" w:w="49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BR-16</w:t>
            </w:r>
          </w:p>
        </w:tc>
      </w:tr>
    </w:tbl>
    <w:p/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4. Lo que estos requerimientos no deciden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Nombre comercial, precio, país exacto del lanzamiento y umbral numérico de la base. Siguen en las preguntas abiertas del charter.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Diseño de pantallas, stack, modelo de datos y qué partes de IT Job Opportunities se reutilizan como base de la plataforma nueva. Eso se escribe después de validar este documento.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Porcentajes, propiedad intelectual y vehículo jurídico.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Lo que está fuera de alcance en el documento 02. Si no tiene un BR, no se construye.</w:t>
      </w:r>
    </w:p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5. Dependencias entre requerimientos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Requerimiento</w:t>
            </w:r>
          </w:p>
        </w:tc>
        <w:tc>
          <w:tcPr>
            <w:tcW w:type="dxa" w:w="7540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Depende de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BR-07, BR-08, BR-09</w:t>
            </w:r>
          </w:p>
        </w:tc>
        <w:tc>
          <w:tcPr>
            <w:tcW w:type="dxa" w:w="75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BR-04 y BR-06. Sin relato propio no hay versión que revisar.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BR-10</w:t>
            </w:r>
          </w:p>
        </w:tc>
        <w:tc>
          <w:tcPr>
            <w:tcW w:type="dxa" w:w="754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BR-07, y de que existan puestos publicados. No depende de BR-11.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BR-12, BR-13, BR-14</w:t>
            </w:r>
          </w:p>
        </w:tc>
        <w:tc>
          <w:tcPr>
            <w:tcW w:type="dxa" w:w="75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BR-11. La empresa no busca sobre perfiles sin curar.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BR-15</w:t>
            </w:r>
          </w:p>
        </w:tc>
        <w:tc>
          <w:tcPr>
            <w:tcW w:type="dxa" w:w="7540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Decisión de los socios, no de una feature. Mientras no se declare la base, BR-14 no se ofrece.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BR-16</w:t>
            </w:r>
          </w:p>
        </w:tc>
        <w:tc>
          <w:tcPr>
            <w:tcW w:type="dxa" w:w="75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BR-05 tiene que seguir vigente.</w:t>
            </w:r>
          </w:p>
        </w:tc>
      </w:tr>
    </w:tbl>
    <w:p/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6. Criterios de aceptación del conjunto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El primer uso se puede dar por aceptado en negocio cuando, en una prueba guiada por los socios: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Una persona no técnica crea su perfil en español, cuenta lo que sí ha hecho y obtiene un perfil usable sin pagar.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Ese currículum no contiene un empleo ni una métrica que ella no haya dicho.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De la misma historia sale una segunda versión, orientada a otro tipo de puesto, con la misma regla.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El recorrido ocurre en la plataforma nueva, creada a partir de IT Job Opportunities. El producto actual no cambia su comportamiento.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i w:val="0"/>
          <w:color w:val="222222"/>
          <w:sz w:val="22"/>
        </w:rPr>
        <w:t>El siguiente uso se puede dar por aceptado en negocio cuando, además: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Un perfil completo sigue invisible para una empresa hasta que una persona lo marca como curado.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La empresa publica una necesidad, encuentra solo gente curada y una persona registra el avance.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Nada en ese flujo cobra un porcentaje de un salario, ni un pago al candidato por el perfil básico.</w:t>
      </w:r>
    </w:p>
    <w:p>
      <w:pPr>
        <w:pStyle w:val="ListBullet"/>
        <w:spacing w:before="20" w:after="60" w:line="259" w:lineRule="auto"/>
      </w:pPr>
      <w:r>
        <w:rPr>
          <w:rFonts w:ascii="Calibri" w:hAnsi="Calibri" w:eastAsia="Calibri"/>
          <w:b w:val="0"/>
          <w:i w:val="0"/>
          <w:sz w:val="22"/>
        </w:rPr>
        <w:t>Esa prueba ocurre solo después de la declaración de base suficiente.</w:t>
      </w:r>
    </w:p>
    <w:p>
      <w:pPr>
        <w:pStyle w:val="Heading1"/>
        <w:spacing w:before="280" w:after="120" w:line="259" w:lineRule="auto"/>
      </w:pPr>
      <w:r>
        <w:rPr>
          <w:rFonts w:ascii="Calibri" w:hAnsi="Calibri" w:eastAsia="Calibri"/>
          <w:b/>
          <w:i w:val="0"/>
          <w:color w:val="1F4E79"/>
          <w:sz w:val="32"/>
        </w:rPr>
        <w:t>7. Control de cambios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Versión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Fecha</w:t>
            </w:r>
          </w:p>
        </w:tc>
        <w:tc>
          <w:tcPr>
            <w:tcW w:type="dxa" w:w="6236"/>
            <w:tcMar>
              <w:top w:w="80" w:type="dxa"/>
              <w:left w:w="80" w:type="dxa"/>
              <w:bottom w:w="80" w:type="dxa"/>
              <w:right w:w="80" w:type="dxa"/>
            </w:tcMar>
            <w:shd w:fill="1F4E7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Cambio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0.1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22 de setiembre de 2026</w:t>
            </w:r>
          </w:p>
        </w:tc>
        <w:tc>
          <w:tcPr>
            <w:tcW w:type="dxa" w:w="62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Primera versión, derivada del resumen de validación. Sin aprobación.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0.2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22 de setiembre de 2026</w:t>
            </w:r>
          </w:p>
        </w:tc>
        <w:tc>
          <w:tcPr>
            <w:tcW w:type="dxa" w:w="6236"/>
            <w:tcMar>
              <w:top w:w="80" w:type="dxa"/>
              <w:left w:w="80" w:type="dxa"/>
              <w:bottom w:w="80" w:type="dxa"/>
              <w:right w:w="80" w:type="dxa"/>
            </w:tcMar>
            <w:shd w:fill="F3F6F9" w:val="clear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El alcance queda limitado al resumen. Este documento solo lo traduce.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0.3</w:t>
            </w:r>
          </w:p>
        </w:tc>
        <w:tc>
          <w:tcPr>
            <w:tcW w:type="dxa" w:w="24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22 de setiembre de 2026</w:t>
            </w:r>
          </w:p>
        </w:tc>
        <w:tc>
          <w:tcPr>
            <w:tcW w:type="dxa" w:w="62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IT Job Opportunities queda como base. La plataforma nueva se crea a partir de esa base, con las características de este proyecto.</w:t>
            </w:r>
          </w:p>
        </w:tc>
      </w:tr>
    </w:tbl>
    <w:p/>
    <w:p>
      <w:pPr>
        <w:spacing w:before="0" w:after="160" w:line="259" w:lineRule="auto"/>
      </w:pPr>
      <w:r>
        <w:rPr>
          <w:rFonts w:ascii="Calibri" w:hAnsi="Calibri" w:eastAsia="Calibri"/>
          <w:b w:val="0"/>
          <w:i/>
          <w:color w:val="595959"/>
          <w:sz w:val="20"/>
        </w:rPr>
        <w:t>Fin de los requerimientos de negocio. Versión 0.3, 22 de setiembre de 2026.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020" w:bottom="964" w:left="1020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left"/>
    </w:pPr>
    <w:r>
      <w:rPr>
        <w:rFonts w:ascii="Calibri" w:hAnsi="Calibri" w:eastAsia="Calibri"/>
        <w:b w:val="0"/>
        <w:i w:val="0"/>
        <w:color w:val="595959"/>
        <w:sz w:val="16"/>
      </w:rPr>
      <w:t xml:space="preserve">Curated CVs  ·  Requerimientos de negocio  ·  Borrador 0.3  ·  </w:t>
    </w:r>
    <w:r>
      <w:rPr>
        <w:rFonts w:ascii="Calibri" w:hAnsi="Calibri" w:eastAsia="Calibri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95959"/>
        <w:sz w:val="16"/>
      </w:rPr>
      <w:t xml:space="preserve">  ·  Pendiente de validación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59" w:lineRule="auto"/>
    </w:pPr>
    <w:r>
      <w:rPr>
        <w:rFonts w:ascii="Calibri" w:hAnsi="Calibri" w:eastAsia="Calibri"/>
        <w:b/>
        <w:i w:val="0"/>
        <w:color w:val="1F4E79"/>
        <w:sz w:val="18"/>
      </w:rPr>
      <w:t>CURATED CVS</w:t>
    </w:r>
    <w:r>
      <w:rPr>
        <w:rFonts w:ascii="Calibri" w:hAnsi="Calibri" w:eastAsia="Calibri"/>
        <w:b w:val="0"/>
        <w:i w:val="0"/>
        <w:color w:val="595959"/>
        <w:sz w:val="18"/>
      </w:rPr>
      <w:t xml:space="preserve">   Borrador 0.3 para validación   ·   22 de setiembre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Curated CVs — Requerimientos de negocio</dc:title>
  <dc:subject>Requerimientos de negocio derivados del alcance validable</dc:subject>
  <dc:creator>José Adrián Alemán Rojas</dc:creator>
  <cp:keywords/>
  <dc:description>Preparado para validar con Johanna Alfaro y Sabrina Vargas. El panorama de mercado es contexto, no alcance.</dc:description>
  <cp:lastModifiedBy/>
  <cp:revision>1</cp:revision>
  <dcterms:created xsi:type="dcterms:W3CDTF">2013-12-23T23:15:00Z</dcterms:created>
  <dcterms:modified xsi:type="dcterms:W3CDTF">2013-12-23T23:15:00Z</dcterms:modified>
  <cp:category>Borrador para validación</cp:category>
</cp:coreProperties>
</file>