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64B35BF"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 and Insights, Log Analytics Workspace and Alerting Combined</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64B35BF"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 and Insights, Log Analytics Workspace and Alerting Combined</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47AEC590"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cs="Arial"/>
                  </w:rPr>
                  <w:t>Azure Monitor and Insights, Log Analytics Workspace and Alerting Combined</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730A1D4D"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cs="Arial"/>
                  </w:rPr>
                  <w:t>Azure Monitor and Insights, Log Analytics Workspace and Alerting Combined</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1C2576D7" w:rsidR="00502938" w:rsidRPr="005E1460" w:rsidRDefault="00502938" w:rsidP="00F94C6F">
            <w:pPr>
              <w:pStyle w:val="BodyText"/>
              <w:ind w:left="0"/>
              <w:rPr>
                <w:rFonts w:cs="Arial"/>
              </w:rPr>
            </w:pPr>
            <w:r w:rsidRPr="005E1460">
              <w:rPr>
                <w:rFonts w:cs="Arial"/>
              </w:rPr>
              <w:t xml:space="preserve"> </w:t>
            </w:r>
            <w:r w:rsidR="007564AC">
              <w:rPr>
                <w:rFonts w:cs="Arial"/>
              </w:rPr>
              <w:t>Draft</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CBE4911" w:rsidR="00502938" w:rsidRPr="005E1460" w:rsidRDefault="00502938" w:rsidP="00F94C6F">
            <w:pPr>
              <w:pStyle w:val="BodyText"/>
              <w:ind w:left="0"/>
              <w:rPr>
                <w:rFonts w:cs="Arial"/>
              </w:rPr>
            </w:pP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77777777" w:rsidR="007564AC" w:rsidRPr="005E1460" w:rsidRDefault="007564AC" w:rsidP="00F94C6F">
            <w:pPr>
              <w:pStyle w:val="BodyText"/>
              <w:ind w:left="0"/>
              <w:rPr>
                <w:rFonts w:cs="Arial"/>
                <w:color w:val="auto"/>
              </w:rPr>
            </w:pP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83"/>
        <w:gridCol w:w="1471"/>
        <w:gridCol w:w="2052"/>
        <w:gridCol w:w="2079"/>
        <w:gridCol w:w="1634"/>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061A5FEE" w:rsidR="00502938" w:rsidRPr="00633B64" w:rsidRDefault="00502938" w:rsidP="00F94C6F">
            <w:pPr>
              <w:pStyle w:val="BodyText"/>
              <w:ind w:left="0"/>
              <w:rPr>
                <w:rFonts w:cs="Arial"/>
                <w:color w:val="auto"/>
              </w:rPr>
            </w:pP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30DF345" w14:textId="7C91B496" w:rsidR="00842263"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1034051" w:history="1">
            <w:r w:rsidR="00842263" w:rsidRPr="00A53485">
              <w:rPr>
                <w:rStyle w:val="Hyperlink"/>
                <w:rFonts w:cs="Arial"/>
              </w:rPr>
              <w:t>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Overview</w:t>
            </w:r>
            <w:r w:rsidR="00842263">
              <w:rPr>
                <w:webHidden/>
              </w:rPr>
              <w:tab/>
            </w:r>
            <w:r w:rsidR="00842263">
              <w:rPr>
                <w:webHidden/>
              </w:rPr>
              <w:fldChar w:fldCharType="begin"/>
            </w:r>
            <w:r w:rsidR="00842263">
              <w:rPr>
                <w:webHidden/>
              </w:rPr>
              <w:instrText xml:space="preserve"> PAGEREF _Toc151034051 \h </w:instrText>
            </w:r>
            <w:r w:rsidR="00842263">
              <w:rPr>
                <w:webHidden/>
              </w:rPr>
            </w:r>
            <w:r w:rsidR="00842263">
              <w:rPr>
                <w:webHidden/>
              </w:rPr>
              <w:fldChar w:fldCharType="separate"/>
            </w:r>
            <w:r w:rsidR="00842263">
              <w:rPr>
                <w:webHidden/>
              </w:rPr>
              <w:t>5</w:t>
            </w:r>
            <w:r w:rsidR="00842263">
              <w:rPr>
                <w:webHidden/>
              </w:rPr>
              <w:fldChar w:fldCharType="end"/>
            </w:r>
          </w:hyperlink>
        </w:p>
        <w:p w14:paraId="593A738F" w14:textId="7CF20911" w:rsidR="00842263" w:rsidRDefault="00000000">
          <w:pPr>
            <w:pStyle w:val="TOC2"/>
            <w:rPr>
              <w:rFonts w:asciiTheme="minorHAnsi" w:eastAsiaTheme="minorEastAsia" w:hAnsiTheme="minorHAnsi" w:cstheme="minorBidi"/>
              <w:color w:val="auto"/>
              <w:kern w:val="2"/>
              <w14:ligatures w14:val="standardContextual"/>
            </w:rPr>
          </w:pPr>
          <w:hyperlink w:anchor="_Toc151034052" w:history="1">
            <w:r w:rsidR="00842263" w:rsidRPr="00A53485">
              <w:rPr>
                <w:rStyle w:val="Hyperlink"/>
                <w:rFonts w:cs="Arial"/>
                <w:spacing w:val="-8"/>
              </w:rPr>
              <w:t>1.1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Purpose and Audience</w:t>
            </w:r>
            <w:r w:rsidR="00842263">
              <w:rPr>
                <w:webHidden/>
              </w:rPr>
              <w:tab/>
            </w:r>
            <w:r w:rsidR="00842263">
              <w:rPr>
                <w:webHidden/>
              </w:rPr>
              <w:fldChar w:fldCharType="begin"/>
            </w:r>
            <w:r w:rsidR="00842263">
              <w:rPr>
                <w:webHidden/>
              </w:rPr>
              <w:instrText xml:space="preserve"> PAGEREF _Toc151034052 \h </w:instrText>
            </w:r>
            <w:r w:rsidR="00842263">
              <w:rPr>
                <w:webHidden/>
              </w:rPr>
            </w:r>
            <w:r w:rsidR="00842263">
              <w:rPr>
                <w:webHidden/>
              </w:rPr>
              <w:fldChar w:fldCharType="separate"/>
            </w:r>
            <w:r w:rsidR="00842263">
              <w:rPr>
                <w:webHidden/>
              </w:rPr>
              <w:t>5</w:t>
            </w:r>
            <w:r w:rsidR="00842263">
              <w:rPr>
                <w:webHidden/>
              </w:rPr>
              <w:fldChar w:fldCharType="end"/>
            </w:r>
          </w:hyperlink>
        </w:p>
        <w:p w14:paraId="32701875" w14:textId="633E3423" w:rsidR="00842263" w:rsidRDefault="00000000">
          <w:pPr>
            <w:pStyle w:val="TOC2"/>
            <w:rPr>
              <w:rFonts w:asciiTheme="minorHAnsi" w:eastAsiaTheme="minorEastAsia" w:hAnsiTheme="minorHAnsi" w:cstheme="minorBidi"/>
              <w:color w:val="auto"/>
              <w:kern w:val="2"/>
              <w14:ligatures w14:val="standardContextual"/>
            </w:rPr>
          </w:pPr>
          <w:hyperlink w:anchor="_Toc151034053" w:history="1">
            <w:r w:rsidR="00842263" w:rsidRPr="00A53485">
              <w:rPr>
                <w:rStyle w:val="Hyperlink"/>
                <w:rFonts w:cs="Arial"/>
                <w:spacing w:val="-8"/>
              </w:rPr>
              <w:t>1.2</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Scope and Key Deliverables</w:t>
            </w:r>
            <w:r w:rsidR="00842263">
              <w:rPr>
                <w:webHidden/>
              </w:rPr>
              <w:tab/>
            </w:r>
            <w:r w:rsidR="00842263">
              <w:rPr>
                <w:webHidden/>
              </w:rPr>
              <w:fldChar w:fldCharType="begin"/>
            </w:r>
            <w:r w:rsidR="00842263">
              <w:rPr>
                <w:webHidden/>
              </w:rPr>
              <w:instrText xml:space="preserve"> PAGEREF _Toc151034053 \h </w:instrText>
            </w:r>
            <w:r w:rsidR="00842263">
              <w:rPr>
                <w:webHidden/>
              </w:rPr>
            </w:r>
            <w:r w:rsidR="00842263">
              <w:rPr>
                <w:webHidden/>
              </w:rPr>
              <w:fldChar w:fldCharType="separate"/>
            </w:r>
            <w:r w:rsidR="00842263">
              <w:rPr>
                <w:webHidden/>
              </w:rPr>
              <w:t>5</w:t>
            </w:r>
            <w:r w:rsidR="00842263">
              <w:rPr>
                <w:webHidden/>
              </w:rPr>
              <w:fldChar w:fldCharType="end"/>
            </w:r>
          </w:hyperlink>
        </w:p>
        <w:p w14:paraId="1166FC60" w14:textId="3C315BAD" w:rsidR="00842263" w:rsidRDefault="00000000">
          <w:pPr>
            <w:pStyle w:val="TOC2"/>
            <w:rPr>
              <w:rFonts w:asciiTheme="minorHAnsi" w:eastAsiaTheme="minorEastAsia" w:hAnsiTheme="minorHAnsi" w:cstheme="minorBidi"/>
              <w:color w:val="auto"/>
              <w:kern w:val="2"/>
              <w14:ligatures w14:val="standardContextual"/>
            </w:rPr>
          </w:pPr>
          <w:hyperlink w:anchor="_Toc151034054" w:history="1">
            <w:r w:rsidR="00842263" w:rsidRPr="00A53485">
              <w:rPr>
                <w:rStyle w:val="Hyperlink"/>
                <w:rFonts w:cs="Arial"/>
                <w:spacing w:val="-8"/>
              </w:rPr>
              <w:t>1.3</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Glossary and Definitions</w:t>
            </w:r>
            <w:r w:rsidR="00842263">
              <w:rPr>
                <w:webHidden/>
              </w:rPr>
              <w:tab/>
            </w:r>
            <w:r w:rsidR="00842263">
              <w:rPr>
                <w:webHidden/>
              </w:rPr>
              <w:fldChar w:fldCharType="begin"/>
            </w:r>
            <w:r w:rsidR="00842263">
              <w:rPr>
                <w:webHidden/>
              </w:rPr>
              <w:instrText xml:space="preserve"> PAGEREF _Toc151034054 \h </w:instrText>
            </w:r>
            <w:r w:rsidR="00842263">
              <w:rPr>
                <w:webHidden/>
              </w:rPr>
            </w:r>
            <w:r w:rsidR="00842263">
              <w:rPr>
                <w:webHidden/>
              </w:rPr>
              <w:fldChar w:fldCharType="separate"/>
            </w:r>
            <w:r w:rsidR="00842263">
              <w:rPr>
                <w:webHidden/>
              </w:rPr>
              <w:t>6</w:t>
            </w:r>
            <w:r w:rsidR="00842263">
              <w:rPr>
                <w:webHidden/>
              </w:rPr>
              <w:fldChar w:fldCharType="end"/>
            </w:r>
          </w:hyperlink>
        </w:p>
        <w:p w14:paraId="62338099" w14:textId="134E58D0" w:rsidR="00B035CE" w:rsidRDefault="00B035CE" w:rsidP="00B035CE">
          <w:pPr>
            <w:spacing w:line="360" w:lineRule="auto"/>
          </w:pPr>
          <w:r>
            <w:rPr>
              <w:b/>
              <w:bCs/>
              <w:noProof/>
            </w:rPr>
            <w:fldChar w:fldCharType="end"/>
          </w:r>
        </w:p>
      </w:sdtContent>
    </w:sdt>
    <w:p w14:paraId="0ABF6DF2" w14:textId="3CDEEC8D" w:rsidR="00001628" w:rsidRDefault="00001628" w:rsidP="00E80C8E">
      <w:pPr>
        <w:pStyle w:val="BodyText"/>
        <w:numPr>
          <w:ilvl w:val="0"/>
          <w:numId w:val="47"/>
        </w:numPr>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1034051"/>
      <w:r w:rsidRPr="00633B64">
        <w:rPr>
          <w:rFonts w:cs="Arial"/>
        </w:rPr>
        <w:t>Overview</w:t>
      </w:r>
      <w:bookmarkEnd w:id="0"/>
      <w:r w:rsidRPr="00633B64">
        <w:rPr>
          <w:rFonts w:cs="Arial"/>
        </w:rPr>
        <w:t xml:space="preserve"> </w:t>
      </w:r>
    </w:p>
    <w:p w14:paraId="7A66AFA1" w14:textId="4CD5BBB4"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eastAsia="Arial"/>
              <w:sz w:val="22"/>
              <w:szCs w:val="28"/>
            </w:rPr>
            <w:t>Azure Monitor and Insights, Log Analytics Workspace and Alerting Combined</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eastAsia="Arial"/>
              <w:sz w:val="22"/>
              <w:szCs w:val="28"/>
            </w:rPr>
            <w:t>Azure Monitor and Insights, Log Analytics Workspace and Alerting Combined</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eastAsia="Arial"/>
              <w:sz w:val="22"/>
              <w:szCs w:val="28"/>
            </w:rPr>
            <w:t>Azure Monitor and Insights, Log Analytics Workspace and Alerting Combined</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1034052"/>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1034053"/>
      <w:r w:rsidRPr="00633B64">
        <w:rPr>
          <w:rFonts w:cs="Arial"/>
        </w:rPr>
        <w:t xml:space="preserve">Scope </w:t>
      </w:r>
      <w:r w:rsidR="000B5FB3">
        <w:rPr>
          <w:rFonts w:cs="Arial"/>
        </w:rPr>
        <w:t>and Key Deliverables</w:t>
      </w:r>
      <w:bookmarkEnd w:id="2"/>
    </w:p>
    <w:p w14:paraId="1B652062" w14:textId="48790D5D"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2B4759">
            <w:rPr>
              <w:rFonts w:cs="Arial"/>
            </w:rPr>
            <w:t>Azure Monitor and Insights, Log Analytics Workspace and Alerting Combined</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1034054"/>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04707E69" w:rsidR="00A81BF5" w:rsidRDefault="00411A13" w:rsidP="00411A13">
      <w:pPr>
        <w:pStyle w:val="Caption"/>
        <w:jc w:val="center"/>
        <w:rPr>
          <w:rFonts w:cs="Arial"/>
          <w:highlight w:val="yellow"/>
        </w:rPr>
      </w:pPr>
      <w:r>
        <w:t xml:space="preserve">Table </w:t>
      </w:r>
      <w:r>
        <w:fldChar w:fldCharType="begin"/>
      </w:r>
      <w:r>
        <w:instrText xml:space="preserve"> SEQ Table \* ARABIC </w:instrText>
      </w:r>
      <w:r>
        <w:fldChar w:fldCharType="separate"/>
      </w:r>
      <w:r w:rsidR="00AF66AC">
        <w:rPr>
          <w:noProof/>
        </w:rPr>
        <w:t>1</w:t>
      </w:r>
      <w:r>
        <w:rPr>
          <w:noProof/>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bookmarkStart w:id="4" w:name="_Toc151034059"/>
    <w:p w14:paraId="3FD7FDBC" w14:textId="536B85C1" w:rsidR="002B4759" w:rsidRDefault="00000000" w:rsidP="002B4759">
      <w:pPr>
        <w:pStyle w:val="Heading3"/>
        <w:numPr>
          <w:ilvl w:val="2"/>
          <w:numId w:val="7"/>
        </w:numPr>
      </w:pPr>
      <w:sdt>
        <w:sdtPr>
          <w:alias w:val="Category"/>
          <w:tag w:val=""/>
          <w:id w:val="-750732969"/>
          <w:placeholder>
            <w:docPart w:val="34CD7B95A6DD49CEB88318EAA9474EE5"/>
          </w:placeholder>
          <w:dataBinding w:prefixMappings="xmlns:ns0='http://purl.org/dc/elements/1.1/' xmlns:ns1='http://schemas.openxmlformats.org/package/2006/metadata/core-properties' " w:xpath="/ns1:coreProperties[1]/ns1:category[1]" w:storeItemID="{6C3C8BC8-F283-45AE-878A-BAB7291924A1}"/>
          <w:text/>
        </w:sdtPr>
        <w:sdtContent>
          <w:r w:rsidR="002B4759">
            <w:t>Azure Monitor and Insights, Log Analytics Workspace and Alerting Combined</w:t>
          </w:r>
        </w:sdtContent>
      </w:sdt>
      <w:r w:rsidR="002B4759">
        <w:t xml:space="preserve"> </w:t>
      </w:r>
      <w:r w:rsidR="002B4759" w:rsidRPr="00304E7D">
        <w:rPr>
          <w:highlight w:val="yellow"/>
        </w:rPr>
        <w:t>Reliability</w:t>
      </w:r>
      <w:r w:rsidR="002B4759">
        <w:t xml:space="preserve"> Checklist</w:t>
      </w:r>
      <w:bookmarkEnd w:id="4"/>
    </w:p>
    <w:tbl>
      <w:tblPr>
        <w:tblStyle w:val="AVTable1"/>
        <w:tblW w:w="9781" w:type="dxa"/>
        <w:tblLook w:val="04A0" w:firstRow="1" w:lastRow="0" w:firstColumn="1" w:lastColumn="0" w:noHBand="0" w:noVBand="1"/>
      </w:tblPr>
      <w:tblGrid>
        <w:gridCol w:w="744"/>
        <w:gridCol w:w="2402"/>
        <w:gridCol w:w="1559"/>
        <w:gridCol w:w="1486"/>
        <w:gridCol w:w="1459"/>
        <w:gridCol w:w="2131"/>
      </w:tblGrid>
      <w:tr w:rsidR="002B4759" w:rsidRPr="002348C5" w14:paraId="7839CC04" w14:textId="77777777" w:rsidTr="00257A7B">
        <w:trPr>
          <w:cnfStyle w:val="100000000000" w:firstRow="1" w:lastRow="0" w:firstColumn="0" w:lastColumn="0" w:oddVBand="0" w:evenVBand="0" w:oddHBand="0" w:evenHBand="0" w:firstRowFirstColumn="0" w:firstRowLastColumn="0" w:lastRowFirstColumn="0" w:lastRowLastColumn="0"/>
          <w:trHeight w:val="290"/>
        </w:trPr>
        <w:tc>
          <w:tcPr>
            <w:tcW w:w="728" w:type="dxa"/>
            <w:tcBorders>
              <w:bottom w:val="single" w:sz="4" w:space="0" w:color="002776"/>
            </w:tcBorders>
            <w:noWrap/>
            <w:hideMark/>
          </w:tcPr>
          <w:p w14:paraId="5C2DEBD6" w14:textId="77777777" w:rsidR="002B4759" w:rsidRPr="002348C5" w:rsidRDefault="002B4759" w:rsidP="00257A7B">
            <w:pPr>
              <w:pStyle w:val="BodyText"/>
              <w:rPr>
                <w:bCs/>
                <w:color w:val="FFFFFF" w:themeColor="background1"/>
              </w:rPr>
            </w:pPr>
            <w:r w:rsidRPr="002348C5">
              <w:rPr>
                <w:bCs/>
                <w:color w:val="FFFFFF" w:themeColor="background1"/>
              </w:rPr>
              <w:t>ID</w:t>
            </w:r>
          </w:p>
        </w:tc>
        <w:tc>
          <w:tcPr>
            <w:tcW w:w="2431" w:type="dxa"/>
            <w:tcBorders>
              <w:bottom w:val="single" w:sz="4" w:space="0" w:color="002776"/>
            </w:tcBorders>
            <w:hideMark/>
          </w:tcPr>
          <w:p w14:paraId="68BD6913" w14:textId="77777777" w:rsidR="002B4759" w:rsidRPr="002348C5" w:rsidRDefault="002B4759" w:rsidP="00257A7B">
            <w:pPr>
              <w:pStyle w:val="BodyText"/>
              <w:rPr>
                <w:bCs/>
                <w:color w:val="FFFFFF" w:themeColor="background1"/>
              </w:rPr>
            </w:pPr>
            <w:r w:rsidRPr="002348C5">
              <w:rPr>
                <w:bCs/>
                <w:color w:val="FFFFFF" w:themeColor="background1"/>
              </w:rPr>
              <w:t>Checklist Item</w:t>
            </w:r>
          </w:p>
        </w:tc>
        <w:tc>
          <w:tcPr>
            <w:tcW w:w="1543" w:type="dxa"/>
            <w:tcBorders>
              <w:bottom w:val="single" w:sz="4" w:space="0" w:color="002776"/>
            </w:tcBorders>
            <w:noWrap/>
            <w:hideMark/>
          </w:tcPr>
          <w:p w14:paraId="4574F32A" w14:textId="77777777" w:rsidR="002B4759" w:rsidRPr="002348C5" w:rsidRDefault="002B4759" w:rsidP="00257A7B">
            <w:pPr>
              <w:pStyle w:val="BodyText"/>
              <w:jc w:val="center"/>
              <w:rPr>
                <w:bCs/>
                <w:color w:val="FFFFFF" w:themeColor="background1"/>
              </w:rPr>
            </w:pPr>
            <w:r w:rsidRPr="002348C5">
              <w:rPr>
                <w:bCs/>
                <w:color w:val="FFFFFF" w:themeColor="background1"/>
              </w:rPr>
              <w:t>Applicable to AV</w:t>
            </w:r>
          </w:p>
        </w:tc>
        <w:tc>
          <w:tcPr>
            <w:tcW w:w="1470" w:type="dxa"/>
            <w:noWrap/>
            <w:hideMark/>
          </w:tcPr>
          <w:p w14:paraId="32A1765D" w14:textId="77777777" w:rsidR="002B4759" w:rsidRPr="002348C5" w:rsidRDefault="002B4759" w:rsidP="00257A7B">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459" w:type="dxa"/>
          </w:tcPr>
          <w:p w14:paraId="77469B08" w14:textId="77777777" w:rsidR="002B4759" w:rsidRDefault="002B4759" w:rsidP="00257A7B">
            <w:pPr>
              <w:pStyle w:val="BodyText"/>
              <w:jc w:val="center"/>
              <w:rPr>
                <w:color w:val="FFFFFF" w:themeColor="background1"/>
              </w:rPr>
            </w:pPr>
            <w:r w:rsidRPr="78DFCD18">
              <w:rPr>
                <w:color w:val="FFFFFF" w:themeColor="background1"/>
              </w:rPr>
              <w:t>Enforcement Option</w:t>
            </w:r>
          </w:p>
        </w:tc>
        <w:tc>
          <w:tcPr>
            <w:tcW w:w="2150" w:type="dxa"/>
          </w:tcPr>
          <w:p w14:paraId="6AB68C85" w14:textId="77777777" w:rsidR="002B4759" w:rsidRDefault="002B4759" w:rsidP="00257A7B">
            <w:pPr>
              <w:pStyle w:val="BodyText"/>
              <w:jc w:val="center"/>
              <w:rPr>
                <w:color w:val="FFFFFF" w:themeColor="background1"/>
              </w:rPr>
            </w:pPr>
            <w:r w:rsidRPr="78DFCD18">
              <w:rPr>
                <w:color w:val="FFFFFF" w:themeColor="background1"/>
              </w:rPr>
              <w:t>Applicability</w:t>
            </w:r>
          </w:p>
        </w:tc>
      </w:tr>
      <w:tr w:rsidR="002B4759" w:rsidRPr="002348C5" w14:paraId="09B2DD98" w14:textId="77777777" w:rsidTr="00257A7B">
        <w:trPr>
          <w:trHeight w:val="290"/>
        </w:trPr>
        <w:tc>
          <w:tcPr>
            <w:tcW w:w="728" w:type="dxa"/>
            <w:tcBorders>
              <w:bottom w:val="single" w:sz="4" w:space="0" w:color="auto"/>
            </w:tcBorders>
            <w:noWrap/>
            <w:vAlign w:val="center"/>
            <w:hideMark/>
          </w:tcPr>
          <w:p w14:paraId="5C549F66" w14:textId="77777777" w:rsidR="002B4759" w:rsidRPr="002348C5" w:rsidRDefault="002B4759" w:rsidP="00257A7B">
            <w:pPr>
              <w:pStyle w:val="BodyText"/>
              <w:rPr>
                <w:b/>
                <w:bCs/>
              </w:rPr>
            </w:pPr>
            <w:r w:rsidRPr="002348C5">
              <w:rPr>
                <w:b/>
                <w:bCs/>
              </w:rPr>
              <w:t>R1</w:t>
            </w:r>
          </w:p>
        </w:tc>
        <w:tc>
          <w:tcPr>
            <w:tcW w:w="2431" w:type="dxa"/>
            <w:tcBorders>
              <w:bottom w:val="single" w:sz="4" w:space="0" w:color="auto"/>
            </w:tcBorders>
          </w:tcPr>
          <w:p w14:paraId="35740644" w14:textId="77777777" w:rsidR="002B4759" w:rsidRPr="002348C5" w:rsidRDefault="002B4759" w:rsidP="00257A7B">
            <w:pPr>
              <w:pStyle w:val="BodyText"/>
              <w:rPr>
                <w:sz w:val="20"/>
                <w:szCs w:val="20"/>
              </w:rPr>
            </w:pPr>
            <w:r w:rsidRPr="00C36E10">
              <w:t>Configure service health alert rules.</w:t>
            </w:r>
          </w:p>
        </w:tc>
        <w:tc>
          <w:tcPr>
            <w:tcW w:w="1543" w:type="dxa"/>
            <w:tcBorders>
              <w:bottom w:val="single" w:sz="4" w:space="0" w:color="auto"/>
            </w:tcBorders>
            <w:noWrap/>
            <w:vAlign w:val="center"/>
          </w:tcPr>
          <w:p w14:paraId="3F211BFF" w14:textId="77777777" w:rsidR="002B4759" w:rsidRPr="00E02882" w:rsidRDefault="002B4759" w:rsidP="00257A7B">
            <w:pPr>
              <w:pStyle w:val="BodyText"/>
              <w:jc w:val="center"/>
            </w:pPr>
            <w:r w:rsidRPr="00E02882">
              <w:t>Yes</w:t>
            </w:r>
          </w:p>
        </w:tc>
        <w:tc>
          <w:tcPr>
            <w:tcW w:w="1470" w:type="dxa"/>
            <w:noWrap/>
            <w:vAlign w:val="center"/>
          </w:tcPr>
          <w:p w14:paraId="743BCF70" w14:textId="77777777" w:rsidR="002B4759" w:rsidRPr="00E02882" w:rsidRDefault="002B4759" w:rsidP="00257A7B">
            <w:pPr>
              <w:pStyle w:val="BodyText"/>
              <w:jc w:val="center"/>
            </w:pPr>
            <w:r w:rsidRPr="00E02882">
              <w:t>Yes</w:t>
            </w:r>
          </w:p>
        </w:tc>
        <w:tc>
          <w:tcPr>
            <w:tcW w:w="1459" w:type="dxa"/>
            <w:vAlign w:val="center"/>
          </w:tcPr>
          <w:p w14:paraId="3591F8AB" w14:textId="77777777" w:rsidR="002B4759" w:rsidRPr="00E02882" w:rsidRDefault="002B4759" w:rsidP="00257A7B">
            <w:pPr>
              <w:pStyle w:val="BodyText"/>
              <w:jc w:val="center"/>
            </w:pPr>
            <w:r w:rsidRPr="00E02882">
              <w:t>IaC</w:t>
            </w:r>
          </w:p>
        </w:tc>
        <w:tc>
          <w:tcPr>
            <w:tcW w:w="2150" w:type="dxa"/>
            <w:vAlign w:val="center"/>
          </w:tcPr>
          <w:p w14:paraId="3BFD9110" w14:textId="77777777" w:rsidR="002B4759" w:rsidRPr="00E02882" w:rsidRDefault="002B4759" w:rsidP="00257A7B">
            <w:pPr>
              <w:pStyle w:val="BodyText"/>
              <w:jc w:val="center"/>
            </w:pPr>
            <w:r w:rsidRPr="00E02882">
              <w:t>At deployment</w:t>
            </w:r>
          </w:p>
        </w:tc>
      </w:tr>
      <w:tr w:rsidR="002B4759" w:rsidRPr="002348C5" w14:paraId="7FD65A8F" w14:textId="77777777" w:rsidTr="00257A7B">
        <w:trPr>
          <w:trHeight w:val="290"/>
        </w:trPr>
        <w:tc>
          <w:tcPr>
            <w:tcW w:w="728" w:type="dxa"/>
            <w:tcBorders>
              <w:top w:val="single" w:sz="4" w:space="0" w:color="auto"/>
            </w:tcBorders>
            <w:noWrap/>
            <w:vAlign w:val="center"/>
            <w:hideMark/>
          </w:tcPr>
          <w:p w14:paraId="2DEBCE56" w14:textId="77777777" w:rsidR="002B4759" w:rsidRPr="002348C5" w:rsidRDefault="002B4759" w:rsidP="00257A7B">
            <w:pPr>
              <w:pStyle w:val="BodyText"/>
              <w:rPr>
                <w:b/>
                <w:bCs/>
              </w:rPr>
            </w:pPr>
            <w:r w:rsidRPr="002348C5">
              <w:rPr>
                <w:b/>
                <w:bCs/>
              </w:rPr>
              <w:t>R2</w:t>
            </w:r>
          </w:p>
        </w:tc>
        <w:tc>
          <w:tcPr>
            <w:tcW w:w="2431" w:type="dxa"/>
            <w:tcBorders>
              <w:top w:val="single" w:sz="4" w:space="0" w:color="auto"/>
            </w:tcBorders>
          </w:tcPr>
          <w:p w14:paraId="4A5782F9" w14:textId="77777777" w:rsidR="002B4759" w:rsidRPr="002348C5" w:rsidRDefault="002B4759" w:rsidP="00257A7B">
            <w:pPr>
              <w:pStyle w:val="BodyText"/>
              <w:rPr>
                <w:sz w:val="20"/>
                <w:szCs w:val="20"/>
              </w:rPr>
            </w:pPr>
            <w:r w:rsidRPr="00C36E10">
              <w:t>Configure resource health alert rules.</w:t>
            </w:r>
          </w:p>
        </w:tc>
        <w:tc>
          <w:tcPr>
            <w:tcW w:w="1543" w:type="dxa"/>
            <w:tcBorders>
              <w:top w:val="single" w:sz="4" w:space="0" w:color="auto"/>
            </w:tcBorders>
            <w:noWrap/>
            <w:vAlign w:val="center"/>
          </w:tcPr>
          <w:p w14:paraId="1A485A1C" w14:textId="77777777" w:rsidR="002B4759" w:rsidRPr="002348C5" w:rsidRDefault="002B4759" w:rsidP="00257A7B">
            <w:pPr>
              <w:pStyle w:val="BodyText"/>
              <w:jc w:val="center"/>
              <w:rPr>
                <w:sz w:val="20"/>
                <w:szCs w:val="20"/>
              </w:rPr>
            </w:pPr>
            <w:r w:rsidRPr="00E02882">
              <w:t>Yes</w:t>
            </w:r>
          </w:p>
        </w:tc>
        <w:tc>
          <w:tcPr>
            <w:tcW w:w="1470" w:type="dxa"/>
            <w:noWrap/>
            <w:vAlign w:val="center"/>
          </w:tcPr>
          <w:p w14:paraId="64B59ADE" w14:textId="77777777" w:rsidR="002B4759" w:rsidRPr="002348C5" w:rsidRDefault="002B4759" w:rsidP="00257A7B">
            <w:pPr>
              <w:pStyle w:val="BodyText"/>
              <w:jc w:val="center"/>
              <w:rPr>
                <w:sz w:val="20"/>
                <w:szCs w:val="20"/>
              </w:rPr>
            </w:pPr>
            <w:r w:rsidRPr="00E02882">
              <w:t>Yes</w:t>
            </w:r>
          </w:p>
        </w:tc>
        <w:tc>
          <w:tcPr>
            <w:tcW w:w="1459" w:type="dxa"/>
            <w:vAlign w:val="center"/>
          </w:tcPr>
          <w:p w14:paraId="2603276B" w14:textId="77777777" w:rsidR="002B4759" w:rsidRDefault="002B4759" w:rsidP="00257A7B">
            <w:pPr>
              <w:pStyle w:val="BodyText"/>
              <w:jc w:val="center"/>
              <w:rPr>
                <w:sz w:val="20"/>
                <w:szCs w:val="20"/>
              </w:rPr>
            </w:pPr>
            <w:r w:rsidRPr="00E02882">
              <w:t>IaC</w:t>
            </w:r>
          </w:p>
        </w:tc>
        <w:tc>
          <w:tcPr>
            <w:tcW w:w="2150" w:type="dxa"/>
            <w:vAlign w:val="center"/>
          </w:tcPr>
          <w:p w14:paraId="620BF582" w14:textId="77777777" w:rsidR="002B4759" w:rsidRDefault="002B4759" w:rsidP="00257A7B">
            <w:pPr>
              <w:pStyle w:val="BodyText"/>
              <w:jc w:val="center"/>
              <w:rPr>
                <w:sz w:val="20"/>
                <w:szCs w:val="20"/>
              </w:rPr>
            </w:pPr>
            <w:r w:rsidRPr="00E02882">
              <w:t>At deployment</w:t>
            </w:r>
          </w:p>
        </w:tc>
      </w:tr>
      <w:tr w:rsidR="002B4759" w:rsidRPr="002348C5" w14:paraId="650D8913" w14:textId="77777777" w:rsidTr="00257A7B">
        <w:trPr>
          <w:trHeight w:val="290"/>
        </w:trPr>
        <w:tc>
          <w:tcPr>
            <w:tcW w:w="728" w:type="dxa"/>
            <w:noWrap/>
            <w:vAlign w:val="center"/>
            <w:hideMark/>
          </w:tcPr>
          <w:p w14:paraId="5D5D1416" w14:textId="77777777" w:rsidR="002B4759" w:rsidRPr="002348C5" w:rsidRDefault="002B4759" w:rsidP="00257A7B">
            <w:pPr>
              <w:pStyle w:val="BodyText"/>
              <w:rPr>
                <w:b/>
                <w:bCs/>
              </w:rPr>
            </w:pPr>
            <w:r w:rsidRPr="002348C5">
              <w:rPr>
                <w:b/>
                <w:bCs/>
              </w:rPr>
              <w:t>R3</w:t>
            </w:r>
          </w:p>
        </w:tc>
        <w:tc>
          <w:tcPr>
            <w:tcW w:w="2431" w:type="dxa"/>
          </w:tcPr>
          <w:p w14:paraId="56D87ECF" w14:textId="77777777" w:rsidR="002B4759" w:rsidRPr="002348C5" w:rsidRDefault="002B4759" w:rsidP="00257A7B">
            <w:pPr>
              <w:pStyle w:val="BodyText"/>
              <w:rPr>
                <w:sz w:val="20"/>
                <w:szCs w:val="20"/>
              </w:rPr>
            </w:pPr>
            <w:r w:rsidRPr="00C36E10">
              <w:t>Avoid service limits for alert rules that produce large scale notifications.</w:t>
            </w:r>
          </w:p>
        </w:tc>
        <w:tc>
          <w:tcPr>
            <w:tcW w:w="1543" w:type="dxa"/>
            <w:noWrap/>
            <w:vAlign w:val="center"/>
          </w:tcPr>
          <w:p w14:paraId="4A85BDD7" w14:textId="77777777" w:rsidR="002B4759" w:rsidRPr="00E02882" w:rsidRDefault="002B4759" w:rsidP="00257A7B">
            <w:pPr>
              <w:pStyle w:val="BodyText"/>
              <w:jc w:val="center"/>
            </w:pPr>
            <w:r w:rsidRPr="00E02882">
              <w:t>Yes</w:t>
            </w:r>
          </w:p>
        </w:tc>
        <w:tc>
          <w:tcPr>
            <w:tcW w:w="1470" w:type="dxa"/>
            <w:noWrap/>
            <w:vAlign w:val="center"/>
          </w:tcPr>
          <w:p w14:paraId="07D0B780" w14:textId="77777777" w:rsidR="002B4759" w:rsidRPr="00E02882" w:rsidRDefault="002B4759" w:rsidP="00257A7B">
            <w:pPr>
              <w:pStyle w:val="BodyText"/>
              <w:jc w:val="center"/>
            </w:pPr>
            <w:r w:rsidRPr="00E02882">
              <w:t>No</w:t>
            </w:r>
          </w:p>
        </w:tc>
        <w:tc>
          <w:tcPr>
            <w:tcW w:w="1459" w:type="dxa"/>
            <w:vAlign w:val="center"/>
          </w:tcPr>
          <w:p w14:paraId="6D1C6D88" w14:textId="77777777" w:rsidR="002B4759" w:rsidRPr="00E02882" w:rsidRDefault="002B4759" w:rsidP="00257A7B">
            <w:pPr>
              <w:pStyle w:val="BodyText"/>
              <w:jc w:val="center"/>
            </w:pPr>
            <w:r w:rsidRPr="00E02882">
              <w:t>Governance</w:t>
            </w:r>
          </w:p>
        </w:tc>
        <w:tc>
          <w:tcPr>
            <w:tcW w:w="2150" w:type="dxa"/>
            <w:vAlign w:val="center"/>
          </w:tcPr>
          <w:p w14:paraId="76A2F7E8" w14:textId="77777777" w:rsidR="002B4759" w:rsidRPr="00E02882" w:rsidRDefault="002B4759" w:rsidP="00257A7B">
            <w:pPr>
              <w:pStyle w:val="BodyText"/>
              <w:jc w:val="center"/>
            </w:pPr>
            <w:r w:rsidRPr="00E02882">
              <w:t>Operational – during deployment</w:t>
            </w:r>
          </w:p>
        </w:tc>
      </w:tr>
    </w:tbl>
    <w:p w14:paraId="174B4345" w14:textId="2D3F9136" w:rsidR="00441740" w:rsidRDefault="00441740" w:rsidP="00441740">
      <w:pPr>
        <w:pStyle w:val="BodyText"/>
      </w:pPr>
    </w:p>
    <w:bookmarkStart w:id="5" w:name="_Toc151034062"/>
    <w:p w14:paraId="62F7A863" w14:textId="66995D0D" w:rsidR="00321045" w:rsidRDefault="00000000" w:rsidP="00321045">
      <w:pPr>
        <w:pStyle w:val="Heading3"/>
        <w:numPr>
          <w:ilvl w:val="2"/>
          <w:numId w:val="7"/>
        </w:numPr>
      </w:pPr>
      <w:sdt>
        <w:sdtPr>
          <w:alias w:val="Category"/>
          <w:tag w:val=""/>
          <w:id w:val="858239552"/>
          <w:placeholder>
            <w:docPart w:val="66389BDD1B5F416BB9807367F387F00D"/>
          </w:placeholder>
          <w:dataBinding w:prefixMappings="xmlns:ns0='http://purl.org/dc/elements/1.1/' xmlns:ns1='http://schemas.openxmlformats.org/package/2006/metadata/core-properties' " w:xpath="/ns1:coreProperties[1]/ns1:category[1]" w:storeItemID="{6C3C8BC8-F283-45AE-878A-BAB7291924A1}"/>
          <w:text/>
        </w:sdtPr>
        <w:sdtContent>
          <w:r w:rsidR="00321045">
            <w:t>Azure Monitor and Insights, Log Analytics Workspace and Alerting Combined</w:t>
          </w:r>
        </w:sdtContent>
      </w:sdt>
      <w:r w:rsidR="00321045">
        <w:t xml:space="preserve"> </w:t>
      </w:r>
      <w:r w:rsidR="00321045" w:rsidRPr="00304E7D">
        <w:rPr>
          <w:highlight w:val="yellow"/>
        </w:rPr>
        <w:t>Cost Optimisation</w:t>
      </w:r>
      <w:r w:rsidR="00321045">
        <w:t xml:space="preserve"> Checklist</w:t>
      </w:r>
      <w:bookmarkEnd w:id="5"/>
    </w:p>
    <w:tbl>
      <w:tblPr>
        <w:tblStyle w:val="AVTable1"/>
        <w:tblW w:w="9639" w:type="dxa"/>
        <w:tblLook w:val="04A0" w:firstRow="1" w:lastRow="0" w:firstColumn="1" w:lastColumn="0" w:noHBand="0" w:noVBand="1"/>
      </w:tblPr>
      <w:tblGrid>
        <w:gridCol w:w="706"/>
        <w:gridCol w:w="2475"/>
        <w:gridCol w:w="1445"/>
        <w:gridCol w:w="1496"/>
        <w:gridCol w:w="1521"/>
        <w:gridCol w:w="1996"/>
      </w:tblGrid>
      <w:tr w:rsidR="00321045" w:rsidRPr="00AD107B" w14:paraId="376EF517" w14:textId="77777777" w:rsidTr="00321045">
        <w:trPr>
          <w:cnfStyle w:val="100000000000" w:firstRow="1" w:lastRow="0" w:firstColumn="0" w:lastColumn="0" w:oddVBand="0" w:evenVBand="0" w:oddHBand="0" w:evenHBand="0" w:firstRowFirstColumn="0" w:firstRowLastColumn="0" w:lastRowFirstColumn="0" w:lastRowLastColumn="0"/>
          <w:trHeight w:val="290"/>
        </w:trPr>
        <w:tc>
          <w:tcPr>
            <w:tcW w:w="690" w:type="dxa"/>
            <w:tcBorders>
              <w:bottom w:val="single" w:sz="4" w:space="0" w:color="002776"/>
            </w:tcBorders>
            <w:noWrap/>
            <w:hideMark/>
          </w:tcPr>
          <w:p w14:paraId="5203DB78" w14:textId="77777777" w:rsidR="00321045" w:rsidRPr="00AD107B" w:rsidRDefault="00321045" w:rsidP="00257A7B">
            <w:pPr>
              <w:pStyle w:val="BodyText"/>
              <w:rPr>
                <w:bCs/>
                <w:color w:val="FFFFFF" w:themeColor="background1"/>
              </w:rPr>
            </w:pPr>
            <w:r w:rsidRPr="00AD107B">
              <w:rPr>
                <w:bCs/>
                <w:color w:val="FFFFFF" w:themeColor="background1"/>
              </w:rPr>
              <w:t>ID</w:t>
            </w:r>
          </w:p>
        </w:tc>
        <w:tc>
          <w:tcPr>
            <w:tcW w:w="2507" w:type="dxa"/>
            <w:tcBorders>
              <w:bottom w:val="single" w:sz="4" w:space="0" w:color="002776"/>
            </w:tcBorders>
            <w:hideMark/>
          </w:tcPr>
          <w:p w14:paraId="79076DF2" w14:textId="77777777" w:rsidR="00321045" w:rsidRPr="00AD107B" w:rsidRDefault="00321045" w:rsidP="00257A7B">
            <w:pPr>
              <w:pStyle w:val="BodyText"/>
              <w:rPr>
                <w:bCs/>
                <w:color w:val="FFFFFF" w:themeColor="background1"/>
              </w:rPr>
            </w:pPr>
            <w:r w:rsidRPr="00AD107B">
              <w:rPr>
                <w:bCs/>
                <w:color w:val="FFFFFF" w:themeColor="background1"/>
              </w:rPr>
              <w:t>Checklist Item</w:t>
            </w:r>
          </w:p>
        </w:tc>
        <w:tc>
          <w:tcPr>
            <w:tcW w:w="1429" w:type="dxa"/>
            <w:tcBorders>
              <w:bottom w:val="single" w:sz="4" w:space="0" w:color="002776"/>
            </w:tcBorders>
            <w:noWrap/>
            <w:hideMark/>
          </w:tcPr>
          <w:p w14:paraId="2D11D793" w14:textId="77777777" w:rsidR="00321045" w:rsidRPr="00AD107B" w:rsidRDefault="00321045" w:rsidP="00257A7B">
            <w:pPr>
              <w:pStyle w:val="BodyText"/>
              <w:jc w:val="center"/>
              <w:rPr>
                <w:bCs/>
                <w:color w:val="FFFFFF" w:themeColor="background1"/>
              </w:rPr>
            </w:pPr>
            <w:r w:rsidRPr="00AD107B">
              <w:rPr>
                <w:bCs/>
                <w:color w:val="FFFFFF" w:themeColor="background1"/>
              </w:rPr>
              <w:t>Applicable to AV</w:t>
            </w:r>
          </w:p>
        </w:tc>
        <w:tc>
          <w:tcPr>
            <w:tcW w:w="1480" w:type="dxa"/>
            <w:noWrap/>
            <w:hideMark/>
          </w:tcPr>
          <w:p w14:paraId="2087E338" w14:textId="77777777" w:rsidR="00321045" w:rsidRPr="00AD107B" w:rsidRDefault="00321045" w:rsidP="00257A7B">
            <w:pPr>
              <w:pStyle w:val="BodyText"/>
              <w:jc w:val="center"/>
              <w:rPr>
                <w:bCs/>
                <w:color w:val="FFFFFF" w:themeColor="background1"/>
              </w:rPr>
            </w:pPr>
            <w:r w:rsidRPr="00AD107B">
              <w:rPr>
                <w:bCs/>
                <w:color w:val="FFFFFF" w:themeColor="background1"/>
              </w:rPr>
              <w:t>Built Into Template</w:t>
            </w:r>
          </w:p>
        </w:tc>
        <w:tc>
          <w:tcPr>
            <w:tcW w:w="1521" w:type="dxa"/>
          </w:tcPr>
          <w:p w14:paraId="18249365" w14:textId="77777777" w:rsidR="00321045" w:rsidRPr="00AD107B" w:rsidRDefault="00321045" w:rsidP="00257A7B">
            <w:pPr>
              <w:pStyle w:val="BodyText"/>
              <w:jc w:val="center"/>
              <w:rPr>
                <w:color w:val="FFFFFF" w:themeColor="background1"/>
              </w:rPr>
            </w:pPr>
            <w:r w:rsidRPr="00AD107B">
              <w:rPr>
                <w:color w:val="FFFFFF" w:themeColor="background1"/>
              </w:rPr>
              <w:t>Enforcement Option</w:t>
            </w:r>
          </w:p>
        </w:tc>
        <w:tc>
          <w:tcPr>
            <w:tcW w:w="2012" w:type="dxa"/>
          </w:tcPr>
          <w:p w14:paraId="4E373812" w14:textId="77777777" w:rsidR="00321045" w:rsidRPr="00AD107B" w:rsidRDefault="00321045" w:rsidP="00257A7B">
            <w:pPr>
              <w:pStyle w:val="BodyText"/>
              <w:jc w:val="center"/>
              <w:rPr>
                <w:color w:val="FFFFFF" w:themeColor="background1"/>
              </w:rPr>
            </w:pPr>
            <w:r w:rsidRPr="00AD107B">
              <w:rPr>
                <w:color w:val="FFFFFF" w:themeColor="background1"/>
              </w:rPr>
              <w:t>Applicability</w:t>
            </w:r>
          </w:p>
        </w:tc>
      </w:tr>
      <w:tr w:rsidR="00321045" w:rsidRPr="00AD107B" w14:paraId="3AAA7A37" w14:textId="77777777" w:rsidTr="00321045">
        <w:trPr>
          <w:trHeight w:val="290"/>
        </w:trPr>
        <w:tc>
          <w:tcPr>
            <w:tcW w:w="690" w:type="dxa"/>
            <w:tcBorders>
              <w:bottom w:val="single" w:sz="4" w:space="0" w:color="auto"/>
            </w:tcBorders>
            <w:noWrap/>
            <w:vAlign w:val="center"/>
            <w:hideMark/>
          </w:tcPr>
          <w:p w14:paraId="36BD3212" w14:textId="77777777" w:rsidR="00321045" w:rsidRPr="00AD107B" w:rsidRDefault="00321045" w:rsidP="00257A7B">
            <w:pPr>
              <w:pStyle w:val="BodyText"/>
              <w:rPr>
                <w:b/>
                <w:bCs/>
              </w:rPr>
            </w:pPr>
            <w:r w:rsidRPr="00AD107B">
              <w:rPr>
                <w:b/>
                <w:bCs/>
              </w:rPr>
              <w:t>CO1</w:t>
            </w:r>
          </w:p>
        </w:tc>
        <w:tc>
          <w:tcPr>
            <w:tcW w:w="2507" w:type="dxa"/>
            <w:tcBorders>
              <w:bottom w:val="single" w:sz="4" w:space="0" w:color="auto"/>
            </w:tcBorders>
            <w:vAlign w:val="center"/>
          </w:tcPr>
          <w:p w14:paraId="1336B7A8" w14:textId="77777777" w:rsidR="00321045" w:rsidRPr="00AD107B" w:rsidRDefault="00321045" w:rsidP="00257A7B">
            <w:pPr>
              <w:pStyle w:val="BodyText"/>
            </w:pPr>
            <w:r w:rsidRPr="00AD107B">
              <w:t>Keep in mind that activity log alerts, service health alerts, and resource health alerts are free of charge.</w:t>
            </w:r>
          </w:p>
        </w:tc>
        <w:tc>
          <w:tcPr>
            <w:tcW w:w="1429" w:type="dxa"/>
            <w:tcBorders>
              <w:bottom w:val="single" w:sz="4" w:space="0" w:color="auto"/>
            </w:tcBorders>
            <w:noWrap/>
            <w:vAlign w:val="center"/>
          </w:tcPr>
          <w:p w14:paraId="353056B6" w14:textId="77777777" w:rsidR="00321045" w:rsidRPr="00AD107B" w:rsidRDefault="00321045" w:rsidP="00257A7B">
            <w:pPr>
              <w:pStyle w:val="BodyText"/>
              <w:jc w:val="center"/>
            </w:pPr>
            <w:r w:rsidRPr="00AD107B">
              <w:t>Yes</w:t>
            </w:r>
          </w:p>
        </w:tc>
        <w:tc>
          <w:tcPr>
            <w:tcW w:w="1480" w:type="dxa"/>
            <w:noWrap/>
            <w:vAlign w:val="center"/>
          </w:tcPr>
          <w:p w14:paraId="1A7B642E" w14:textId="77777777" w:rsidR="00321045" w:rsidRPr="00AD107B" w:rsidRDefault="00321045" w:rsidP="00257A7B">
            <w:pPr>
              <w:pStyle w:val="BodyText"/>
              <w:jc w:val="center"/>
            </w:pPr>
            <w:r w:rsidRPr="00AD107B">
              <w:t>No</w:t>
            </w:r>
          </w:p>
        </w:tc>
        <w:tc>
          <w:tcPr>
            <w:tcW w:w="1521" w:type="dxa"/>
            <w:vAlign w:val="center"/>
          </w:tcPr>
          <w:p w14:paraId="0ABEE6F2" w14:textId="77777777" w:rsidR="00321045" w:rsidRPr="00AD107B" w:rsidRDefault="00321045" w:rsidP="00257A7B">
            <w:pPr>
              <w:pStyle w:val="BodyText"/>
              <w:jc w:val="center"/>
            </w:pPr>
            <w:r w:rsidRPr="00AD107B">
              <w:t>N/A</w:t>
            </w:r>
          </w:p>
        </w:tc>
        <w:tc>
          <w:tcPr>
            <w:tcW w:w="2012" w:type="dxa"/>
            <w:vAlign w:val="center"/>
          </w:tcPr>
          <w:p w14:paraId="58AE8829" w14:textId="77777777" w:rsidR="00321045" w:rsidRPr="00AD107B" w:rsidRDefault="00321045" w:rsidP="00257A7B">
            <w:pPr>
              <w:pStyle w:val="BodyText"/>
              <w:jc w:val="center"/>
            </w:pPr>
            <w:r w:rsidRPr="00AD107B">
              <w:t>N/A</w:t>
            </w:r>
          </w:p>
        </w:tc>
      </w:tr>
      <w:tr w:rsidR="00321045" w:rsidRPr="00AD107B" w14:paraId="63D0A8B9" w14:textId="77777777" w:rsidTr="00321045">
        <w:trPr>
          <w:trHeight w:val="290"/>
        </w:trPr>
        <w:tc>
          <w:tcPr>
            <w:tcW w:w="690" w:type="dxa"/>
            <w:tcBorders>
              <w:top w:val="single" w:sz="4" w:space="0" w:color="auto"/>
            </w:tcBorders>
            <w:noWrap/>
            <w:vAlign w:val="center"/>
            <w:hideMark/>
          </w:tcPr>
          <w:p w14:paraId="391F6A58" w14:textId="77777777" w:rsidR="00321045" w:rsidRPr="00AD107B" w:rsidRDefault="00321045" w:rsidP="00257A7B">
            <w:pPr>
              <w:pStyle w:val="BodyText"/>
              <w:rPr>
                <w:b/>
                <w:bCs/>
              </w:rPr>
            </w:pPr>
            <w:r w:rsidRPr="00AD107B">
              <w:rPr>
                <w:b/>
                <w:bCs/>
              </w:rPr>
              <w:t>CO2</w:t>
            </w:r>
          </w:p>
        </w:tc>
        <w:tc>
          <w:tcPr>
            <w:tcW w:w="2507" w:type="dxa"/>
            <w:tcBorders>
              <w:top w:val="single" w:sz="4" w:space="0" w:color="auto"/>
            </w:tcBorders>
            <w:vAlign w:val="center"/>
          </w:tcPr>
          <w:p w14:paraId="053F8E0F" w14:textId="77777777" w:rsidR="00321045" w:rsidRPr="00AD107B" w:rsidRDefault="00321045" w:rsidP="00257A7B">
            <w:pPr>
              <w:pStyle w:val="BodyText"/>
            </w:pPr>
            <w:r w:rsidRPr="00AD107B">
              <w:t>When using log search alerts, minimize log search alert frequency.</w:t>
            </w:r>
          </w:p>
        </w:tc>
        <w:tc>
          <w:tcPr>
            <w:tcW w:w="1429" w:type="dxa"/>
            <w:tcBorders>
              <w:top w:val="single" w:sz="4" w:space="0" w:color="auto"/>
            </w:tcBorders>
            <w:noWrap/>
            <w:vAlign w:val="center"/>
          </w:tcPr>
          <w:p w14:paraId="723991FD" w14:textId="77777777" w:rsidR="00321045" w:rsidRPr="00AD107B" w:rsidRDefault="00321045" w:rsidP="00257A7B">
            <w:pPr>
              <w:pStyle w:val="BodyText"/>
              <w:jc w:val="center"/>
            </w:pPr>
            <w:r w:rsidRPr="00AD107B">
              <w:t>Yes</w:t>
            </w:r>
          </w:p>
        </w:tc>
        <w:tc>
          <w:tcPr>
            <w:tcW w:w="1480" w:type="dxa"/>
            <w:noWrap/>
            <w:vAlign w:val="center"/>
          </w:tcPr>
          <w:p w14:paraId="25A28E1F" w14:textId="77777777" w:rsidR="00321045" w:rsidRPr="00AD107B" w:rsidRDefault="00321045" w:rsidP="00257A7B">
            <w:pPr>
              <w:pStyle w:val="BodyText"/>
              <w:jc w:val="center"/>
            </w:pPr>
            <w:r w:rsidRPr="00AD107B">
              <w:t>No</w:t>
            </w:r>
          </w:p>
        </w:tc>
        <w:tc>
          <w:tcPr>
            <w:tcW w:w="1521" w:type="dxa"/>
            <w:vAlign w:val="center"/>
          </w:tcPr>
          <w:p w14:paraId="683314CD" w14:textId="77777777" w:rsidR="00321045" w:rsidRPr="00AD107B" w:rsidRDefault="00321045" w:rsidP="00257A7B">
            <w:pPr>
              <w:pStyle w:val="BodyText"/>
              <w:jc w:val="center"/>
            </w:pPr>
            <w:r w:rsidRPr="00AD107B">
              <w:t>Governance</w:t>
            </w:r>
          </w:p>
        </w:tc>
        <w:tc>
          <w:tcPr>
            <w:tcW w:w="2012" w:type="dxa"/>
            <w:vAlign w:val="center"/>
          </w:tcPr>
          <w:p w14:paraId="0AB1D8A3" w14:textId="77777777" w:rsidR="00321045" w:rsidRPr="00AD107B" w:rsidRDefault="00321045" w:rsidP="00257A7B">
            <w:pPr>
              <w:pStyle w:val="BodyText"/>
              <w:jc w:val="center"/>
            </w:pPr>
            <w:r w:rsidRPr="00AD107B">
              <w:t>Operational</w:t>
            </w:r>
          </w:p>
        </w:tc>
      </w:tr>
      <w:tr w:rsidR="00321045" w:rsidRPr="00AD107B" w14:paraId="3CB9E8D7" w14:textId="77777777" w:rsidTr="00321045">
        <w:trPr>
          <w:trHeight w:val="290"/>
        </w:trPr>
        <w:tc>
          <w:tcPr>
            <w:tcW w:w="690" w:type="dxa"/>
            <w:noWrap/>
            <w:vAlign w:val="center"/>
            <w:hideMark/>
          </w:tcPr>
          <w:p w14:paraId="56E5B44C" w14:textId="77777777" w:rsidR="00321045" w:rsidRPr="00AD107B" w:rsidRDefault="00321045" w:rsidP="00257A7B">
            <w:pPr>
              <w:pStyle w:val="BodyText"/>
              <w:rPr>
                <w:b/>
                <w:bCs/>
              </w:rPr>
            </w:pPr>
            <w:r w:rsidRPr="00AD107B">
              <w:rPr>
                <w:b/>
                <w:bCs/>
              </w:rPr>
              <w:t>CO3</w:t>
            </w:r>
          </w:p>
        </w:tc>
        <w:tc>
          <w:tcPr>
            <w:tcW w:w="2507" w:type="dxa"/>
            <w:vAlign w:val="center"/>
          </w:tcPr>
          <w:p w14:paraId="4542A173" w14:textId="77777777" w:rsidR="00321045" w:rsidRPr="00AD107B" w:rsidRDefault="00321045" w:rsidP="00257A7B">
            <w:pPr>
              <w:spacing w:line="240" w:lineRule="auto"/>
              <w:rPr>
                <w:rFonts w:ascii="Segoe UI" w:hAnsi="Segoe UI" w:cs="Segoe UI"/>
                <w:color w:val="161616"/>
              </w:rPr>
            </w:pPr>
            <w:r w:rsidRPr="00AD107B">
              <w:t>When using metric alerts, minimize the number of resources being monitored.</w:t>
            </w:r>
          </w:p>
        </w:tc>
        <w:tc>
          <w:tcPr>
            <w:tcW w:w="1429" w:type="dxa"/>
            <w:noWrap/>
            <w:vAlign w:val="center"/>
          </w:tcPr>
          <w:p w14:paraId="28388A73" w14:textId="77777777" w:rsidR="00321045" w:rsidRPr="00AD107B" w:rsidRDefault="00321045" w:rsidP="00257A7B">
            <w:pPr>
              <w:pStyle w:val="BodyText"/>
              <w:jc w:val="center"/>
            </w:pPr>
            <w:r w:rsidRPr="00AD107B">
              <w:t>Yes</w:t>
            </w:r>
          </w:p>
        </w:tc>
        <w:tc>
          <w:tcPr>
            <w:tcW w:w="1480" w:type="dxa"/>
            <w:noWrap/>
            <w:vAlign w:val="center"/>
          </w:tcPr>
          <w:p w14:paraId="1C24372B" w14:textId="77777777" w:rsidR="00321045" w:rsidRPr="00AD107B" w:rsidRDefault="00321045" w:rsidP="00257A7B">
            <w:pPr>
              <w:pStyle w:val="BodyText"/>
              <w:jc w:val="center"/>
            </w:pPr>
            <w:r w:rsidRPr="00AD107B">
              <w:t>No</w:t>
            </w:r>
          </w:p>
        </w:tc>
        <w:tc>
          <w:tcPr>
            <w:tcW w:w="1521" w:type="dxa"/>
            <w:vAlign w:val="center"/>
          </w:tcPr>
          <w:p w14:paraId="34653AD9" w14:textId="77777777" w:rsidR="00321045" w:rsidRPr="00AD107B" w:rsidRDefault="00321045" w:rsidP="00257A7B">
            <w:pPr>
              <w:pStyle w:val="BodyText"/>
              <w:jc w:val="center"/>
            </w:pPr>
            <w:r w:rsidRPr="00AD107B">
              <w:t>IaC for recommended services, Governance</w:t>
            </w:r>
          </w:p>
        </w:tc>
        <w:tc>
          <w:tcPr>
            <w:tcW w:w="2012" w:type="dxa"/>
            <w:vAlign w:val="center"/>
          </w:tcPr>
          <w:p w14:paraId="2A8F6296" w14:textId="77777777" w:rsidR="00321045" w:rsidRPr="00AD107B" w:rsidRDefault="00321045" w:rsidP="00257A7B">
            <w:pPr>
              <w:pStyle w:val="BodyText"/>
              <w:keepNext/>
              <w:jc w:val="center"/>
            </w:pPr>
            <w:r w:rsidRPr="00AD107B">
              <w:t>At deployment default alerts are deployed</w:t>
            </w:r>
          </w:p>
          <w:p w14:paraId="59C5E078" w14:textId="77777777" w:rsidR="00321045" w:rsidRPr="00AD107B" w:rsidRDefault="00321045" w:rsidP="00257A7B">
            <w:pPr>
              <w:pStyle w:val="BodyText"/>
              <w:keepNext/>
              <w:jc w:val="center"/>
            </w:pPr>
          </w:p>
          <w:p w14:paraId="17413C7B" w14:textId="77777777" w:rsidR="00321045" w:rsidRPr="00AD107B" w:rsidRDefault="00321045" w:rsidP="00257A7B">
            <w:pPr>
              <w:pStyle w:val="BodyText"/>
              <w:keepNext/>
              <w:jc w:val="center"/>
            </w:pPr>
            <w:r w:rsidRPr="00AD107B">
              <w:t>Operationally avoid creating too many metric alerts for extra resources</w:t>
            </w:r>
          </w:p>
        </w:tc>
      </w:tr>
      <w:tr w:rsidR="00321045" w14:paraId="6C3D8AB2" w14:textId="77777777" w:rsidTr="00321045">
        <w:trPr>
          <w:trHeight w:val="290"/>
        </w:trPr>
        <w:tc>
          <w:tcPr>
            <w:tcW w:w="690" w:type="dxa"/>
            <w:noWrap/>
            <w:hideMark/>
          </w:tcPr>
          <w:p w14:paraId="27B9205B" w14:textId="77777777" w:rsidR="00321045" w:rsidRPr="002348C5" w:rsidRDefault="00321045" w:rsidP="00257A7B">
            <w:pPr>
              <w:pStyle w:val="BodyText"/>
              <w:rPr>
                <w:b/>
                <w:bCs/>
              </w:rPr>
            </w:pPr>
            <w:r>
              <w:rPr>
                <w:b/>
                <w:bCs/>
              </w:rPr>
              <w:t>CO1</w:t>
            </w:r>
          </w:p>
        </w:tc>
        <w:tc>
          <w:tcPr>
            <w:tcW w:w="2507" w:type="dxa"/>
          </w:tcPr>
          <w:p w14:paraId="041AFD0F" w14:textId="77777777" w:rsidR="00321045" w:rsidRPr="002348C5" w:rsidRDefault="00321045" w:rsidP="00257A7B">
            <w:pPr>
              <w:pStyle w:val="BodyText"/>
              <w:rPr>
                <w:sz w:val="20"/>
                <w:szCs w:val="20"/>
              </w:rPr>
            </w:pPr>
            <w:r>
              <w:rPr>
                <w:rFonts w:ascii="Calibri" w:hAnsi="Calibri" w:cs="Calibri"/>
                <w:color w:val="000000"/>
              </w:rPr>
              <w:t xml:space="preserve">Consider adoption of the Commitment Tiers pricing model to the Log Analytics workspace. </w:t>
            </w:r>
          </w:p>
        </w:tc>
        <w:tc>
          <w:tcPr>
            <w:tcW w:w="1429" w:type="dxa"/>
            <w:noWrap/>
          </w:tcPr>
          <w:p w14:paraId="1A6ACC31" w14:textId="77777777" w:rsidR="00321045" w:rsidRPr="002348C5" w:rsidRDefault="00321045" w:rsidP="00257A7B">
            <w:pPr>
              <w:pStyle w:val="BodyText"/>
              <w:jc w:val="center"/>
              <w:rPr>
                <w:sz w:val="20"/>
                <w:szCs w:val="20"/>
              </w:rPr>
            </w:pPr>
            <w:r>
              <w:rPr>
                <w:sz w:val="20"/>
                <w:szCs w:val="20"/>
              </w:rPr>
              <w:t>Yes</w:t>
            </w:r>
          </w:p>
        </w:tc>
        <w:tc>
          <w:tcPr>
            <w:tcW w:w="1480" w:type="dxa"/>
            <w:noWrap/>
          </w:tcPr>
          <w:p w14:paraId="0E283FEE" w14:textId="77777777" w:rsidR="00321045" w:rsidRPr="002348C5" w:rsidRDefault="00321045" w:rsidP="00257A7B">
            <w:pPr>
              <w:pStyle w:val="BodyText"/>
              <w:jc w:val="center"/>
              <w:rPr>
                <w:sz w:val="20"/>
                <w:szCs w:val="20"/>
              </w:rPr>
            </w:pPr>
            <w:r>
              <w:rPr>
                <w:sz w:val="20"/>
                <w:szCs w:val="20"/>
              </w:rPr>
              <w:t>No</w:t>
            </w:r>
          </w:p>
        </w:tc>
        <w:tc>
          <w:tcPr>
            <w:tcW w:w="1521" w:type="dxa"/>
          </w:tcPr>
          <w:p w14:paraId="392955EB" w14:textId="77777777" w:rsidR="00321045" w:rsidRDefault="00321045" w:rsidP="00257A7B">
            <w:pPr>
              <w:pStyle w:val="BodyText"/>
              <w:jc w:val="center"/>
              <w:rPr>
                <w:sz w:val="20"/>
                <w:szCs w:val="20"/>
              </w:rPr>
            </w:pPr>
            <w:r>
              <w:rPr>
                <w:sz w:val="20"/>
                <w:szCs w:val="20"/>
              </w:rPr>
              <w:t>Governance</w:t>
            </w:r>
          </w:p>
        </w:tc>
        <w:tc>
          <w:tcPr>
            <w:tcW w:w="2012" w:type="dxa"/>
          </w:tcPr>
          <w:p w14:paraId="01D1E4A7" w14:textId="77777777" w:rsidR="00321045" w:rsidRDefault="00321045" w:rsidP="00257A7B">
            <w:pPr>
              <w:pStyle w:val="BodyText"/>
              <w:jc w:val="center"/>
              <w:rPr>
                <w:sz w:val="20"/>
                <w:szCs w:val="20"/>
              </w:rPr>
            </w:pPr>
            <w:r>
              <w:rPr>
                <w:sz w:val="20"/>
                <w:szCs w:val="20"/>
              </w:rPr>
              <w:t>Operational – review monthly</w:t>
            </w:r>
          </w:p>
        </w:tc>
      </w:tr>
      <w:tr w:rsidR="00321045" w14:paraId="5791AE29" w14:textId="77777777" w:rsidTr="00321045">
        <w:trPr>
          <w:trHeight w:val="290"/>
        </w:trPr>
        <w:tc>
          <w:tcPr>
            <w:tcW w:w="690" w:type="dxa"/>
            <w:noWrap/>
            <w:hideMark/>
          </w:tcPr>
          <w:p w14:paraId="0FFEB911" w14:textId="77777777" w:rsidR="00321045" w:rsidRPr="002348C5" w:rsidRDefault="00321045" w:rsidP="00257A7B">
            <w:pPr>
              <w:pStyle w:val="BodyText"/>
              <w:rPr>
                <w:b/>
                <w:bCs/>
              </w:rPr>
            </w:pPr>
            <w:r>
              <w:rPr>
                <w:b/>
                <w:bCs/>
              </w:rPr>
              <w:t>CO2</w:t>
            </w:r>
          </w:p>
        </w:tc>
        <w:tc>
          <w:tcPr>
            <w:tcW w:w="2507" w:type="dxa"/>
          </w:tcPr>
          <w:p w14:paraId="3A0E8908" w14:textId="77777777" w:rsidR="00321045" w:rsidRPr="002348C5" w:rsidRDefault="00321045" w:rsidP="00257A7B">
            <w:pPr>
              <w:pStyle w:val="BodyText"/>
              <w:rPr>
                <w:sz w:val="20"/>
                <w:szCs w:val="20"/>
              </w:rPr>
            </w:pPr>
            <w:r>
              <w:rPr>
                <w:rFonts w:ascii="Calibri" w:hAnsi="Calibri" w:cs="Calibri"/>
                <w:color w:val="000000"/>
              </w:rPr>
              <w:t xml:space="preserve">Evaluate daily cap usage to limit the daily ingestion for your workspace. </w:t>
            </w:r>
          </w:p>
        </w:tc>
        <w:tc>
          <w:tcPr>
            <w:tcW w:w="1429" w:type="dxa"/>
            <w:noWrap/>
          </w:tcPr>
          <w:p w14:paraId="5AABD929" w14:textId="77777777" w:rsidR="00321045" w:rsidRPr="002348C5" w:rsidRDefault="00321045" w:rsidP="00257A7B">
            <w:pPr>
              <w:pStyle w:val="BodyText"/>
              <w:jc w:val="center"/>
              <w:rPr>
                <w:sz w:val="20"/>
                <w:szCs w:val="20"/>
              </w:rPr>
            </w:pPr>
            <w:r>
              <w:rPr>
                <w:sz w:val="20"/>
                <w:szCs w:val="20"/>
              </w:rPr>
              <w:t>Yes</w:t>
            </w:r>
          </w:p>
        </w:tc>
        <w:tc>
          <w:tcPr>
            <w:tcW w:w="1480" w:type="dxa"/>
            <w:noWrap/>
          </w:tcPr>
          <w:p w14:paraId="0DB6F142" w14:textId="77777777" w:rsidR="00321045" w:rsidRPr="002348C5" w:rsidRDefault="00321045" w:rsidP="00257A7B">
            <w:pPr>
              <w:pStyle w:val="BodyText"/>
              <w:jc w:val="center"/>
              <w:rPr>
                <w:sz w:val="20"/>
                <w:szCs w:val="20"/>
              </w:rPr>
            </w:pPr>
            <w:r>
              <w:rPr>
                <w:sz w:val="20"/>
                <w:szCs w:val="20"/>
              </w:rPr>
              <w:t>No</w:t>
            </w:r>
          </w:p>
        </w:tc>
        <w:tc>
          <w:tcPr>
            <w:tcW w:w="1521" w:type="dxa"/>
          </w:tcPr>
          <w:p w14:paraId="3E523204" w14:textId="77777777" w:rsidR="00321045" w:rsidRDefault="00321045" w:rsidP="00257A7B">
            <w:pPr>
              <w:pStyle w:val="BodyText"/>
              <w:jc w:val="center"/>
              <w:rPr>
                <w:sz w:val="20"/>
                <w:szCs w:val="20"/>
              </w:rPr>
            </w:pPr>
            <w:r>
              <w:rPr>
                <w:sz w:val="20"/>
                <w:szCs w:val="20"/>
              </w:rPr>
              <w:t>Governance</w:t>
            </w:r>
          </w:p>
        </w:tc>
        <w:tc>
          <w:tcPr>
            <w:tcW w:w="2012" w:type="dxa"/>
          </w:tcPr>
          <w:p w14:paraId="72559067" w14:textId="77777777" w:rsidR="00321045" w:rsidRDefault="00321045" w:rsidP="00257A7B">
            <w:pPr>
              <w:pStyle w:val="BodyText"/>
              <w:jc w:val="center"/>
              <w:rPr>
                <w:sz w:val="20"/>
                <w:szCs w:val="20"/>
              </w:rPr>
            </w:pPr>
            <w:r>
              <w:rPr>
                <w:sz w:val="20"/>
                <w:szCs w:val="20"/>
              </w:rPr>
              <w:t>Operational – review monthly</w:t>
            </w:r>
          </w:p>
        </w:tc>
      </w:tr>
      <w:tr w:rsidR="00321045" w14:paraId="6E6EF38B" w14:textId="77777777" w:rsidTr="00321045">
        <w:trPr>
          <w:trHeight w:val="290"/>
        </w:trPr>
        <w:tc>
          <w:tcPr>
            <w:tcW w:w="690" w:type="dxa"/>
            <w:noWrap/>
            <w:hideMark/>
          </w:tcPr>
          <w:p w14:paraId="0AD346B8" w14:textId="77777777" w:rsidR="00321045" w:rsidRPr="002348C5" w:rsidRDefault="00321045" w:rsidP="00257A7B">
            <w:pPr>
              <w:pStyle w:val="BodyText"/>
              <w:rPr>
                <w:b/>
                <w:bCs/>
              </w:rPr>
            </w:pPr>
            <w:r>
              <w:rPr>
                <w:b/>
                <w:bCs/>
              </w:rPr>
              <w:lastRenderedPageBreak/>
              <w:t>CO3</w:t>
            </w:r>
          </w:p>
        </w:tc>
        <w:tc>
          <w:tcPr>
            <w:tcW w:w="2507" w:type="dxa"/>
          </w:tcPr>
          <w:p w14:paraId="664CC2EE" w14:textId="77777777" w:rsidR="00321045" w:rsidRPr="008B7613" w:rsidRDefault="00321045" w:rsidP="00257A7B">
            <w:pPr>
              <w:spacing w:line="240" w:lineRule="auto"/>
              <w:rPr>
                <w:rFonts w:ascii="Segoe UI" w:hAnsi="Segoe UI" w:cs="Segoe UI"/>
                <w:color w:val="161616"/>
                <w:sz w:val="24"/>
                <w:szCs w:val="24"/>
              </w:rPr>
            </w:pPr>
            <w:r>
              <w:rPr>
                <w:rFonts w:ascii="Calibri" w:hAnsi="Calibri" w:cs="Calibri"/>
                <w:color w:val="000000"/>
              </w:rPr>
              <w:t xml:space="preserve">Understand Log Analytics workspace usage. </w:t>
            </w:r>
          </w:p>
        </w:tc>
        <w:tc>
          <w:tcPr>
            <w:tcW w:w="1429" w:type="dxa"/>
            <w:noWrap/>
          </w:tcPr>
          <w:p w14:paraId="29DF063E" w14:textId="77777777" w:rsidR="00321045" w:rsidRPr="002348C5" w:rsidRDefault="00321045" w:rsidP="00257A7B">
            <w:pPr>
              <w:pStyle w:val="BodyText"/>
              <w:jc w:val="center"/>
              <w:rPr>
                <w:sz w:val="20"/>
                <w:szCs w:val="20"/>
              </w:rPr>
            </w:pPr>
            <w:r>
              <w:rPr>
                <w:sz w:val="20"/>
                <w:szCs w:val="20"/>
              </w:rPr>
              <w:t>Yes</w:t>
            </w:r>
          </w:p>
        </w:tc>
        <w:tc>
          <w:tcPr>
            <w:tcW w:w="1480" w:type="dxa"/>
            <w:noWrap/>
          </w:tcPr>
          <w:p w14:paraId="6BFF53EF" w14:textId="77777777" w:rsidR="00321045" w:rsidRPr="002348C5" w:rsidRDefault="00321045" w:rsidP="00257A7B">
            <w:pPr>
              <w:pStyle w:val="BodyText"/>
              <w:jc w:val="center"/>
              <w:rPr>
                <w:sz w:val="20"/>
                <w:szCs w:val="20"/>
              </w:rPr>
            </w:pPr>
            <w:r>
              <w:rPr>
                <w:sz w:val="20"/>
                <w:szCs w:val="20"/>
              </w:rPr>
              <w:t>No</w:t>
            </w:r>
          </w:p>
        </w:tc>
        <w:tc>
          <w:tcPr>
            <w:tcW w:w="1521" w:type="dxa"/>
          </w:tcPr>
          <w:p w14:paraId="3D43E8BE" w14:textId="77777777" w:rsidR="00321045" w:rsidRDefault="00321045" w:rsidP="00257A7B">
            <w:pPr>
              <w:pStyle w:val="BodyText"/>
              <w:jc w:val="center"/>
              <w:rPr>
                <w:sz w:val="20"/>
                <w:szCs w:val="20"/>
              </w:rPr>
            </w:pPr>
            <w:r>
              <w:rPr>
                <w:sz w:val="20"/>
                <w:szCs w:val="20"/>
              </w:rPr>
              <w:t>Governance</w:t>
            </w:r>
          </w:p>
        </w:tc>
        <w:tc>
          <w:tcPr>
            <w:tcW w:w="2012" w:type="dxa"/>
          </w:tcPr>
          <w:p w14:paraId="714490AB" w14:textId="77777777" w:rsidR="00321045" w:rsidRDefault="00321045" w:rsidP="00257A7B">
            <w:pPr>
              <w:pStyle w:val="BodyText"/>
              <w:jc w:val="center"/>
              <w:rPr>
                <w:sz w:val="20"/>
                <w:szCs w:val="20"/>
              </w:rPr>
            </w:pPr>
            <w:r>
              <w:rPr>
                <w:sz w:val="20"/>
                <w:szCs w:val="20"/>
              </w:rPr>
              <w:t>Operational</w:t>
            </w:r>
          </w:p>
        </w:tc>
      </w:tr>
      <w:tr w:rsidR="00321045" w14:paraId="73E5501F" w14:textId="77777777" w:rsidTr="00321045">
        <w:trPr>
          <w:trHeight w:val="290"/>
        </w:trPr>
        <w:tc>
          <w:tcPr>
            <w:tcW w:w="690" w:type="dxa"/>
            <w:noWrap/>
            <w:hideMark/>
          </w:tcPr>
          <w:p w14:paraId="31820C6A" w14:textId="77777777" w:rsidR="00321045" w:rsidRPr="002348C5" w:rsidRDefault="00321045" w:rsidP="00257A7B">
            <w:pPr>
              <w:pStyle w:val="BodyText"/>
              <w:rPr>
                <w:b/>
                <w:bCs/>
              </w:rPr>
            </w:pPr>
            <w:r>
              <w:rPr>
                <w:b/>
                <w:bCs/>
              </w:rPr>
              <w:t>CO4</w:t>
            </w:r>
          </w:p>
        </w:tc>
        <w:tc>
          <w:tcPr>
            <w:tcW w:w="2507" w:type="dxa"/>
          </w:tcPr>
          <w:p w14:paraId="65230E28" w14:textId="77777777" w:rsidR="00321045" w:rsidRPr="008B7613" w:rsidRDefault="00321045" w:rsidP="00257A7B">
            <w:pPr>
              <w:spacing w:line="240" w:lineRule="auto"/>
              <w:rPr>
                <w:rFonts w:ascii="Segoe UI" w:hAnsi="Segoe UI" w:cs="Segoe UI"/>
                <w:color w:val="161616"/>
                <w:sz w:val="24"/>
                <w:szCs w:val="24"/>
              </w:rPr>
            </w:pPr>
            <w:r>
              <w:rPr>
                <w:rFonts w:ascii="Calibri" w:hAnsi="Calibri" w:cs="Calibri"/>
                <w:color w:val="000000"/>
              </w:rPr>
              <w:t xml:space="preserve">Evaluate possible data ingestion volume reducing. </w:t>
            </w:r>
          </w:p>
        </w:tc>
        <w:tc>
          <w:tcPr>
            <w:tcW w:w="1429" w:type="dxa"/>
            <w:noWrap/>
          </w:tcPr>
          <w:p w14:paraId="0CE2F198" w14:textId="77777777" w:rsidR="00321045" w:rsidRPr="002348C5" w:rsidRDefault="00321045" w:rsidP="00257A7B">
            <w:pPr>
              <w:pStyle w:val="BodyText"/>
              <w:jc w:val="center"/>
              <w:rPr>
                <w:sz w:val="20"/>
                <w:szCs w:val="20"/>
              </w:rPr>
            </w:pPr>
            <w:r>
              <w:rPr>
                <w:sz w:val="20"/>
                <w:szCs w:val="20"/>
              </w:rPr>
              <w:t>Yes</w:t>
            </w:r>
          </w:p>
        </w:tc>
        <w:tc>
          <w:tcPr>
            <w:tcW w:w="1480" w:type="dxa"/>
            <w:noWrap/>
          </w:tcPr>
          <w:p w14:paraId="795B1E9F" w14:textId="77777777" w:rsidR="00321045" w:rsidRPr="002348C5" w:rsidRDefault="00321045" w:rsidP="00257A7B">
            <w:pPr>
              <w:pStyle w:val="BodyText"/>
              <w:jc w:val="center"/>
              <w:rPr>
                <w:sz w:val="20"/>
                <w:szCs w:val="20"/>
              </w:rPr>
            </w:pPr>
            <w:r>
              <w:rPr>
                <w:sz w:val="20"/>
                <w:szCs w:val="20"/>
              </w:rPr>
              <w:t>No</w:t>
            </w:r>
          </w:p>
        </w:tc>
        <w:tc>
          <w:tcPr>
            <w:tcW w:w="1521" w:type="dxa"/>
          </w:tcPr>
          <w:p w14:paraId="37B2A1C3" w14:textId="77777777" w:rsidR="00321045" w:rsidRDefault="00321045" w:rsidP="00257A7B">
            <w:pPr>
              <w:pStyle w:val="BodyText"/>
              <w:jc w:val="center"/>
              <w:rPr>
                <w:sz w:val="20"/>
                <w:szCs w:val="20"/>
              </w:rPr>
            </w:pPr>
            <w:r>
              <w:rPr>
                <w:sz w:val="20"/>
                <w:szCs w:val="20"/>
              </w:rPr>
              <w:t>Governance</w:t>
            </w:r>
          </w:p>
        </w:tc>
        <w:tc>
          <w:tcPr>
            <w:tcW w:w="2012" w:type="dxa"/>
          </w:tcPr>
          <w:p w14:paraId="5AF4942C" w14:textId="77777777" w:rsidR="00321045" w:rsidRDefault="00321045" w:rsidP="00257A7B">
            <w:pPr>
              <w:pStyle w:val="BodyText"/>
              <w:jc w:val="center"/>
              <w:rPr>
                <w:sz w:val="20"/>
                <w:szCs w:val="20"/>
              </w:rPr>
            </w:pPr>
            <w:r>
              <w:rPr>
                <w:sz w:val="20"/>
                <w:szCs w:val="20"/>
              </w:rPr>
              <w:t>Operational – review quarterly</w:t>
            </w:r>
          </w:p>
        </w:tc>
      </w:tr>
    </w:tbl>
    <w:p w14:paraId="6C943FCF" w14:textId="77777777" w:rsidR="00E42EF6" w:rsidRDefault="00E42EF6" w:rsidP="00441740">
      <w:pPr>
        <w:pStyle w:val="BodyText"/>
      </w:pPr>
    </w:p>
    <w:p w14:paraId="2BAC4A9A" w14:textId="77777777" w:rsidR="00BC04D8" w:rsidRDefault="00BC04D8" w:rsidP="00441740">
      <w:pPr>
        <w:pStyle w:val="BodyText"/>
      </w:pPr>
    </w:p>
    <w:bookmarkStart w:id="6" w:name="_Toc151034065"/>
    <w:p w14:paraId="5E72F2AA" w14:textId="5893580A" w:rsidR="00BC04D8" w:rsidRDefault="00000000" w:rsidP="00BC04D8">
      <w:pPr>
        <w:pStyle w:val="Heading3"/>
        <w:numPr>
          <w:ilvl w:val="2"/>
          <w:numId w:val="7"/>
        </w:numPr>
      </w:pPr>
      <w:sdt>
        <w:sdtPr>
          <w:alias w:val="Category"/>
          <w:tag w:val=""/>
          <w:id w:val="1226174311"/>
          <w:placeholder>
            <w:docPart w:val="C159B6AA62F44C1EAF43884C886CE5E7"/>
          </w:placeholder>
          <w:dataBinding w:prefixMappings="xmlns:ns0='http://purl.org/dc/elements/1.1/' xmlns:ns1='http://schemas.openxmlformats.org/package/2006/metadata/core-properties' " w:xpath="/ns1:coreProperties[1]/ns1:category[1]" w:storeItemID="{6C3C8BC8-F283-45AE-878A-BAB7291924A1}"/>
          <w:text/>
        </w:sdtPr>
        <w:sdtContent>
          <w:r w:rsidR="00BC04D8">
            <w:t>Azure Monitor and Insights, Log Analytics Workspace and Alerting Combined</w:t>
          </w:r>
        </w:sdtContent>
      </w:sdt>
      <w:r w:rsidR="00BC04D8">
        <w:t xml:space="preserve"> </w:t>
      </w:r>
      <w:r w:rsidR="00BC04D8" w:rsidRPr="00304E7D">
        <w:rPr>
          <w:highlight w:val="yellow"/>
        </w:rPr>
        <w:t>Operational Excellence</w:t>
      </w:r>
      <w:r w:rsidR="00BC04D8">
        <w:t xml:space="preserve"> Checklist</w:t>
      </w:r>
      <w:bookmarkEnd w:id="6"/>
    </w:p>
    <w:tbl>
      <w:tblPr>
        <w:tblStyle w:val="AVTable1"/>
        <w:tblW w:w="9781" w:type="dxa"/>
        <w:tblLook w:val="04A0" w:firstRow="1" w:lastRow="0" w:firstColumn="1" w:lastColumn="0" w:noHBand="0" w:noVBand="1"/>
      </w:tblPr>
      <w:tblGrid>
        <w:gridCol w:w="722"/>
        <w:gridCol w:w="2517"/>
        <w:gridCol w:w="1461"/>
        <w:gridCol w:w="1512"/>
        <w:gridCol w:w="1459"/>
        <w:gridCol w:w="2110"/>
      </w:tblGrid>
      <w:tr w:rsidR="00BC04D8" w:rsidRPr="002348C5" w14:paraId="5CD24500" w14:textId="77777777" w:rsidTr="0081442A">
        <w:trPr>
          <w:cnfStyle w:val="100000000000" w:firstRow="1" w:lastRow="0" w:firstColumn="0" w:lastColumn="0" w:oddVBand="0" w:evenVBand="0" w:oddHBand="0" w:evenHBand="0" w:firstRowFirstColumn="0" w:firstRowLastColumn="0" w:lastRowFirstColumn="0" w:lastRowLastColumn="0"/>
          <w:trHeight w:val="290"/>
        </w:trPr>
        <w:tc>
          <w:tcPr>
            <w:tcW w:w="706" w:type="dxa"/>
            <w:tcBorders>
              <w:bottom w:val="single" w:sz="4" w:space="0" w:color="002776"/>
            </w:tcBorders>
            <w:noWrap/>
            <w:hideMark/>
          </w:tcPr>
          <w:p w14:paraId="7AD459C4" w14:textId="77777777" w:rsidR="00BC04D8" w:rsidRPr="002348C5" w:rsidRDefault="00BC04D8" w:rsidP="00257A7B">
            <w:pPr>
              <w:pStyle w:val="BodyText"/>
              <w:rPr>
                <w:bCs/>
                <w:color w:val="FFFFFF" w:themeColor="background1"/>
              </w:rPr>
            </w:pPr>
            <w:r w:rsidRPr="002348C5">
              <w:rPr>
                <w:bCs/>
                <w:color w:val="FFFFFF" w:themeColor="background1"/>
              </w:rPr>
              <w:t>ID</w:t>
            </w:r>
          </w:p>
        </w:tc>
        <w:tc>
          <w:tcPr>
            <w:tcW w:w="2542" w:type="dxa"/>
            <w:tcBorders>
              <w:bottom w:val="single" w:sz="4" w:space="0" w:color="002776"/>
            </w:tcBorders>
            <w:hideMark/>
          </w:tcPr>
          <w:p w14:paraId="3F84B7A1" w14:textId="77777777" w:rsidR="00BC04D8" w:rsidRPr="002348C5" w:rsidRDefault="00BC04D8" w:rsidP="00257A7B">
            <w:pPr>
              <w:pStyle w:val="BodyText"/>
              <w:rPr>
                <w:bCs/>
                <w:color w:val="FFFFFF" w:themeColor="background1"/>
              </w:rPr>
            </w:pPr>
            <w:r w:rsidRPr="002348C5">
              <w:rPr>
                <w:bCs/>
                <w:color w:val="FFFFFF" w:themeColor="background1"/>
              </w:rPr>
              <w:t>Checklist Item</w:t>
            </w:r>
          </w:p>
        </w:tc>
        <w:tc>
          <w:tcPr>
            <w:tcW w:w="1445" w:type="dxa"/>
            <w:tcBorders>
              <w:bottom w:val="single" w:sz="4" w:space="0" w:color="002776"/>
            </w:tcBorders>
            <w:noWrap/>
            <w:hideMark/>
          </w:tcPr>
          <w:p w14:paraId="6185660A" w14:textId="77777777" w:rsidR="00BC04D8" w:rsidRPr="002348C5" w:rsidRDefault="00BC04D8" w:rsidP="00257A7B">
            <w:pPr>
              <w:pStyle w:val="BodyText"/>
              <w:jc w:val="center"/>
              <w:rPr>
                <w:bCs/>
                <w:color w:val="FFFFFF" w:themeColor="background1"/>
              </w:rPr>
            </w:pPr>
            <w:r w:rsidRPr="002348C5">
              <w:rPr>
                <w:bCs/>
                <w:color w:val="FFFFFF" w:themeColor="background1"/>
              </w:rPr>
              <w:t>Applicable to AV</w:t>
            </w:r>
          </w:p>
        </w:tc>
        <w:tc>
          <w:tcPr>
            <w:tcW w:w="1496" w:type="dxa"/>
            <w:noWrap/>
            <w:hideMark/>
          </w:tcPr>
          <w:p w14:paraId="55A88392" w14:textId="77777777" w:rsidR="00BC04D8" w:rsidRPr="002348C5" w:rsidRDefault="00BC04D8" w:rsidP="00257A7B">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459" w:type="dxa"/>
          </w:tcPr>
          <w:p w14:paraId="3CCC4E22" w14:textId="77777777" w:rsidR="00BC04D8" w:rsidRDefault="00BC04D8" w:rsidP="00257A7B">
            <w:pPr>
              <w:pStyle w:val="BodyText"/>
              <w:jc w:val="center"/>
              <w:rPr>
                <w:color w:val="FFFFFF" w:themeColor="background1"/>
              </w:rPr>
            </w:pPr>
            <w:r w:rsidRPr="78DFCD18">
              <w:rPr>
                <w:color w:val="FFFFFF" w:themeColor="background1"/>
              </w:rPr>
              <w:t>Enforcement Option</w:t>
            </w:r>
          </w:p>
        </w:tc>
        <w:tc>
          <w:tcPr>
            <w:tcW w:w="2133" w:type="dxa"/>
          </w:tcPr>
          <w:p w14:paraId="04DE3CE1" w14:textId="77777777" w:rsidR="00BC04D8" w:rsidRDefault="00BC04D8" w:rsidP="00257A7B">
            <w:pPr>
              <w:pStyle w:val="BodyText"/>
              <w:jc w:val="center"/>
              <w:rPr>
                <w:color w:val="FFFFFF" w:themeColor="background1"/>
              </w:rPr>
            </w:pPr>
            <w:r w:rsidRPr="78DFCD18">
              <w:rPr>
                <w:color w:val="FFFFFF" w:themeColor="background1"/>
              </w:rPr>
              <w:t>Applicability</w:t>
            </w:r>
          </w:p>
        </w:tc>
      </w:tr>
      <w:tr w:rsidR="00BC04D8" w:rsidRPr="002348C5" w14:paraId="33FCF7C5" w14:textId="77777777" w:rsidTr="0081442A">
        <w:trPr>
          <w:trHeight w:val="290"/>
        </w:trPr>
        <w:tc>
          <w:tcPr>
            <w:tcW w:w="706" w:type="dxa"/>
            <w:tcBorders>
              <w:bottom w:val="single" w:sz="4" w:space="0" w:color="auto"/>
            </w:tcBorders>
            <w:noWrap/>
            <w:vAlign w:val="center"/>
            <w:hideMark/>
          </w:tcPr>
          <w:p w14:paraId="09ADF2DC" w14:textId="77777777" w:rsidR="00BC04D8" w:rsidRPr="002348C5" w:rsidRDefault="00BC04D8" w:rsidP="00257A7B">
            <w:pPr>
              <w:pStyle w:val="BodyText"/>
              <w:rPr>
                <w:b/>
                <w:bCs/>
              </w:rPr>
            </w:pPr>
            <w:r>
              <w:rPr>
                <w:b/>
                <w:bCs/>
              </w:rPr>
              <w:t>OE1</w:t>
            </w:r>
          </w:p>
        </w:tc>
        <w:tc>
          <w:tcPr>
            <w:tcW w:w="2542" w:type="dxa"/>
            <w:tcBorders>
              <w:bottom w:val="single" w:sz="4" w:space="0" w:color="auto"/>
            </w:tcBorders>
            <w:vAlign w:val="center"/>
          </w:tcPr>
          <w:p w14:paraId="714A9DF0" w14:textId="77777777" w:rsidR="00BC04D8" w:rsidRPr="002348C5" w:rsidRDefault="00BC04D8" w:rsidP="00257A7B">
            <w:pPr>
              <w:pStyle w:val="BodyText"/>
              <w:rPr>
                <w:sz w:val="20"/>
                <w:szCs w:val="20"/>
              </w:rPr>
            </w:pPr>
            <w:r w:rsidRPr="005C62D2">
              <w:t>Use dynamic thresholds in metric alert rules where appropriate.</w:t>
            </w:r>
          </w:p>
        </w:tc>
        <w:tc>
          <w:tcPr>
            <w:tcW w:w="1445" w:type="dxa"/>
            <w:tcBorders>
              <w:bottom w:val="single" w:sz="4" w:space="0" w:color="auto"/>
            </w:tcBorders>
            <w:noWrap/>
            <w:vAlign w:val="center"/>
          </w:tcPr>
          <w:p w14:paraId="5699ECFB" w14:textId="77777777" w:rsidR="00BC04D8" w:rsidRPr="00AF3DD1" w:rsidRDefault="00BC04D8" w:rsidP="00257A7B">
            <w:pPr>
              <w:pStyle w:val="BodyText"/>
              <w:jc w:val="center"/>
            </w:pPr>
            <w:r w:rsidRPr="00AF3DD1">
              <w:t>Yes</w:t>
            </w:r>
          </w:p>
        </w:tc>
        <w:tc>
          <w:tcPr>
            <w:tcW w:w="1496" w:type="dxa"/>
            <w:noWrap/>
            <w:vAlign w:val="center"/>
          </w:tcPr>
          <w:p w14:paraId="6A254F7E" w14:textId="77777777" w:rsidR="00BC04D8" w:rsidRPr="00AF3DD1" w:rsidRDefault="00BC04D8" w:rsidP="00257A7B">
            <w:pPr>
              <w:pStyle w:val="BodyText"/>
              <w:jc w:val="center"/>
            </w:pPr>
            <w:r w:rsidRPr="00AF3DD1">
              <w:t>Yes</w:t>
            </w:r>
          </w:p>
        </w:tc>
        <w:tc>
          <w:tcPr>
            <w:tcW w:w="1459" w:type="dxa"/>
            <w:vAlign w:val="center"/>
          </w:tcPr>
          <w:p w14:paraId="34678DB5" w14:textId="77777777" w:rsidR="00BC04D8" w:rsidRPr="00AF3DD1" w:rsidRDefault="00BC04D8" w:rsidP="00257A7B">
            <w:pPr>
              <w:pStyle w:val="BodyText"/>
              <w:jc w:val="center"/>
            </w:pPr>
            <w:r w:rsidRPr="00AF3DD1">
              <w:t>IaC</w:t>
            </w:r>
          </w:p>
        </w:tc>
        <w:tc>
          <w:tcPr>
            <w:tcW w:w="2133" w:type="dxa"/>
            <w:vAlign w:val="center"/>
          </w:tcPr>
          <w:p w14:paraId="03B4390A" w14:textId="77777777" w:rsidR="00BC04D8" w:rsidRPr="00AF3DD1" w:rsidRDefault="00BC04D8" w:rsidP="00257A7B">
            <w:pPr>
              <w:pStyle w:val="BodyText"/>
              <w:jc w:val="center"/>
            </w:pPr>
            <w:r w:rsidRPr="00AF3DD1">
              <w:t>At deployment</w:t>
            </w:r>
          </w:p>
        </w:tc>
      </w:tr>
      <w:tr w:rsidR="00BC04D8" w:rsidRPr="002348C5" w14:paraId="4E5E89FC" w14:textId="77777777" w:rsidTr="0081442A">
        <w:trPr>
          <w:trHeight w:val="290"/>
        </w:trPr>
        <w:tc>
          <w:tcPr>
            <w:tcW w:w="706" w:type="dxa"/>
            <w:tcBorders>
              <w:top w:val="single" w:sz="4" w:space="0" w:color="auto"/>
            </w:tcBorders>
            <w:noWrap/>
            <w:vAlign w:val="center"/>
            <w:hideMark/>
          </w:tcPr>
          <w:p w14:paraId="0ABA10D1" w14:textId="77777777" w:rsidR="00BC04D8" w:rsidRPr="002348C5" w:rsidRDefault="00BC04D8" w:rsidP="00257A7B">
            <w:pPr>
              <w:pStyle w:val="BodyText"/>
              <w:rPr>
                <w:b/>
                <w:bCs/>
              </w:rPr>
            </w:pPr>
            <w:r>
              <w:rPr>
                <w:b/>
                <w:bCs/>
              </w:rPr>
              <w:t>OE2</w:t>
            </w:r>
          </w:p>
        </w:tc>
        <w:tc>
          <w:tcPr>
            <w:tcW w:w="2542" w:type="dxa"/>
            <w:tcBorders>
              <w:top w:val="single" w:sz="4" w:space="0" w:color="auto"/>
            </w:tcBorders>
            <w:vAlign w:val="center"/>
          </w:tcPr>
          <w:p w14:paraId="1F23EA02" w14:textId="77777777" w:rsidR="00BC04D8" w:rsidRPr="002348C5" w:rsidRDefault="00BC04D8" w:rsidP="00257A7B">
            <w:pPr>
              <w:pStyle w:val="BodyText"/>
              <w:rPr>
                <w:sz w:val="20"/>
                <w:szCs w:val="20"/>
              </w:rPr>
            </w:pPr>
            <w:r w:rsidRPr="005C62D2">
              <w:t>Whenever possible, use one alert rule to monitor multiple resources.</w:t>
            </w:r>
          </w:p>
        </w:tc>
        <w:tc>
          <w:tcPr>
            <w:tcW w:w="1445" w:type="dxa"/>
            <w:tcBorders>
              <w:top w:val="single" w:sz="4" w:space="0" w:color="auto"/>
            </w:tcBorders>
            <w:noWrap/>
            <w:vAlign w:val="center"/>
          </w:tcPr>
          <w:p w14:paraId="3FD51E87" w14:textId="77777777" w:rsidR="00BC04D8" w:rsidRPr="00DB026A" w:rsidRDefault="00BC04D8" w:rsidP="00257A7B">
            <w:pPr>
              <w:pStyle w:val="BodyText"/>
              <w:jc w:val="center"/>
            </w:pPr>
            <w:r w:rsidRPr="00DB026A">
              <w:t>Yes</w:t>
            </w:r>
          </w:p>
        </w:tc>
        <w:tc>
          <w:tcPr>
            <w:tcW w:w="1496" w:type="dxa"/>
            <w:noWrap/>
            <w:vAlign w:val="center"/>
          </w:tcPr>
          <w:p w14:paraId="6E00E5AD" w14:textId="77777777" w:rsidR="00BC04D8" w:rsidRPr="00DB026A" w:rsidRDefault="00BC04D8" w:rsidP="00257A7B">
            <w:pPr>
              <w:pStyle w:val="BodyText"/>
              <w:jc w:val="center"/>
            </w:pPr>
            <w:r w:rsidRPr="00DB026A">
              <w:t>Yes</w:t>
            </w:r>
          </w:p>
        </w:tc>
        <w:tc>
          <w:tcPr>
            <w:tcW w:w="1459" w:type="dxa"/>
            <w:vAlign w:val="center"/>
          </w:tcPr>
          <w:p w14:paraId="33780660" w14:textId="77777777" w:rsidR="00BC04D8" w:rsidRPr="00DB026A" w:rsidRDefault="00BC04D8" w:rsidP="00257A7B">
            <w:pPr>
              <w:pStyle w:val="BodyText"/>
              <w:jc w:val="center"/>
            </w:pPr>
            <w:r w:rsidRPr="00DB026A">
              <w:t>IaC, Governance</w:t>
            </w:r>
          </w:p>
        </w:tc>
        <w:tc>
          <w:tcPr>
            <w:tcW w:w="2133" w:type="dxa"/>
            <w:vAlign w:val="center"/>
          </w:tcPr>
          <w:p w14:paraId="1E995357" w14:textId="77777777" w:rsidR="00BC04D8" w:rsidRPr="00DB026A" w:rsidRDefault="00BC04D8" w:rsidP="00257A7B">
            <w:pPr>
              <w:pStyle w:val="BodyText"/>
              <w:jc w:val="center"/>
            </w:pPr>
            <w:r w:rsidRPr="00DB026A">
              <w:t>At deployment</w:t>
            </w:r>
          </w:p>
          <w:p w14:paraId="7B1EE880" w14:textId="77777777" w:rsidR="00BC04D8" w:rsidRPr="00DB026A" w:rsidRDefault="00BC04D8" w:rsidP="00257A7B">
            <w:pPr>
              <w:pStyle w:val="BodyText"/>
              <w:jc w:val="center"/>
            </w:pPr>
          </w:p>
          <w:p w14:paraId="6BCA63AB" w14:textId="77777777" w:rsidR="00BC04D8" w:rsidRPr="00DB026A" w:rsidRDefault="00BC04D8" w:rsidP="00257A7B">
            <w:pPr>
              <w:pStyle w:val="BodyText"/>
              <w:jc w:val="center"/>
            </w:pPr>
            <w:r w:rsidRPr="00DB026A">
              <w:t>Operational – avoid creating rules for each resource</w:t>
            </w:r>
          </w:p>
        </w:tc>
      </w:tr>
      <w:tr w:rsidR="00BC04D8" w:rsidRPr="002348C5" w14:paraId="37169801" w14:textId="77777777" w:rsidTr="0081442A">
        <w:trPr>
          <w:trHeight w:val="290"/>
        </w:trPr>
        <w:tc>
          <w:tcPr>
            <w:tcW w:w="706" w:type="dxa"/>
            <w:noWrap/>
            <w:vAlign w:val="center"/>
            <w:hideMark/>
          </w:tcPr>
          <w:p w14:paraId="1BE073EC" w14:textId="77777777" w:rsidR="00BC04D8" w:rsidRPr="002348C5" w:rsidRDefault="00BC04D8" w:rsidP="00257A7B">
            <w:pPr>
              <w:pStyle w:val="BodyText"/>
              <w:rPr>
                <w:b/>
                <w:bCs/>
              </w:rPr>
            </w:pPr>
            <w:r>
              <w:rPr>
                <w:b/>
                <w:bCs/>
              </w:rPr>
              <w:t>OE3</w:t>
            </w:r>
          </w:p>
        </w:tc>
        <w:tc>
          <w:tcPr>
            <w:tcW w:w="2542" w:type="dxa"/>
            <w:vAlign w:val="center"/>
          </w:tcPr>
          <w:p w14:paraId="0CCBE361" w14:textId="02120B97" w:rsidR="00BC04D8" w:rsidRPr="008B7613" w:rsidRDefault="00BC04D8" w:rsidP="00257A7B">
            <w:pPr>
              <w:spacing w:line="240" w:lineRule="auto"/>
              <w:rPr>
                <w:rFonts w:ascii="Segoe UI" w:hAnsi="Segoe UI" w:cs="Segoe UI"/>
                <w:color w:val="161616"/>
                <w:sz w:val="24"/>
                <w:szCs w:val="24"/>
              </w:rPr>
            </w:pPr>
            <w:r w:rsidRPr="005C62D2">
              <w:t xml:space="preserve">To control </w:t>
            </w:r>
            <w:r w:rsidR="0081442A" w:rsidRPr="005C62D2">
              <w:t>behaviour</w:t>
            </w:r>
            <w:r w:rsidRPr="005C62D2">
              <w:t xml:space="preserve"> at scale, use alert processing rules.</w:t>
            </w:r>
          </w:p>
        </w:tc>
        <w:tc>
          <w:tcPr>
            <w:tcW w:w="1445" w:type="dxa"/>
            <w:noWrap/>
            <w:vAlign w:val="center"/>
          </w:tcPr>
          <w:p w14:paraId="04DEAE06" w14:textId="77777777" w:rsidR="00BC04D8" w:rsidRPr="00AF3DD1" w:rsidRDefault="00BC04D8" w:rsidP="00257A7B">
            <w:pPr>
              <w:pStyle w:val="BodyText"/>
              <w:jc w:val="center"/>
            </w:pPr>
            <w:r w:rsidRPr="00AF3DD1">
              <w:t>Yes</w:t>
            </w:r>
          </w:p>
        </w:tc>
        <w:tc>
          <w:tcPr>
            <w:tcW w:w="1496" w:type="dxa"/>
            <w:noWrap/>
            <w:vAlign w:val="center"/>
          </w:tcPr>
          <w:p w14:paraId="6DC6CEFB" w14:textId="77777777" w:rsidR="00BC04D8" w:rsidRPr="00AF3DD1" w:rsidRDefault="00BC04D8" w:rsidP="00257A7B">
            <w:pPr>
              <w:pStyle w:val="BodyText"/>
              <w:jc w:val="center"/>
            </w:pPr>
            <w:r w:rsidRPr="00AF3DD1">
              <w:t>No</w:t>
            </w:r>
          </w:p>
        </w:tc>
        <w:tc>
          <w:tcPr>
            <w:tcW w:w="1459" w:type="dxa"/>
            <w:vAlign w:val="center"/>
          </w:tcPr>
          <w:p w14:paraId="7EFF52DD" w14:textId="77777777" w:rsidR="00BC04D8" w:rsidRPr="00AF3DD1" w:rsidRDefault="00BC04D8" w:rsidP="00257A7B">
            <w:pPr>
              <w:pStyle w:val="BodyText"/>
              <w:jc w:val="center"/>
            </w:pPr>
            <w:r w:rsidRPr="00AF3DD1">
              <w:t>IaC</w:t>
            </w:r>
          </w:p>
        </w:tc>
        <w:tc>
          <w:tcPr>
            <w:tcW w:w="2133" w:type="dxa"/>
            <w:vAlign w:val="center"/>
          </w:tcPr>
          <w:p w14:paraId="241AE6D7" w14:textId="77777777" w:rsidR="00BC04D8" w:rsidRPr="00AF3DD1" w:rsidRDefault="00BC04D8" w:rsidP="00257A7B">
            <w:pPr>
              <w:pStyle w:val="BodyText"/>
              <w:jc w:val="center"/>
            </w:pPr>
            <w:r>
              <w:t>At deployment</w:t>
            </w:r>
          </w:p>
        </w:tc>
      </w:tr>
      <w:tr w:rsidR="00BC04D8" w:rsidRPr="002348C5" w14:paraId="074A37C8" w14:textId="77777777" w:rsidTr="0081442A">
        <w:trPr>
          <w:trHeight w:val="290"/>
        </w:trPr>
        <w:tc>
          <w:tcPr>
            <w:tcW w:w="706" w:type="dxa"/>
            <w:noWrap/>
            <w:vAlign w:val="center"/>
            <w:hideMark/>
          </w:tcPr>
          <w:p w14:paraId="78D2264B" w14:textId="77777777" w:rsidR="00BC04D8" w:rsidRPr="002348C5" w:rsidRDefault="00BC04D8" w:rsidP="00257A7B">
            <w:pPr>
              <w:pStyle w:val="BodyText"/>
              <w:rPr>
                <w:b/>
                <w:bCs/>
              </w:rPr>
            </w:pPr>
            <w:r>
              <w:rPr>
                <w:b/>
                <w:bCs/>
              </w:rPr>
              <w:t>OE4</w:t>
            </w:r>
          </w:p>
        </w:tc>
        <w:tc>
          <w:tcPr>
            <w:tcW w:w="2542" w:type="dxa"/>
            <w:vAlign w:val="center"/>
          </w:tcPr>
          <w:p w14:paraId="3113F379" w14:textId="77777777" w:rsidR="00BC04D8" w:rsidRPr="008B7613" w:rsidRDefault="00BC04D8" w:rsidP="00257A7B">
            <w:pPr>
              <w:spacing w:line="240" w:lineRule="auto"/>
              <w:rPr>
                <w:rFonts w:ascii="Segoe UI" w:hAnsi="Segoe UI" w:cs="Segoe UI"/>
                <w:color w:val="161616"/>
                <w:sz w:val="24"/>
                <w:szCs w:val="24"/>
              </w:rPr>
            </w:pPr>
            <w:r w:rsidRPr="005C62D2">
              <w:t>Use custom properties to enhance diagnostics.</w:t>
            </w:r>
          </w:p>
        </w:tc>
        <w:tc>
          <w:tcPr>
            <w:tcW w:w="1445" w:type="dxa"/>
            <w:noWrap/>
            <w:vAlign w:val="center"/>
          </w:tcPr>
          <w:p w14:paraId="657035E8" w14:textId="77777777" w:rsidR="00BC04D8" w:rsidRPr="00AF3DD1" w:rsidRDefault="00BC04D8" w:rsidP="00257A7B">
            <w:pPr>
              <w:pStyle w:val="BodyText"/>
              <w:jc w:val="center"/>
            </w:pPr>
            <w:r>
              <w:t>No</w:t>
            </w:r>
          </w:p>
        </w:tc>
        <w:tc>
          <w:tcPr>
            <w:tcW w:w="1496" w:type="dxa"/>
            <w:noWrap/>
            <w:vAlign w:val="center"/>
          </w:tcPr>
          <w:p w14:paraId="1CD0F407" w14:textId="77777777" w:rsidR="00BC04D8" w:rsidRPr="00AF3DD1" w:rsidRDefault="00BC04D8" w:rsidP="00257A7B">
            <w:pPr>
              <w:pStyle w:val="BodyText"/>
              <w:jc w:val="center"/>
            </w:pPr>
            <w:r w:rsidRPr="00AF3DD1">
              <w:t>No</w:t>
            </w:r>
          </w:p>
        </w:tc>
        <w:tc>
          <w:tcPr>
            <w:tcW w:w="1459" w:type="dxa"/>
            <w:vAlign w:val="center"/>
          </w:tcPr>
          <w:p w14:paraId="172E75DB" w14:textId="77777777" w:rsidR="00BC04D8" w:rsidRPr="00AF3DD1" w:rsidRDefault="00BC04D8" w:rsidP="00257A7B">
            <w:pPr>
              <w:pStyle w:val="BodyText"/>
              <w:jc w:val="center"/>
            </w:pPr>
            <w:r>
              <w:t>N/A</w:t>
            </w:r>
          </w:p>
        </w:tc>
        <w:tc>
          <w:tcPr>
            <w:tcW w:w="2133" w:type="dxa"/>
            <w:vAlign w:val="center"/>
          </w:tcPr>
          <w:p w14:paraId="6C6C06B5" w14:textId="77777777" w:rsidR="00BC04D8" w:rsidRPr="00AF3DD1" w:rsidRDefault="00BC04D8" w:rsidP="00257A7B">
            <w:pPr>
              <w:pStyle w:val="BodyText"/>
              <w:jc w:val="center"/>
            </w:pPr>
            <w:r>
              <w:t>N/A</w:t>
            </w:r>
          </w:p>
        </w:tc>
      </w:tr>
      <w:tr w:rsidR="00BC04D8" w:rsidRPr="002348C5" w14:paraId="498BFC6B" w14:textId="77777777" w:rsidTr="0081442A">
        <w:trPr>
          <w:trHeight w:val="290"/>
        </w:trPr>
        <w:tc>
          <w:tcPr>
            <w:tcW w:w="706" w:type="dxa"/>
            <w:noWrap/>
            <w:vAlign w:val="center"/>
          </w:tcPr>
          <w:p w14:paraId="454AA808" w14:textId="77777777" w:rsidR="00BC04D8" w:rsidRDefault="00BC04D8" w:rsidP="00257A7B">
            <w:pPr>
              <w:pStyle w:val="BodyText"/>
              <w:rPr>
                <w:b/>
                <w:bCs/>
              </w:rPr>
            </w:pPr>
            <w:r>
              <w:rPr>
                <w:b/>
                <w:bCs/>
              </w:rPr>
              <w:t>OE5</w:t>
            </w:r>
          </w:p>
        </w:tc>
        <w:tc>
          <w:tcPr>
            <w:tcW w:w="2542" w:type="dxa"/>
            <w:vAlign w:val="center"/>
          </w:tcPr>
          <w:p w14:paraId="5C1D1378" w14:textId="77777777" w:rsidR="00BC04D8" w:rsidRDefault="00BC04D8" w:rsidP="00257A7B">
            <w:pPr>
              <w:spacing w:line="240" w:lineRule="auto"/>
              <w:rPr>
                <w:rFonts w:ascii="Segoe UI" w:hAnsi="Segoe UI" w:cs="Segoe UI"/>
                <w:color w:val="161616"/>
              </w:rPr>
            </w:pPr>
            <w:r w:rsidRPr="005C62D2">
              <w:t>Use Logic Apps to customize the notification workflow and integrate with various systems.</w:t>
            </w:r>
          </w:p>
        </w:tc>
        <w:tc>
          <w:tcPr>
            <w:tcW w:w="1445" w:type="dxa"/>
            <w:noWrap/>
            <w:vAlign w:val="center"/>
          </w:tcPr>
          <w:p w14:paraId="6280D741" w14:textId="77777777" w:rsidR="00BC04D8" w:rsidRPr="00AF3DD1" w:rsidRDefault="00BC04D8" w:rsidP="00257A7B">
            <w:pPr>
              <w:pStyle w:val="BodyText"/>
              <w:jc w:val="center"/>
            </w:pPr>
            <w:r w:rsidRPr="00AF3DD1">
              <w:t>Yes</w:t>
            </w:r>
          </w:p>
        </w:tc>
        <w:tc>
          <w:tcPr>
            <w:tcW w:w="1496" w:type="dxa"/>
            <w:noWrap/>
            <w:vAlign w:val="center"/>
          </w:tcPr>
          <w:p w14:paraId="03CED1B4" w14:textId="77777777" w:rsidR="00BC04D8" w:rsidRPr="00AF3DD1" w:rsidRDefault="00BC04D8" w:rsidP="00257A7B">
            <w:pPr>
              <w:pStyle w:val="BodyText"/>
              <w:jc w:val="center"/>
            </w:pPr>
            <w:r w:rsidRPr="00AF3DD1">
              <w:t>No</w:t>
            </w:r>
          </w:p>
        </w:tc>
        <w:tc>
          <w:tcPr>
            <w:tcW w:w="1459" w:type="dxa"/>
            <w:vAlign w:val="center"/>
          </w:tcPr>
          <w:p w14:paraId="304F87E3" w14:textId="77777777" w:rsidR="00BC04D8" w:rsidRPr="00AF3DD1" w:rsidRDefault="00BC04D8" w:rsidP="00257A7B">
            <w:pPr>
              <w:pStyle w:val="BodyText"/>
              <w:jc w:val="center"/>
            </w:pPr>
            <w:r w:rsidRPr="00AF3DD1">
              <w:t>Governance</w:t>
            </w:r>
          </w:p>
        </w:tc>
        <w:tc>
          <w:tcPr>
            <w:tcW w:w="2133" w:type="dxa"/>
            <w:vAlign w:val="center"/>
          </w:tcPr>
          <w:p w14:paraId="761CCA5B" w14:textId="77777777" w:rsidR="00BC04D8" w:rsidRPr="00AF3DD1" w:rsidRDefault="00BC04D8" w:rsidP="00257A7B">
            <w:pPr>
              <w:pStyle w:val="BodyText"/>
              <w:jc w:val="center"/>
            </w:pPr>
            <w:r w:rsidRPr="00AF3DD1">
              <w:t>Integrations require additional project work</w:t>
            </w:r>
          </w:p>
        </w:tc>
      </w:tr>
      <w:tr w:rsidR="0081442A" w:rsidRPr="0056085D" w14:paraId="4AC3E26D" w14:textId="77777777" w:rsidTr="0081442A">
        <w:trPr>
          <w:trHeight w:val="290"/>
        </w:trPr>
        <w:tc>
          <w:tcPr>
            <w:tcW w:w="706" w:type="dxa"/>
            <w:noWrap/>
            <w:hideMark/>
          </w:tcPr>
          <w:p w14:paraId="672DC97F" w14:textId="77777777" w:rsidR="0081442A" w:rsidRPr="0056085D" w:rsidRDefault="0081442A" w:rsidP="00257A7B">
            <w:pPr>
              <w:pStyle w:val="BodyText"/>
              <w:rPr>
                <w:rFonts w:cs="Arial"/>
                <w:b/>
                <w:bCs/>
              </w:rPr>
            </w:pPr>
            <w:r>
              <w:rPr>
                <w:rFonts w:cs="Arial"/>
                <w:b/>
                <w:bCs/>
              </w:rPr>
              <w:t>OE</w:t>
            </w:r>
            <w:r w:rsidRPr="0056085D">
              <w:rPr>
                <w:rFonts w:cs="Arial"/>
                <w:b/>
                <w:bCs/>
              </w:rPr>
              <w:t>1</w:t>
            </w:r>
          </w:p>
        </w:tc>
        <w:tc>
          <w:tcPr>
            <w:tcW w:w="2542" w:type="dxa"/>
          </w:tcPr>
          <w:p w14:paraId="6298088B" w14:textId="77777777" w:rsidR="0081442A" w:rsidRPr="0056085D" w:rsidRDefault="0081442A" w:rsidP="00257A7B">
            <w:pPr>
              <w:pStyle w:val="BodyText"/>
              <w:rPr>
                <w:rFonts w:cs="Arial"/>
              </w:rPr>
            </w:pPr>
            <w:r w:rsidRPr="0056085D">
              <w:rPr>
                <w:rFonts w:cs="Arial"/>
              </w:rPr>
              <w:t>Configure Application Insights to monitor the availability and responsiveness of your web application.</w:t>
            </w:r>
            <w:r w:rsidRPr="0056085D">
              <w:rPr>
                <w:rFonts w:cs="Arial"/>
              </w:rPr>
              <w:tab/>
            </w:r>
          </w:p>
        </w:tc>
        <w:tc>
          <w:tcPr>
            <w:tcW w:w="1445" w:type="dxa"/>
            <w:noWrap/>
          </w:tcPr>
          <w:p w14:paraId="7D8C9C8D" w14:textId="77777777" w:rsidR="0081442A" w:rsidRPr="0056085D" w:rsidRDefault="0081442A" w:rsidP="00257A7B">
            <w:pPr>
              <w:pStyle w:val="BodyText"/>
              <w:jc w:val="center"/>
              <w:rPr>
                <w:rFonts w:cs="Arial"/>
              </w:rPr>
            </w:pPr>
            <w:r>
              <w:rPr>
                <w:rFonts w:cs="Arial"/>
              </w:rPr>
              <w:t>Yes</w:t>
            </w:r>
          </w:p>
        </w:tc>
        <w:tc>
          <w:tcPr>
            <w:tcW w:w="1496" w:type="dxa"/>
            <w:noWrap/>
          </w:tcPr>
          <w:p w14:paraId="165EC82F" w14:textId="77777777" w:rsidR="0081442A" w:rsidRPr="0056085D" w:rsidRDefault="0081442A" w:rsidP="00257A7B">
            <w:pPr>
              <w:pStyle w:val="BodyText"/>
              <w:jc w:val="center"/>
              <w:rPr>
                <w:rFonts w:cs="Arial"/>
              </w:rPr>
            </w:pPr>
            <w:r>
              <w:rPr>
                <w:rFonts w:cs="Arial"/>
              </w:rPr>
              <w:t>No</w:t>
            </w:r>
          </w:p>
        </w:tc>
        <w:tc>
          <w:tcPr>
            <w:tcW w:w="1459" w:type="dxa"/>
          </w:tcPr>
          <w:p w14:paraId="4D326966" w14:textId="77777777" w:rsidR="0081442A" w:rsidRPr="0056085D" w:rsidRDefault="0081442A" w:rsidP="00257A7B">
            <w:pPr>
              <w:pStyle w:val="BodyText"/>
              <w:jc w:val="center"/>
              <w:rPr>
                <w:rFonts w:cs="Arial"/>
              </w:rPr>
            </w:pPr>
            <w:r>
              <w:rPr>
                <w:rFonts w:cs="Arial"/>
              </w:rPr>
              <w:t>Governance</w:t>
            </w:r>
          </w:p>
        </w:tc>
        <w:tc>
          <w:tcPr>
            <w:tcW w:w="2133" w:type="dxa"/>
          </w:tcPr>
          <w:p w14:paraId="22023BFB"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560D7997" w14:textId="77777777" w:rsidTr="0081442A">
        <w:trPr>
          <w:trHeight w:val="290"/>
        </w:trPr>
        <w:tc>
          <w:tcPr>
            <w:tcW w:w="706" w:type="dxa"/>
            <w:noWrap/>
            <w:hideMark/>
          </w:tcPr>
          <w:p w14:paraId="57D24C0F" w14:textId="77777777" w:rsidR="0081442A" w:rsidRPr="0056085D" w:rsidRDefault="0081442A" w:rsidP="00257A7B">
            <w:pPr>
              <w:pStyle w:val="BodyText"/>
              <w:rPr>
                <w:rFonts w:cs="Arial"/>
                <w:b/>
                <w:bCs/>
              </w:rPr>
            </w:pPr>
            <w:r>
              <w:rPr>
                <w:rFonts w:cs="Arial"/>
                <w:b/>
                <w:bCs/>
              </w:rPr>
              <w:t>OE</w:t>
            </w:r>
            <w:r w:rsidRPr="0056085D">
              <w:rPr>
                <w:rFonts w:cs="Arial"/>
                <w:b/>
                <w:bCs/>
              </w:rPr>
              <w:t>2</w:t>
            </w:r>
          </w:p>
        </w:tc>
        <w:tc>
          <w:tcPr>
            <w:tcW w:w="2542" w:type="dxa"/>
          </w:tcPr>
          <w:p w14:paraId="39BCBAD5" w14:textId="77777777" w:rsidR="0081442A" w:rsidRPr="0056085D" w:rsidRDefault="0081442A" w:rsidP="00257A7B">
            <w:pPr>
              <w:pStyle w:val="BodyText"/>
              <w:rPr>
                <w:rFonts w:cs="Arial"/>
              </w:rPr>
            </w:pPr>
            <w:r w:rsidRPr="0056085D">
              <w:rPr>
                <w:rFonts w:cs="Arial"/>
              </w:rPr>
              <w:t>Evaluate Java codeless application monitoring for your Java-based application development stack.</w:t>
            </w:r>
            <w:r w:rsidRPr="0056085D">
              <w:rPr>
                <w:rFonts w:cs="Arial"/>
              </w:rPr>
              <w:tab/>
            </w:r>
          </w:p>
        </w:tc>
        <w:tc>
          <w:tcPr>
            <w:tcW w:w="1445" w:type="dxa"/>
            <w:noWrap/>
          </w:tcPr>
          <w:p w14:paraId="18585FFD" w14:textId="77777777" w:rsidR="0081442A" w:rsidRPr="0056085D" w:rsidRDefault="0081442A" w:rsidP="00257A7B">
            <w:pPr>
              <w:pStyle w:val="BodyText"/>
              <w:jc w:val="center"/>
              <w:rPr>
                <w:rFonts w:cs="Arial"/>
              </w:rPr>
            </w:pPr>
            <w:r>
              <w:rPr>
                <w:rFonts w:cs="Arial"/>
              </w:rPr>
              <w:t>Yes</w:t>
            </w:r>
          </w:p>
        </w:tc>
        <w:tc>
          <w:tcPr>
            <w:tcW w:w="1496" w:type="dxa"/>
            <w:noWrap/>
          </w:tcPr>
          <w:p w14:paraId="116721E3" w14:textId="77777777" w:rsidR="0081442A" w:rsidRPr="0056085D" w:rsidRDefault="0081442A" w:rsidP="00257A7B">
            <w:pPr>
              <w:pStyle w:val="BodyText"/>
              <w:jc w:val="center"/>
              <w:rPr>
                <w:rFonts w:cs="Arial"/>
              </w:rPr>
            </w:pPr>
            <w:r>
              <w:rPr>
                <w:rFonts w:cs="Arial"/>
              </w:rPr>
              <w:t>No</w:t>
            </w:r>
          </w:p>
        </w:tc>
        <w:tc>
          <w:tcPr>
            <w:tcW w:w="1459" w:type="dxa"/>
          </w:tcPr>
          <w:p w14:paraId="3C8BC50D" w14:textId="77777777" w:rsidR="0081442A" w:rsidRPr="0056085D" w:rsidRDefault="0081442A" w:rsidP="00257A7B">
            <w:pPr>
              <w:pStyle w:val="BodyText"/>
              <w:jc w:val="center"/>
              <w:rPr>
                <w:rFonts w:cs="Arial"/>
              </w:rPr>
            </w:pPr>
            <w:r>
              <w:rPr>
                <w:rFonts w:cs="Arial"/>
              </w:rPr>
              <w:t>Governance</w:t>
            </w:r>
          </w:p>
        </w:tc>
        <w:tc>
          <w:tcPr>
            <w:tcW w:w="2133" w:type="dxa"/>
          </w:tcPr>
          <w:p w14:paraId="5913576B"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73788090" w14:textId="77777777" w:rsidTr="0081442A">
        <w:trPr>
          <w:trHeight w:val="290"/>
        </w:trPr>
        <w:tc>
          <w:tcPr>
            <w:tcW w:w="706" w:type="dxa"/>
            <w:noWrap/>
          </w:tcPr>
          <w:p w14:paraId="5DFE67E7" w14:textId="77777777" w:rsidR="0081442A" w:rsidRPr="0056085D" w:rsidRDefault="0081442A" w:rsidP="00257A7B">
            <w:pPr>
              <w:pStyle w:val="BodyText"/>
              <w:rPr>
                <w:rFonts w:cs="Arial"/>
                <w:b/>
                <w:bCs/>
              </w:rPr>
            </w:pPr>
            <w:r>
              <w:rPr>
                <w:rFonts w:cs="Arial"/>
                <w:b/>
                <w:bCs/>
              </w:rPr>
              <w:t>OE</w:t>
            </w:r>
            <w:r w:rsidRPr="0056085D">
              <w:rPr>
                <w:rFonts w:cs="Arial"/>
                <w:b/>
                <w:bCs/>
              </w:rPr>
              <w:t>3</w:t>
            </w:r>
          </w:p>
        </w:tc>
        <w:tc>
          <w:tcPr>
            <w:tcW w:w="2542" w:type="dxa"/>
          </w:tcPr>
          <w:p w14:paraId="03E4DECA" w14:textId="77777777" w:rsidR="0081442A" w:rsidRPr="0056085D" w:rsidRDefault="0081442A" w:rsidP="00257A7B">
            <w:pPr>
              <w:pStyle w:val="BodyText"/>
              <w:rPr>
                <w:rFonts w:cs="Arial"/>
              </w:rPr>
            </w:pPr>
            <w:r w:rsidRPr="0056085D">
              <w:rPr>
                <w:rFonts w:cs="Arial"/>
              </w:rPr>
              <w:t>Configure sampling in Application Insights.</w:t>
            </w:r>
            <w:r w:rsidRPr="0056085D">
              <w:rPr>
                <w:rFonts w:cs="Arial"/>
              </w:rPr>
              <w:tab/>
            </w:r>
          </w:p>
        </w:tc>
        <w:tc>
          <w:tcPr>
            <w:tcW w:w="1445" w:type="dxa"/>
            <w:noWrap/>
          </w:tcPr>
          <w:p w14:paraId="7E43A500" w14:textId="77777777" w:rsidR="0081442A" w:rsidRPr="0056085D" w:rsidRDefault="0081442A" w:rsidP="00257A7B">
            <w:pPr>
              <w:pStyle w:val="BodyText"/>
              <w:jc w:val="center"/>
              <w:rPr>
                <w:rFonts w:cs="Arial"/>
              </w:rPr>
            </w:pPr>
            <w:r>
              <w:rPr>
                <w:rFonts w:cs="Arial"/>
              </w:rPr>
              <w:t>Yes</w:t>
            </w:r>
          </w:p>
        </w:tc>
        <w:tc>
          <w:tcPr>
            <w:tcW w:w="1496" w:type="dxa"/>
            <w:noWrap/>
          </w:tcPr>
          <w:p w14:paraId="041DE4FE" w14:textId="77777777" w:rsidR="0081442A" w:rsidRPr="0056085D" w:rsidRDefault="0081442A" w:rsidP="00257A7B">
            <w:pPr>
              <w:pStyle w:val="BodyText"/>
              <w:jc w:val="center"/>
              <w:rPr>
                <w:rFonts w:cs="Arial"/>
              </w:rPr>
            </w:pPr>
            <w:r>
              <w:rPr>
                <w:rFonts w:cs="Arial"/>
              </w:rPr>
              <w:t>No</w:t>
            </w:r>
          </w:p>
        </w:tc>
        <w:tc>
          <w:tcPr>
            <w:tcW w:w="1459" w:type="dxa"/>
          </w:tcPr>
          <w:p w14:paraId="09E69EA5" w14:textId="77777777" w:rsidR="0081442A" w:rsidRPr="0056085D" w:rsidRDefault="0081442A" w:rsidP="00257A7B">
            <w:pPr>
              <w:pStyle w:val="BodyText"/>
              <w:jc w:val="center"/>
              <w:rPr>
                <w:rFonts w:cs="Arial"/>
              </w:rPr>
            </w:pPr>
            <w:r>
              <w:rPr>
                <w:rFonts w:cs="Arial"/>
              </w:rPr>
              <w:t>Governance</w:t>
            </w:r>
          </w:p>
        </w:tc>
        <w:tc>
          <w:tcPr>
            <w:tcW w:w="2133" w:type="dxa"/>
          </w:tcPr>
          <w:p w14:paraId="6F60E685"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3029DA99" w14:textId="77777777" w:rsidTr="0081442A">
        <w:trPr>
          <w:trHeight w:val="290"/>
        </w:trPr>
        <w:tc>
          <w:tcPr>
            <w:tcW w:w="706" w:type="dxa"/>
            <w:noWrap/>
          </w:tcPr>
          <w:p w14:paraId="70E90514" w14:textId="77777777" w:rsidR="0081442A" w:rsidRPr="0056085D" w:rsidRDefault="0081442A" w:rsidP="00257A7B">
            <w:pPr>
              <w:pStyle w:val="BodyText"/>
              <w:rPr>
                <w:rFonts w:cs="Arial"/>
                <w:b/>
                <w:bCs/>
              </w:rPr>
            </w:pPr>
            <w:r>
              <w:rPr>
                <w:rFonts w:cs="Arial"/>
                <w:b/>
                <w:bCs/>
              </w:rPr>
              <w:lastRenderedPageBreak/>
              <w:t>OE</w:t>
            </w:r>
            <w:r w:rsidRPr="0056085D">
              <w:rPr>
                <w:rFonts w:cs="Arial"/>
                <w:b/>
                <w:bCs/>
              </w:rPr>
              <w:t>4</w:t>
            </w:r>
          </w:p>
        </w:tc>
        <w:tc>
          <w:tcPr>
            <w:tcW w:w="2542" w:type="dxa"/>
          </w:tcPr>
          <w:p w14:paraId="3674B858" w14:textId="77777777" w:rsidR="0081442A" w:rsidRPr="0056085D" w:rsidRDefault="0081442A" w:rsidP="00257A7B">
            <w:pPr>
              <w:pStyle w:val="BodyText"/>
              <w:ind w:left="0"/>
              <w:rPr>
                <w:rFonts w:cs="Arial"/>
              </w:rPr>
            </w:pPr>
            <w:r w:rsidRPr="0056085D">
              <w:rPr>
                <w:rFonts w:cs="Arial"/>
              </w:rPr>
              <w:t>Record custom events and metrics from sites and services in Application Insights.</w:t>
            </w:r>
            <w:r w:rsidRPr="0056085D">
              <w:rPr>
                <w:rFonts w:cs="Arial"/>
              </w:rPr>
              <w:tab/>
            </w:r>
          </w:p>
        </w:tc>
        <w:tc>
          <w:tcPr>
            <w:tcW w:w="1445" w:type="dxa"/>
            <w:noWrap/>
          </w:tcPr>
          <w:p w14:paraId="36D0C6FC" w14:textId="77777777" w:rsidR="0081442A" w:rsidRPr="0056085D" w:rsidRDefault="0081442A" w:rsidP="00257A7B">
            <w:pPr>
              <w:pStyle w:val="BodyText"/>
              <w:jc w:val="center"/>
              <w:rPr>
                <w:rFonts w:cs="Arial"/>
              </w:rPr>
            </w:pPr>
            <w:r>
              <w:rPr>
                <w:rFonts w:cs="Arial"/>
              </w:rPr>
              <w:t>Yes</w:t>
            </w:r>
          </w:p>
        </w:tc>
        <w:tc>
          <w:tcPr>
            <w:tcW w:w="1496" w:type="dxa"/>
            <w:noWrap/>
          </w:tcPr>
          <w:p w14:paraId="026E822C" w14:textId="77777777" w:rsidR="0081442A" w:rsidRPr="0056085D" w:rsidRDefault="0081442A" w:rsidP="00257A7B">
            <w:pPr>
              <w:pStyle w:val="BodyText"/>
              <w:jc w:val="center"/>
              <w:rPr>
                <w:rFonts w:cs="Arial"/>
              </w:rPr>
            </w:pPr>
            <w:r>
              <w:rPr>
                <w:rFonts w:cs="Arial"/>
              </w:rPr>
              <w:t>No</w:t>
            </w:r>
          </w:p>
        </w:tc>
        <w:tc>
          <w:tcPr>
            <w:tcW w:w="1459" w:type="dxa"/>
          </w:tcPr>
          <w:p w14:paraId="6484968B" w14:textId="77777777" w:rsidR="0081442A" w:rsidRPr="0056085D" w:rsidRDefault="0081442A" w:rsidP="00257A7B">
            <w:pPr>
              <w:pStyle w:val="BodyText"/>
              <w:jc w:val="center"/>
              <w:rPr>
                <w:rFonts w:cs="Arial"/>
              </w:rPr>
            </w:pPr>
            <w:r>
              <w:rPr>
                <w:rFonts w:cs="Arial"/>
              </w:rPr>
              <w:t>Governance</w:t>
            </w:r>
          </w:p>
        </w:tc>
        <w:tc>
          <w:tcPr>
            <w:tcW w:w="2133" w:type="dxa"/>
          </w:tcPr>
          <w:p w14:paraId="4D90340E"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00320B15" w14:textId="77777777" w:rsidTr="0081442A">
        <w:trPr>
          <w:trHeight w:val="290"/>
        </w:trPr>
        <w:tc>
          <w:tcPr>
            <w:tcW w:w="706" w:type="dxa"/>
            <w:noWrap/>
          </w:tcPr>
          <w:p w14:paraId="50B3ED6F" w14:textId="77777777" w:rsidR="0081442A" w:rsidRPr="0056085D" w:rsidRDefault="0081442A" w:rsidP="00257A7B">
            <w:pPr>
              <w:pStyle w:val="BodyText"/>
              <w:rPr>
                <w:rFonts w:cs="Arial"/>
                <w:b/>
                <w:bCs/>
              </w:rPr>
            </w:pPr>
            <w:r>
              <w:rPr>
                <w:rFonts w:cs="Arial"/>
                <w:b/>
                <w:bCs/>
              </w:rPr>
              <w:t>OE</w:t>
            </w:r>
            <w:r w:rsidRPr="0056085D">
              <w:rPr>
                <w:rFonts w:cs="Arial"/>
                <w:b/>
                <w:bCs/>
              </w:rPr>
              <w:t>5</w:t>
            </w:r>
          </w:p>
        </w:tc>
        <w:tc>
          <w:tcPr>
            <w:tcW w:w="2542" w:type="dxa"/>
          </w:tcPr>
          <w:p w14:paraId="21A88A9A" w14:textId="77777777" w:rsidR="0081442A" w:rsidRPr="0056085D" w:rsidRDefault="0081442A" w:rsidP="00257A7B">
            <w:pPr>
              <w:pStyle w:val="BodyText"/>
              <w:rPr>
                <w:rFonts w:cs="Arial"/>
              </w:rPr>
            </w:pPr>
            <w:r w:rsidRPr="0056085D">
              <w:rPr>
                <w:rFonts w:cs="Arial"/>
              </w:rPr>
              <w:t>Use Application Insights to ingest existing log traces from common libraries, such as ILogger, Nlog, and log4Net.</w:t>
            </w:r>
            <w:r w:rsidRPr="0056085D">
              <w:rPr>
                <w:rFonts w:cs="Arial"/>
              </w:rPr>
              <w:tab/>
            </w:r>
          </w:p>
        </w:tc>
        <w:tc>
          <w:tcPr>
            <w:tcW w:w="1445" w:type="dxa"/>
            <w:noWrap/>
          </w:tcPr>
          <w:p w14:paraId="59D9F02A" w14:textId="77777777" w:rsidR="0081442A" w:rsidRPr="0056085D" w:rsidRDefault="0081442A" w:rsidP="00257A7B">
            <w:pPr>
              <w:pStyle w:val="BodyText"/>
              <w:jc w:val="center"/>
              <w:rPr>
                <w:rFonts w:cs="Arial"/>
              </w:rPr>
            </w:pPr>
            <w:r>
              <w:rPr>
                <w:rFonts w:cs="Arial"/>
              </w:rPr>
              <w:t>Yes</w:t>
            </w:r>
          </w:p>
        </w:tc>
        <w:tc>
          <w:tcPr>
            <w:tcW w:w="1496" w:type="dxa"/>
            <w:noWrap/>
          </w:tcPr>
          <w:p w14:paraId="18DF5A45" w14:textId="77777777" w:rsidR="0081442A" w:rsidRPr="0056085D" w:rsidRDefault="0081442A" w:rsidP="00257A7B">
            <w:pPr>
              <w:pStyle w:val="BodyText"/>
              <w:jc w:val="center"/>
              <w:rPr>
                <w:rFonts w:cs="Arial"/>
              </w:rPr>
            </w:pPr>
            <w:r>
              <w:rPr>
                <w:rFonts w:cs="Arial"/>
              </w:rPr>
              <w:t>No</w:t>
            </w:r>
          </w:p>
        </w:tc>
        <w:tc>
          <w:tcPr>
            <w:tcW w:w="1459" w:type="dxa"/>
          </w:tcPr>
          <w:p w14:paraId="4B96C8D4" w14:textId="77777777" w:rsidR="0081442A" w:rsidRPr="0056085D" w:rsidRDefault="0081442A" w:rsidP="00257A7B">
            <w:pPr>
              <w:pStyle w:val="BodyText"/>
              <w:jc w:val="center"/>
              <w:rPr>
                <w:rFonts w:cs="Arial"/>
              </w:rPr>
            </w:pPr>
            <w:r>
              <w:rPr>
                <w:rFonts w:cs="Arial"/>
              </w:rPr>
              <w:t>Governance</w:t>
            </w:r>
          </w:p>
        </w:tc>
        <w:tc>
          <w:tcPr>
            <w:tcW w:w="2133" w:type="dxa"/>
          </w:tcPr>
          <w:p w14:paraId="72A35CF5"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78693183" w14:textId="77777777" w:rsidTr="0081442A">
        <w:trPr>
          <w:trHeight w:val="290"/>
        </w:trPr>
        <w:tc>
          <w:tcPr>
            <w:tcW w:w="706" w:type="dxa"/>
            <w:noWrap/>
          </w:tcPr>
          <w:p w14:paraId="1ADFE3A5" w14:textId="77777777" w:rsidR="0081442A" w:rsidRPr="0056085D" w:rsidRDefault="0081442A" w:rsidP="00257A7B">
            <w:pPr>
              <w:pStyle w:val="BodyText"/>
              <w:rPr>
                <w:rFonts w:cs="Arial"/>
                <w:b/>
                <w:bCs/>
              </w:rPr>
            </w:pPr>
            <w:r>
              <w:rPr>
                <w:rFonts w:cs="Arial"/>
                <w:b/>
                <w:bCs/>
              </w:rPr>
              <w:t>OE</w:t>
            </w:r>
            <w:r w:rsidRPr="0056085D">
              <w:rPr>
                <w:rFonts w:cs="Arial"/>
                <w:b/>
                <w:bCs/>
              </w:rPr>
              <w:t>6</w:t>
            </w:r>
          </w:p>
        </w:tc>
        <w:tc>
          <w:tcPr>
            <w:tcW w:w="2542" w:type="dxa"/>
          </w:tcPr>
          <w:p w14:paraId="1A2D0191" w14:textId="77777777" w:rsidR="0081442A" w:rsidRPr="0056085D" w:rsidRDefault="0081442A" w:rsidP="00257A7B">
            <w:pPr>
              <w:pStyle w:val="BodyText"/>
              <w:rPr>
                <w:rFonts w:cs="Arial"/>
              </w:rPr>
            </w:pPr>
            <w:r w:rsidRPr="0056085D">
              <w:rPr>
                <w:rFonts w:cs="Arial"/>
              </w:rPr>
              <w:t>Become familiar with the Application Insights quotas and limits.</w:t>
            </w:r>
            <w:r w:rsidRPr="0056085D">
              <w:rPr>
                <w:rFonts w:cs="Arial"/>
              </w:rPr>
              <w:tab/>
            </w:r>
          </w:p>
        </w:tc>
        <w:tc>
          <w:tcPr>
            <w:tcW w:w="1445" w:type="dxa"/>
            <w:noWrap/>
          </w:tcPr>
          <w:p w14:paraId="4BA1EA9F" w14:textId="77777777" w:rsidR="0081442A" w:rsidRPr="0056085D" w:rsidRDefault="0081442A" w:rsidP="00257A7B">
            <w:pPr>
              <w:pStyle w:val="BodyText"/>
              <w:jc w:val="center"/>
              <w:rPr>
                <w:rFonts w:cs="Arial"/>
              </w:rPr>
            </w:pPr>
            <w:r>
              <w:rPr>
                <w:rFonts w:cs="Arial"/>
              </w:rPr>
              <w:t>Yes</w:t>
            </w:r>
          </w:p>
        </w:tc>
        <w:tc>
          <w:tcPr>
            <w:tcW w:w="1496" w:type="dxa"/>
            <w:noWrap/>
          </w:tcPr>
          <w:p w14:paraId="1DB2B286" w14:textId="77777777" w:rsidR="0081442A" w:rsidRPr="0056085D" w:rsidRDefault="0081442A" w:rsidP="00257A7B">
            <w:pPr>
              <w:pStyle w:val="BodyText"/>
              <w:jc w:val="center"/>
              <w:rPr>
                <w:rFonts w:cs="Arial"/>
              </w:rPr>
            </w:pPr>
            <w:r>
              <w:rPr>
                <w:rFonts w:cs="Arial"/>
              </w:rPr>
              <w:t>No</w:t>
            </w:r>
          </w:p>
        </w:tc>
        <w:tc>
          <w:tcPr>
            <w:tcW w:w="1459" w:type="dxa"/>
          </w:tcPr>
          <w:p w14:paraId="6B779392" w14:textId="77777777" w:rsidR="0081442A" w:rsidRPr="0056085D" w:rsidRDefault="0081442A" w:rsidP="00257A7B">
            <w:pPr>
              <w:pStyle w:val="BodyText"/>
              <w:jc w:val="center"/>
              <w:rPr>
                <w:rFonts w:cs="Arial"/>
              </w:rPr>
            </w:pPr>
            <w:r>
              <w:rPr>
                <w:rFonts w:cs="Arial"/>
              </w:rPr>
              <w:t>Governance</w:t>
            </w:r>
          </w:p>
        </w:tc>
        <w:tc>
          <w:tcPr>
            <w:tcW w:w="2133" w:type="dxa"/>
          </w:tcPr>
          <w:p w14:paraId="65654086" w14:textId="77777777" w:rsidR="0081442A" w:rsidRPr="0056085D" w:rsidRDefault="0081442A" w:rsidP="00257A7B">
            <w:pPr>
              <w:pStyle w:val="BodyText"/>
              <w:jc w:val="center"/>
              <w:rPr>
                <w:rFonts w:cs="Arial"/>
              </w:rPr>
            </w:pPr>
            <w:r>
              <w:rPr>
                <w:rFonts w:cs="Arial"/>
              </w:rPr>
              <w:t>Operational – at deployment</w:t>
            </w:r>
          </w:p>
        </w:tc>
      </w:tr>
      <w:tr w:rsidR="0081442A" w:rsidRPr="0056085D" w14:paraId="6DD93F33" w14:textId="77777777" w:rsidTr="0081442A">
        <w:trPr>
          <w:trHeight w:val="290"/>
        </w:trPr>
        <w:tc>
          <w:tcPr>
            <w:tcW w:w="706" w:type="dxa"/>
            <w:noWrap/>
          </w:tcPr>
          <w:p w14:paraId="769D70D0" w14:textId="77777777" w:rsidR="0081442A" w:rsidRPr="0056085D" w:rsidRDefault="0081442A" w:rsidP="00257A7B">
            <w:pPr>
              <w:pStyle w:val="BodyText"/>
              <w:rPr>
                <w:rFonts w:cs="Arial"/>
                <w:b/>
                <w:bCs/>
              </w:rPr>
            </w:pPr>
            <w:r>
              <w:rPr>
                <w:rFonts w:cs="Arial"/>
                <w:b/>
                <w:bCs/>
              </w:rPr>
              <w:t>OE</w:t>
            </w:r>
            <w:r w:rsidRPr="0056085D">
              <w:rPr>
                <w:rFonts w:cs="Arial"/>
                <w:b/>
                <w:bCs/>
              </w:rPr>
              <w:t>7</w:t>
            </w:r>
          </w:p>
        </w:tc>
        <w:tc>
          <w:tcPr>
            <w:tcW w:w="2542" w:type="dxa"/>
          </w:tcPr>
          <w:p w14:paraId="10FDD014" w14:textId="77777777" w:rsidR="0081442A" w:rsidRPr="0056085D" w:rsidRDefault="0081442A" w:rsidP="00257A7B">
            <w:pPr>
              <w:pStyle w:val="BodyText"/>
              <w:rPr>
                <w:rFonts w:cs="Arial"/>
              </w:rPr>
            </w:pPr>
            <w:r w:rsidRPr="0056085D">
              <w:rPr>
                <w:rFonts w:cs="Arial"/>
              </w:rPr>
              <w:t>Review the need for custom analysis. Use Application Insights data with tools such as Azure Dashboards or Power BI.</w:t>
            </w:r>
            <w:r w:rsidRPr="0056085D">
              <w:rPr>
                <w:rFonts w:cs="Arial"/>
              </w:rPr>
              <w:tab/>
            </w:r>
          </w:p>
        </w:tc>
        <w:tc>
          <w:tcPr>
            <w:tcW w:w="1445" w:type="dxa"/>
            <w:noWrap/>
          </w:tcPr>
          <w:p w14:paraId="7424541F" w14:textId="77777777" w:rsidR="0081442A" w:rsidRPr="0056085D" w:rsidRDefault="0081442A" w:rsidP="00257A7B">
            <w:pPr>
              <w:pStyle w:val="BodyText"/>
              <w:jc w:val="center"/>
              <w:rPr>
                <w:rFonts w:cs="Arial"/>
              </w:rPr>
            </w:pPr>
            <w:r>
              <w:rPr>
                <w:rFonts w:cs="Arial"/>
              </w:rPr>
              <w:t>Yes</w:t>
            </w:r>
          </w:p>
        </w:tc>
        <w:tc>
          <w:tcPr>
            <w:tcW w:w="1496" w:type="dxa"/>
            <w:noWrap/>
          </w:tcPr>
          <w:p w14:paraId="30BC26B1" w14:textId="77777777" w:rsidR="0081442A" w:rsidRPr="0056085D" w:rsidRDefault="0081442A" w:rsidP="00257A7B">
            <w:pPr>
              <w:pStyle w:val="BodyText"/>
              <w:jc w:val="center"/>
              <w:rPr>
                <w:rFonts w:cs="Arial"/>
              </w:rPr>
            </w:pPr>
            <w:r>
              <w:rPr>
                <w:rFonts w:cs="Arial"/>
              </w:rPr>
              <w:t>No</w:t>
            </w:r>
          </w:p>
        </w:tc>
        <w:tc>
          <w:tcPr>
            <w:tcW w:w="1459" w:type="dxa"/>
          </w:tcPr>
          <w:p w14:paraId="3D2530D6" w14:textId="77777777" w:rsidR="0081442A" w:rsidRPr="0056085D" w:rsidRDefault="0081442A" w:rsidP="00257A7B">
            <w:pPr>
              <w:pStyle w:val="BodyText"/>
              <w:jc w:val="center"/>
              <w:rPr>
                <w:rFonts w:cs="Arial"/>
              </w:rPr>
            </w:pPr>
            <w:r>
              <w:rPr>
                <w:rFonts w:cs="Arial"/>
              </w:rPr>
              <w:t>Governance</w:t>
            </w:r>
          </w:p>
        </w:tc>
        <w:tc>
          <w:tcPr>
            <w:tcW w:w="2133" w:type="dxa"/>
          </w:tcPr>
          <w:p w14:paraId="56CF6818" w14:textId="77777777" w:rsidR="0081442A" w:rsidRPr="0056085D" w:rsidRDefault="0081442A" w:rsidP="00257A7B">
            <w:pPr>
              <w:pStyle w:val="BodyText"/>
              <w:jc w:val="center"/>
              <w:rPr>
                <w:rFonts w:cs="Arial"/>
              </w:rPr>
            </w:pPr>
            <w:r>
              <w:rPr>
                <w:rFonts w:cs="Arial"/>
              </w:rPr>
              <w:t>Operational – review additional toolsets required</w:t>
            </w:r>
          </w:p>
        </w:tc>
      </w:tr>
      <w:tr w:rsidR="0081442A" w:rsidRPr="0056085D" w14:paraId="30666743" w14:textId="77777777" w:rsidTr="0081442A">
        <w:trPr>
          <w:trHeight w:val="290"/>
        </w:trPr>
        <w:tc>
          <w:tcPr>
            <w:tcW w:w="706" w:type="dxa"/>
            <w:noWrap/>
          </w:tcPr>
          <w:p w14:paraId="425A899A" w14:textId="77777777" w:rsidR="0081442A" w:rsidRPr="0056085D" w:rsidRDefault="0081442A" w:rsidP="00257A7B">
            <w:pPr>
              <w:pStyle w:val="BodyText"/>
              <w:rPr>
                <w:rFonts w:cs="Arial"/>
                <w:b/>
                <w:bCs/>
              </w:rPr>
            </w:pPr>
            <w:r>
              <w:rPr>
                <w:rFonts w:cs="Arial"/>
                <w:b/>
                <w:bCs/>
              </w:rPr>
              <w:t>OE</w:t>
            </w:r>
            <w:r w:rsidRPr="0056085D">
              <w:rPr>
                <w:rFonts w:cs="Arial"/>
                <w:b/>
                <w:bCs/>
              </w:rPr>
              <w:t>8</w:t>
            </w:r>
          </w:p>
        </w:tc>
        <w:tc>
          <w:tcPr>
            <w:tcW w:w="2542" w:type="dxa"/>
          </w:tcPr>
          <w:p w14:paraId="265DBF60" w14:textId="77777777" w:rsidR="0081442A" w:rsidRPr="0056085D" w:rsidRDefault="0081442A" w:rsidP="00257A7B">
            <w:pPr>
              <w:pStyle w:val="BodyText"/>
              <w:rPr>
                <w:rFonts w:cs="Arial"/>
              </w:rPr>
            </w:pPr>
            <w:r w:rsidRPr="0056085D">
              <w:rPr>
                <w:rFonts w:cs="Arial"/>
              </w:rPr>
              <w:t>Separate data across Application Insights resources.</w:t>
            </w:r>
            <w:r w:rsidRPr="0056085D">
              <w:rPr>
                <w:rFonts w:cs="Arial"/>
              </w:rPr>
              <w:tab/>
            </w:r>
          </w:p>
        </w:tc>
        <w:tc>
          <w:tcPr>
            <w:tcW w:w="1445" w:type="dxa"/>
            <w:noWrap/>
          </w:tcPr>
          <w:p w14:paraId="758384F6" w14:textId="77777777" w:rsidR="0081442A" w:rsidRPr="0056085D" w:rsidRDefault="0081442A" w:rsidP="00257A7B">
            <w:pPr>
              <w:pStyle w:val="BodyText"/>
              <w:jc w:val="center"/>
              <w:rPr>
                <w:rFonts w:cs="Arial"/>
              </w:rPr>
            </w:pPr>
            <w:r>
              <w:rPr>
                <w:rFonts w:cs="Arial"/>
              </w:rPr>
              <w:t>Yes</w:t>
            </w:r>
          </w:p>
        </w:tc>
        <w:tc>
          <w:tcPr>
            <w:tcW w:w="1496" w:type="dxa"/>
            <w:noWrap/>
          </w:tcPr>
          <w:p w14:paraId="5190CF52" w14:textId="77777777" w:rsidR="0081442A" w:rsidRPr="0056085D" w:rsidRDefault="0081442A" w:rsidP="00257A7B">
            <w:pPr>
              <w:pStyle w:val="BodyText"/>
              <w:jc w:val="center"/>
              <w:rPr>
                <w:rFonts w:cs="Arial"/>
              </w:rPr>
            </w:pPr>
            <w:r>
              <w:rPr>
                <w:rFonts w:cs="Arial"/>
              </w:rPr>
              <w:t>No</w:t>
            </w:r>
          </w:p>
        </w:tc>
        <w:tc>
          <w:tcPr>
            <w:tcW w:w="1459" w:type="dxa"/>
          </w:tcPr>
          <w:p w14:paraId="3B6E63AB" w14:textId="77777777" w:rsidR="0081442A" w:rsidRPr="0056085D" w:rsidRDefault="0081442A" w:rsidP="00257A7B">
            <w:pPr>
              <w:pStyle w:val="BodyText"/>
              <w:jc w:val="center"/>
              <w:rPr>
                <w:rFonts w:cs="Arial"/>
              </w:rPr>
            </w:pPr>
            <w:r>
              <w:rPr>
                <w:rFonts w:cs="Arial"/>
              </w:rPr>
              <w:t>Governance</w:t>
            </w:r>
          </w:p>
        </w:tc>
        <w:tc>
          <w:tcPr>
            <w:tcW w:w="2133" w:type="dxa"/>
          </w:tcPr>
          <w:p w14:paraId="14F259A9" w14:textId="77777777" w:rsidR="0081442A" w:rsidRPr="0056085D" w:rsidRDefault="0081442A" w:rsidP="00257A7B">
            <w:pPr>
              <w:pStyle w:val="BodyText"/>
              <w:keepNext/>
              <w:jc w:val="center"/>
              <w:rPr>
                <w:rFonts w:cs="Arial"/>
              </w:rPr>
            </w:pPr>
            <w:r>
              <w:rPr>
                <w:rFonts w:cs="Arial"/>
              </w:rPr>
              <w:t>Operational – during application landing zone design</w:t>
            </w:r>
          </w:p>
        </w:tc>
      </w:tr>
    </w:tbl>
    <w:p w14:paraId="7D0C5DAF" w14:textId="77777777" w:rsidR="00BC04D8" w:rsidRDefault="00BC04D8" w:rsidP="00441740">
      <w:pPr>
        <w:pStyle w:val="BodyText"/>
      </w:pPr>
    </w:p>
    <w:p w14:paraId="32AD1809" w14:textId="77777777" w:rsidR="00E42EF6" w:rsidRDefault="00E42EF6" w:rsidP="00441740">
      <w:pPr>
        <w:pStyle w:val="BodyText"/>
      </w:pPr>
    </w:p>
    <w:bookmarkStart w:id="7" w:name="_Toc157090449"/>
    <w:p w14:paraId="44B0C0C5" w14:textId="07D315F9" w:rsidR="002629A2" w:rsidRDefault="00000000" w:rsidP="002629A2">
      <w:pPr>
        <w:pStyle w:val="Heading3"/>
        <w:numPr>
          <w:ilvl w:val="2"/>
          <w:numId w:val="7"/>
        </w:numPr>
      </w:pPr>
      <w:sdt>
        <w:sdtPr>
          <w:alias w:val="Category"/>
          <w:tag w:val=""/>
          <w:id w:val="-1597784132"/>
          <w:placeholder>
            <w:docPart w:val="478A25C18D70465CB5097D672CA5D08B"/>
          </w:placeholder>
          <w:dataBinding w:prefixMappings="xmlns:ns0='http://purl.org/dc/elements/1.1/' xmlns:ns1='http://schemas.openxmlformats.org/package/2006/metadata/core-properties' " w:xpath="/ns1:coreProperties[1]/ns1:category[1]" w:storeItemID="{6C3C8BC8-F283-45AE-878A-BAB7291924A1}"/>
          <w:text/>
        </w:sdtPr>
        <w:sdtContent>
          <w:r w:rsidR="002629A2">
            <w:t>Azure Monitor and Insights, Log Analytics Workspace and Alerting Combined</w:t>
          </w:r>
        </w:sdtContent>
      </w:sdt>
      <w:r w:rsidR="002629A2">
        <w:t xml:space="preserve"> </w:t>
      </w:r>
      <w:r w:rsidR="002629A2" w:rsidRPr="002629A2">
        <w:rPr>
          <w:highlight w:val="yellow"/>
        </w:rPr>
        <w:t>Security</w:t>
      </w:r>
      <w:r w:rsidR="002629A2">
        <w:t xml:space="preserve"> Checklist</w:t>
      </w:r>
      <w:bookmarkEnd w:id="7"/>
    </w:p>
    <w:tbl>
      <w:tblPr>
        <w:tblStyle w:val="AVTable1"/>
        <w:tblW w:w="9356" w:type="dxa"/>
        <w:tblLook w:val="04A0" w:firstRow="1" w:lastRow="0" w:firstColumn="1" w:lastColumn="0" w:noHBand="0" w:noVBand="1"/>
      </w:tblPr>
      <w:tblGrid>
        <w:gridCol w:w="474"/>
        <w:gridCol w:w="690"/>
        <w:gridCol w:w="2916"/>
        <w:gridCol w:w="1220"/>
        <w:gridCol w:w="1375"/>
        <w:gridCol w:w="1377"/>
        <w:gridCol w:w="1304"/>
      </w:tblGrid>
      <w:tr w:rsidR="002629A2" w:rsidRPr="00396661" w14:paraId="6B7AF3FF" w14:textId="77777777" w:rsidTr="00257A7B">
        <w:trPr>
          <w:cnfStyle w:val="100000000000" w:firstRow="1" w:lastRow="0" w:firstColumn="0" w:lastColumn="0" w:oddVBand="0" w:evenVBand="0" w:oddHBand="0" w:evenHBand="0" w:firstRowFirstColumn="0" w:firstRowLastColumn="0" w:lastRowFirstColumn="0" w:lastRowLastColumn="0"/>
          <w:trHeight w:val="290"/>
        </w:trPr>
        <w:tc>
          <w:tcPr>
            <w:tcW w:w="458" w:type="dxa"/>
            <w:tcBorders>
              <w:bottom w:val="single" w:sz="4" w:space="0" w:color="002776"/>
            </w:tcBorders>
            <w:noWrap/>
            <w:hideMark/>
          </w:tcPr>
          <w:p w14:paraId="4BE021A7" w14:textId="77777777" w:rsidR="002629A2" w:rsidRPr="00396661" w:rsidRDefault="002629A2" w:rsidP="00257A7B">
            <w:pPr>
              <w:pStyle w:val="BodyText"/>
              <w:rPr>
                <w:rFonts w:cs="Arial"/>
                <w:bCs/>
                <w:color w:val="FFFFFF" w:themeColor="background1"/>
                <w:sz w:val="20"/>
                <w:szCs w:val="20"/>
              </w:rPr>
            </w:pPr>
            <w:r w:rsidRPr="00396661">
              <w:rPr>
                <w:rFonts w:cs="Arial"/>
                <w:bCs/>
                <w:color w:val="FFFFFF" w:themeColor="background1"/>
                <w:sz w:val="20"/>
                <w:szCs w:val="20"/>
              </w:rPr>
              <w:t>ID</w:t>
            </w:r>
          </w:p>
        </w:tc>
        <w:tc>
          <w:tcPr>
            <w:tcW w:w="691" w:type="dxa"/>
            <w:tcBorders>
              <w:bottom w:val="single" w:sz="4" w:space="0" w:color="002776"/>
            </w:tcBorders>
          </w:tcPr>
          <w:p w14:paraId="7077E692" w14:textId="77777777" w:rsidR="002629A2" w:rsidRPr="00396661" w:rsidRDefault="002629A2" w:rsidP="00257A7B">
            <w:pPr>
              <w:pStyle w:val="BodyText"/>
              <w:rPr>
                <w:rFonts w:cs="Arial"/>
                <w:color w:val="FFFFFF" w:themeColor="background1"/>
                <w:sz w:val="20"/>
                <w:szCs w:val="20"/>
              </w:rPr>
            </w:pPr>
            <w:r w:rsidRPr="00396661">
              <w:rPr>
                <w:rFonts w:cs="Arial"/>
                <w:color w:val="FFFFFF" w:themeColor="background1"/>
                <w:sz w:val="20"/>
                <w:szCs w:val="20"/>
              </w:rPr>
              <w:t>DH Ref.</w:t>
            </w:r>
          </w:p>
        </w:tc>
        <w:tc>
          <w:tcPr>
            <w:tcW w:w="2962" w:type="dxa"/>
            <w:tcBorders>
              <w:bottom w:val="single" w:sz="4" w:space="0" w:color="002776"/>
            </w:tcBorders>
            <w:hideMark/>
          </w:tcPr>
          <w:p w14:paraId="42D56640" w14:textId="77777777" w:rsidR="002629A2" w:rsidRPr="00396661" w:rsidRDefault="002629A2" w:rsidP="00257A7B">
            <w:pPr>
              <w:pStyle w:val="BodyText"/>
              <w:rPr>
                <w:rFonts w:cs="Arial"/>
                <w:bCs/>
                <w:color w:val="FFFFFF" w:themeColor="background1"/>
                <w:sz w:val="20"/>
                <w:szCs w:val="20"/>
              </w:rPr>
            </w:pPr>
            <w:r w:rsidRPr="00396661">
              <w:rPr>
                <w:rFonts w:cs="Arial"/>
                <w:bCs/>
                <w:color w:val="FFFFFF" w:themeColor="background1"/>
                <w:sz w:val="20"/>
                <w:szCs w:val="20"/>
              </w:rPr>
              <w:t>Checklist Item</w:t>
            </w:r>
          </w:p>
        </w:tc>
        <w:tc>
          <w:tcPr>
            <w:tcW w:w="1204" w:type="dxa"/>
            <w:tcBorders>
              <w:bottom w:val="single" w:sz="4" w:space="0" w:color="002776"/>
            </w:tcBorders>
            <w:noWrap/>
            <w:hideMark/>
          </w:tcPr>
          <w:p w14:paraId="0FC07ECB" w14:textId="77777777" w:rsidR="002629A2" w:rsidRPr="00396661" w:rsidRDefault="002629A2" w:rsidP="00257A7B">
            <w:pPr>
              <w:pStyle w:val="BodyText"/>
              <w:rPr>
                <w:rFonts w:cs="Arial"/>
                <w:bCs/>
                <w:color w:val="FFFFFF" w:themeColor="background1"/>
                <w:sz w:val="20"/>
                <w:szCs w:val="20"/>
              </w:rPr>
            </w:pPr>
            <w:r w:rsidRPr="00396661">
              <w:rPr>
                <w:rFonts w:cs="Arial"/>
                <w:bCs/>
                <w:color w:val="FFFFFF" w:themeColor="background1"/>
                <w:sz w:val="20"/>
                <w:szCs w:val="20"/>
              </w:rPr>
              <w:t>Applicable to AV</w:t>
            </w:r>
          </w:p>
        </w:tc>
        <w:tc>
          <w:tcPr>
            <w:tcW w:w="1359" w:type="dxa"/>
            <w:noWrap/>
            <w:hideMark/>
          </w:tcPr>
          <w:p w14:paraId="66CCE78B" w14:textId="77777777" w:rsidR="002629A2" w:rsidRPr="00396661" w:rsidRDefault="002629A2" w:rsidP="00257A7B">
            <w:pPr>
              <w:pStyle w:val="BodyText"/>
              <w:rPr>
                <w:rFonts w:cs="Arial"/>
                <w:bCs/>
                <w:color w:val="FFFFFF" w:themeColor="background1"/>
                <w:sz w:val="20"/>
                <w:szCs w:val="20"/>
              </w:rPr>
            </w:pPr>
            <w:r w:rsidRPr="00396661">
              <w:rPr>
                <w:rFonts w:cs="Arial"/>
                <w:bCs/>
                <w:color w:val="FFFFFF" w:themeColor="background1"/>
                <w:sz w:val="20"/>
                <w:szCs w:val="20"/>
              </w:rPr>
              <w:t>Built Into Template</w:t>
            </w:r>
          </w:p>
        </w:tc>
        <w:tc>
          <w:tcPr>
            <w:tcW w:w="1378" w:type="dxa"/>
          </w:tcPr>
          <w:p w14:paraId="5DDBA95E" w14:textId="77777777" w:rsidR="002629A2" w:rsidRPr="00396661" w:rsidRDefault="002629A2" w:rsidP="00257A7B">
            <w:pPr>
              <w:pStyle w:val="BodyText"/>
              <w:rPr>
                <w:rFonts w:cs="Arial"/>
                <w:color w:val="FFFFFF" w:themeColor="background1"/>
                <w:sz w:val="20"/>
                <w:szCs w:val="20"/>
              </w:rPr>
            </w:pPr>
            <w:r w:rsidRPr="00396661">
              <w:rPr>
                <w:rFonts w:cs="Arial"/>
                <w:color w:val="FFFFFF" w:themeColor="background1"/>
                <w:sz w:val="20"/>
                <w:szCs w:val="20"/>
              </w:rPr>
              <w:t>Enforcement Option</w:t>
            </w:r>
          </w:p>
        </w:tc>
        <w:tc>
          <w:tcPr>
            <w:tcW w:w="1304" w:type="dxa"/>
          </w:tcPr>
          <w:p w14:paraId="4EFD6E3D" w14:textId="77777777" w:rsidR="002629A2" w:rsidRPr="00396661" w:rsidRDefault="002629A2" w:rsidP="00257A7B">
            <w:pPr>
              <w:pStyle w:val="BodyText"/>
              <w:rPr>
                <w:rFonts w:cs="Arial"/>
                <w:color w:val="FFFFFF" w:themeColor="background1"/>
                <w:sz w:val="20"/>
                <w:szCs w:val="20"/>
              </w:rPr>
            </w:pPr>
            <w:r w:rsidRPr="00396661">
              <w:rPr>
                <w:rFonts w:cs="Arial"/>
                <w:color w:val="FFFFFF" w:themeColor="background1"/>
                <w:sz w:val="20"/>
                <w:szCs w:val="20"/>
              </w:rPr>
              <w:t>Applicability</w:t>
            </w:r>
          </w:p>
        </w:tc>
      </w:tr>
      <w:tr w:rsidR="002629A2" w:rsidRPr="00396661" w14:paraId="0E67B8BD" w14:textId="77777777" w:rsidTr="00257A7B">
        <w:trPr>
          <w:trHeight w:val="290"/>
        </w:trPr>
        <w:tc>
          <w:tcPr>
            <w:tcW w:w="458" w:type="dxa"/>
            <w:tcBorders>
              <w:bottom w:val="single" w:sz="4" w:space="0" w:color="auto"/>
            </w:tcBorders>
            <w:noWrap/>
            <w:vAlign w:val="center"/>
            <w:hideMark/>
          </w:tcPr>
          <w:p w14:paraId="66EF75AB" w14:textId="77777777" w:rsidR="002629A2" w:rsidRPr="00396661" w:rsidRDefault="002629A2" w:rsidP="00257A7B">
            <w:pPr>
              <w:pStyle w:val="BodyText"/>
              <w:rPr>
                <w:rFonts w:cs="Arial"/>
                <w:b/>
                <w:bCs/>
                <w:color w:val="000000"/>
                <w:sz w:val="20"/>
                <w:szCs w:val="20"/>
                <w:shd w:val="clear" w:color="auto" w:fill="FFFFFF"/>
              </w:rPr>
            </w:pPr>
            <w:r w:rsidRPr="00396661">
              <w:rPr>
                <w:rFonts w:cs="Arial"/>
                <w:b/>
                <w:bCs/>
                <w:color w:val="000000"/>
                <w:sz w:val="20"/>
                <w:szCs w:val="20"/>
                <w:shd w:val="clear" w:color="auto" w:fill="FFFFFF"/>
              </w:rPr>
              <w:t>S1</w:t>
            </w:r>
          </w:p>
        </w:tc>
        <w:tc>
          <w:tcPr>
            <w:tcW w:w="691" w:type="dxa"/>
            <w:tcBorders>
              <w:bottom w:val="single" w:sz="4" w:space="0" w:color="auto"/>
            </w:tcBorders>
            <w:vAlign w:val="center"/>
          </w:tcPr>
          <w:p w14:paraId="0B822107" w14:textId="77777777" w:rsidR="002629A2" w:rsidRPr="00396661" w:rsidRDefault="002629A2" w:rsidP="00257A7B">
            <w:pPr>
              <w:pStyle w:val="BodyText"/>
              <w:rPr>
                <w:rFonts w:cs="Arial"/>
                <w:color w:val="000000"/>
                <w:sz w:val="20"/>
                <w:szCs w:val="20"/>
                <w:shd w:val="clear" w:color="auto" w:fill="FFFFFF"/>
              </w:rPr>
            </w:pPr>
            <w:r w:rsidRPr="00396661">
              <w:rPr>
                <w:rFonts w:cs="Arial"/>
                <w:color w:val="000000"/>
                <w:sz w:val="20"/>
                <w:szCs w:val="20"/>
              </w:rPr>
              <w:t>16.1.1</w:t>
            </w:r>
          </w:p>
        </w:tc>
        <w:tc>
          <w:tcPr>
            <w:tcW w:w="2962" w:type="dxa"/>
            <w:tcBorders>
              <w:bottom w:val="single" w:sz="4" w:space="0" w:color="auto"/>
            </w:tcBorders>
            <w:vAlign w:val="center"/>
          </w:tcPr>
          <w:p w14:paraId="1A39BF58" w14:textId="77777777" w:rsidR="002629A2" w:rsidRPr="00396661" w:rsidRDefault="002629A2" w:rsidP="00257A7B">
            <w:pPr>
              <w:pStyle w:val="BodyText"/>
              <w:rPr>
                <w:rFonts w:cs="Arial"/>
                <w:color w:val="000000"/>
                <w:sz w:val="20"/>
                <w:szCs w:val="20"/>
                <w:shd w:val="clear" w:color="auto" w:fill="FFFFFF"/>
              </w:rPr>
            </w:pPr>
            <w:r w:rsidRPr="00396661">
              <w:rPr>
                <w:rFonts w:cs="Arial"/>
                <w:color w:val="000000"/>
                <w:sz w:val="20"/>
                <w:szCs w:val="20"/>
              </w:rPr>
              <w:t>Establish and maintain an audit log management and monitoring process that defines the enterprise’s logging requirements. At a minimum, address the collection, review, and retention of audit logs for enterprise assets. Review and update documentation annually, or when significant enterprise changes occur that could impact this Safeguard.</w:t>
            </w:r>
          </w:p>
        </w:tc>
        <w:tc>
          <w:tcPr>
            <w:tcW w:w="1204" w:type="dxa"/>
            <w:tcBorders>
              <w:bottom w:val="single" w:sz="4" w:space="0" w:color="auto"/>
            </w:tcBorders>
            <w:noWrap/>
            <w:vAlign w:val="center"/>
          </w:tcPr>
          <w:p w14:paraId="346E567B" w14:textId="77777777" w:rsidR="002629A2" w:rsidRPr="00396661" w:rsidRDefault="002629A2" w:rsidP="00257A7B">
            <w:pPr>
              <w:pStyle w:val="BodyText"/>
              <w:jc w:val="center"/>
              <w:rPr>
                <w:rFonts w:cs="Arial"/>
                <w:color w:val="000000"/>
                <w:sz w:val="20"/>
                <w:szCs w:val="20"/>
                <w:shd w:val="clear" w:color="auto" w:fill="FFFFFF"/>
              </w:rPr>
            </w:pPr>
            <w:r w:rsidRPr="00396661">
              <w:rPr>
                <w:rFonts w:cs="Arial"/>
                <w:color w:val="000000"/>
                <w:sz w:val="20"/>
                <w:szCs w:val="20"/>
                <w:shd w:val="clear" w:color="auto" w:fill="FFFFFF"/>
              </w:rPr>
              <w:t>Yes</w:t>
            </w:r>
          </w:p>
        </w:tc>
        <w:tc>
          <w:tcPr>
            <w:tcW w:w="1359" w:type="dxa"/>
            <w:noWrap/>
            <w:vAlign w:val="center"/>
          </w:tcPr>
          <w:p w14:paraId="07F8796A" w14:textId="77777777" w:rsidR="002629A2" w:rsidRPr="00396661" w:rsidRDefault="002629A2" w:rsidP="00257A7B">
            <w:pPr>
              <w:pStyle w:val="BodyText"/>
              <w:jc w:val="center"/>
              <w:rPr>
                <w:rFonts w:cs="Arial"/>
                <w:color w:val="000000"/>
                <w:sz w:val="20"/>
                <w:szCs w:val="20"/>
                <w:shd w:val="clear" w:color="auto" w:fill="FFFFFF"/>
              </w:rPr>
            </w:pPr>
            <w:r w:rsidRPr="00396661">
              <w:rPr>
                <w:rFonts w:cs="Arial"/>
                <w:color w:val="000000"/>
                <w:sz w:val="20"/>
                <w:szCs w:val="20"/>
                <w:shd w:val="clear" w:color="auto" w:fill="FFFFFF"/>
              </w:rPr>
              <w:t>No</w:t>
            </w:r>
          </w:p>
        </w:tc>
        <w:tc>
          <w:tcPr>
            <w:tcW w:w="1378" w:type="dxa"/>
            <w:vAlign w:val="center"/>
          </w:tcPr>
          <w:p w14:paraId="62568AFB" w14:textId="77777777" w:rsidR="002629A2" w:rsidRPr="00396661" w:rsidRDefault="002629A2" w:rsidP="00257A7B">
            <w:pPr>
              <w:pStyle w:val="BodyText"/>
              <w:jc w:val="center"/>
              <w:rPr>
                <w:rFonts w:cs="Arial"/>
                <w:color w:val="000000" w:themeColor="text1"/>
                <w:sz w:val="20"/>
                <w:szCs w:val="20"/>
              </w:rPr>
            </w:pPr>
            <w:r w:rsidRPr="00396661">
              <w:rPr>
                <w:rFonts w:cs="Arial"/>
                <w:color w:val="000000" w:themeColor="text1"/>
                <w:sz w:val="20"/>
                <w:szCs w:val="20"/>
              </w:rPr>
              <w:t>Governance</w:t>
            </w:r>
          </w:p>
        </w:tc>
        <w:tc>
          <w:tcPr>
            <w:tcW w:w="1304" w:type="dxa"/>
            <w:vAlign w:val="center"/>
          </w:tcPr>
          <w:p w14:paraId="2D1EB738" w14:textId="77777777" w:rsidR="002629A2" w:rsidRPr="00396661" w:rsidRDefault="002629A2" w:rsidP="00257A7B">
            <w:pPr>
              <w:pStyle w:val="BodyText"/>
              <w:jc w:val="center"/>
              <w:rPr>
                <w:rFonts w:cs="Arial"/>
                <w:color w:val="000000" w:themeColor="text1"/>
                <w:sz w:val="20"/>
                <w:szCs w:val="20"/>
              </w:rPr>
            </w:pPr>
            <w:r w:rsidRPr="00396661">
              <w:rPr>
                <w:rFonts w:cs="Arial"/>
                <w:color w:val="000000" w:themeColor="text1"/>
                <w:sz w:val="20"/>
                <w:szCs w:val="20"/>
              </w:rPr>
              <w:t>Operational – review quarterly</w:t>
            </w:r>
          </w:p>
        </w:tc>
      </w:tr>
      <w:tr w:rsidR="002629A2" w:rsidRPr="00396661" w14:paraId="01B26012" w14:textId="77777777" w:rsidTr="00257A7B">
        <w:trPr>
          <w:trHeight w:val="290"/>
        </w:trPr>
        <w:tc>
          <w:tcPr>
            <w:tcW w:w="458" w:type="dxa"/>
            <w:tcBorders>
              <w:top w:val="single" w:sz="4" w:space="0" w:color="auto"/>
            </w:tcBorders>
            <w:noWrap/>
            <w:vAlign w:val="center"/>
            <w:hideMark/>
          </w:tcPr>
          <w:p w14:paraId="3C26D286" w14:textId="77777777" w:rsidR="002629A2" w:rsidRPr="00396661" w:rsidRDefault="002629A2" w:rsidP="00257A7B">
            <w:pPr>
              <w:pStyle w:val="BodyText"/>
              <w:rPr>
                <w:rFonts w:cs="Arial"/>
                <w:b/>
                <w:bCs/>
                <w:color w:val="000000"/>
                <w:sz w:val="20"/>
                <w:szCs w:val="20"/>
                <w:shd w:val="clear" w:color="auto" w:fill="FFFFFF"/>
              </w:rPr>
            </w:pPr>
            <w:r w:rsidRPr="00396661">
              <w:rPr>
                <w:rFonts w:cs="Arial"/>
                <w:b/>
                <w:bCs/>
                <w:color w:val="000000"/>
                <w:sz w:val="20"/>
                <w:szCs w:val="20"/>
                <w:shd w:val="clear" w:color="auto" w:fill="FFFFFF"/>
              </w:rPr>
              <w:t>S2</w:t>
            </w:r>
          </w:p>
        </w:tc>
        <w:tc>
          <w:tcPr>
            <w:tcW w:w="691" w:type="dxa"/>
            <w:tcBorders>
              <w:top w:val="single" w:sz="4" w:space="0" w:color="auto"/>
            </w:tcBorders>
            <w:vAlign w:val="center"/>
          </w:tcPr>
          <w:p w14:paraId="38672A6F" w14:textId="77777777" w:rsidR="002629A2" w:rsidRPr="00396661" w:rsidRDefault="002629A2" w:rsidP="00257A7B">
            <w:pPr>
              <w:pStyle w:val="BodyText"/>
              <w:rPr>
                <w:rFonts w:cs="Arial"/>
                <w:color w:val="000000"/>
                <w:sz w:val="20"/>
                <w:szCs w:val="20"/>
                <w:shd w:val="clear" w:color="auto" w:fill="FFFFFF"/>
              </w:rPr>
            </w:pPr>
            <w:r w:rsidRPr="00396661">
              <w:rPr>
                <w:rFonts w:cs="Arial"/>
                <w:color w:val="000000"/>
                <w:sz w:val="20"/>
                <w:szCs w:val="20"/>
              </w:rPr>
              <w:t>16.2.1</w:t>
            </w:r>
          </w:p>
        </w:tc>
        <w:tc>
          <w:tcPr>
            <w:tcW w:w="2962" w:type="dxa"/>
            <w:tcBorders>
              <w:top w:val="single" w:sz="4" w:space="0" w:color="auto"/>
            </w:tcBorders>
            <w:vAlign w:val="center"/>
          </w:tcPr>
          <w:p w14:paraId="68D3B04D" w14:textId="77777777" w:rsidR="002629A2" w:rsidRPr="00396661" w:rsidRDefault="002629A2" w:rsidP="00257A7B">
            <w:pPr>
              <w:pStyle w:val="BodyText"/>
              <w:rPr>
                <w:rFonts w:cs="Arial"/>
                <w:sz w:val="20"/>
                <w:szCs w:val="20"/>
              </w:rPr>
            </w:pPr>
            <w:r w:rsidRPr="00396661">
              <w:rPr>
                <w:rFonts w:cs="Arial"/>
                <w:color w:val="000000"/>
                <w:sz w:val="20"/>
                <w:szCs w:val="20"/>
              </w:rPr>
              <w:t xml:space="preserve">Collect audit logs and ensure adequate audit log storage for critical servers, workstations, </w:t>
            </w:r>
            <w:r w:rsidRPr="00396661">
              <w:rPr>
                <w:rFonts w:cs="Arial"/>
                <w:color w:val="000000"/>
                <w:sz w:val="20"/>
                <w:szCs w:val="20"/>
              </w:rPr>
              <w:lastRenderedPageBreak/>
              <w:t>laptops and other devices and stored securely.</w:t>
            </w:r>
          </w:p>
        </w:tc>
        <w:tc>
          <w:tcPr>
            <w:tcW w:w="1204" w:type="dxa"/>
            <w:tcBorders>
              <w:top w:val="single" w:sz="4" w:space="0" w:color="auto"/>
            </w:tcBorders>
            <w:noWrap/>
            <w:vAlign w:val="center"/>
          </w:tcPr>
          <w:p w14:paraId="1C1F5ADC" w14:textId="77777777" w:rsidR="002629A2" w:rsidRPr="00396661" w:rsidRDefault="002629A2" w:rsidP="00257A7B">
            <w:pPr>
              <w:pStyle w:val="BodyText"/>
              <w:jc w:val="center"/>
              <w:rPr>
                <w:rFonts w:cs="Arial"/>
                <w:sz w:val="20"/>
                <w:szCs w:val="20"/>
              </w:rPr>
            </w:pPr>
            <w:r w:rsidRPr="00396661">
              <w:rPr>
                <w:rFonts w:cs="Arial"/>
                <w:sz w:val="20"/>
                <w:szCs w:val="20"/>
              </w:rPr>
              <w:lastRenderedPageBreak/>
              <w:t>Yes</w:t>
            </w:r>
          </w:p>
        </w:tc>
        <w:tc>
          <w:tcPr>
            <w:tcW w:w="1359" w:type="dxa"/>
            <w:noWrap/>
            <w:vAlign w:val="center"/>
          </w:tcPr>
          <w:p w14:paraId="79ED5813"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78" w:type="dxa"/>
            <w:vAlign w:val="center"/>
          </w:tcPr>
          <w:p w14:paraId="2158CCE9" w14:textId="77777777" w:rsidR="002629A2" w:rsidRPr="00396661" w:rsidRDefault="002629A2" w:rsidP="00257A7B">
            <w:pPr>
              <w:pStyle w:val="BodyText"/>
              <w:jc w:val="center"/>
              <w:rPr>
                <w:rFonts w:cs="Arial"/>
                <w:sz w:val="20"/>
                <w:szCs w:val="20"/>
              </w:rPr>
            </w:pPr>
            <w:r w:rsidRPr="00396661">
              <w:rPr>
                <w:rFonts w:cs="Arial"/>
                <w:sz w:val="20"/>
                <w:szCs w:val="20"/>
              </w:rPr>
              <w:t>IaC</w:t>
            </w:r>
          </w:p>
        </w:tc>
        <w:tc>
          <w:tcPr>
            <w:tcW w:w="1304" w:type="dxa"/>
            <w:vAlign w:val="center"/>
          </w:tcPr>
          <w:p w14:paraId="66B9D1CC" w14:textId="77777777" w:rsidR="002629A2" w:rsidRPr="00396661" w:rsidRDefault="002629A2" w:rsidP="00257A7B">
            <w:pPr>
              <w:pStyle w:val="BodyText"/>
              <w:jc w:val="center"/>
              <w:rPr>
                <w:rFonts w:cs="Arial"/>
                <w:sz w:val="20"/>
                <w:szCs w:val="20"/>
              </w:rPr>
            </w:pPr>
            <w:r w:rsidRPr="00396661">
              <w:rPr>
                <w:rFonts w:cs="Arial"/>
                <w:sz w:val="20"/>
                <w:szCs w:val="20"/>
              </w:rPr>
              <w:t xml:space="preserve">At deployment </w:t>
            </w:r>
            <w:r w:rsidRPr="00396661">
              <w:rPr>
                <w:rFonts w:cs="Arial"/>
                <w:sz w:val="20"/>
                <w:szCs w:val="20"/>
              </w:rPr>
              <w:lastRenderedPageBreak/>
              <w:t>of each resource</w:t>
            </w:r>
          </w:p>
        </w:tc>
      </w:tr>
      <w:tr w:rsidR="002629A2" w:rsidRPr="00396661" w14:paraId="30D84052" w14:textId="77777777" w:rsidTr="00257A7B">
        <w:trPr>
          <w:trHeight w:val="290"/>
        </w:trPr>
        <w:tc>
          <w:tcPr>
            <w:tcW w:w="458" w:type="dxa"/>
            <w:noWrap/>
            <w:vAlign w:val="center"/>
          </w:tcPr>
          <w:p w14:paraId="331C47AA" w14:textId="77777777" w:rsidR="002629A2" w:rsidRPr="00396661" w:rsidRDefault="002629A2" w:rsidP="00257A7B">
            <w:pPr>
              <w:spacing w:line="240" w:lineRule="auto"/>
              <w:rPr>
                <w:rFonts w:cs="Arial"/>
                <w:b/>
                <w:bCs/>
                <w:color w:val="000000"/>
                <w:sz w:val="20"/>
                <w:szCs w:val="20"/>
                <w:shd w:val="clear" w:color="auto" w:fill="FFFFFF"/>
              </w:rPr>
            </w:pPr>
            <w:r w:rsidRPr="00396661">
              <w:rPr>
                <w:rFonts w:cs="Arial"/>
                <w:b/>
                <w:bCs/>
                <w:color w:val="000000"/>
                <w:sz w:val="20"/>
                <w:szCs w:val="20"/>
                <w:shd w:val="clear" w:color="auto" w:fill="FFFFFF"/>
              </w:rPr>
              <w:lastRenderedPageBreak/>
              <w:t>S3</w:t>
            </w:r>
          </w:p>
        </w:tc>
        <w:tc>
          <w:tcPr>
            <w:tcW w:w="691" w:type="dxa"/>
            <w:vAlign w:val="center"/>
          </w:tcPr>
          <w:p w14:paraId="5EF61648" w14:textId="77777777" w:rsidR="002629A2" w:rsidRPr="00396661" w:rsidRDefault="002629A2" w:rsidP="00257A7B">
            <w:pPr>
              <w:spacing w:line="240" w:lineRule="auto"/>
              <w:rPr>
                <w:rFonts w:cs="Arial"/>
                <w:color w:val="000000"/>
                <w:sz w:val="20"/>
                <w:szCs w:val="20"/>
                <w:shd w:val="clear" w:color="auto" w:fill="FFFFFF"/>
              </w:rPr>
            </w:pPr>
            <w:r w:rsidRPr="00396661">
              <w:rPr>
                <w:rFonts w:cs="Arial"/>
                <w:color w:val="000000"/>
                <w:sz w:val="20"/>
                <w:szCs w:val="20"/>
              </w:rPr>
              <w:t>16.2.4</w:t>
            </w:r>
          </w:p>
        </w:tc>
        <w:tc>
          <w:tcPr>
            <w:tcW w:w="2962" w:type="dxa"/>
            <w:vAlign w:val="center"/>
          </w:tcPr>
          <w:p w14:paraId="21C1AA9D"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Collect service provider logs, where supported. Example implementations include collecting authentication and authorization events, data creation and disposal events, and user management events.</w:t>
            </w:r>
          </w:p>
        </w:tc>
        <w:tc>
          <w:tcPr>
            <w:tcW w:w="1204" w:type="dxa"/>
            <w:noWrap/>
            <w:vAlign w:val="center"/>
          </w:tcPr>
          <w:p w14:paraId="1DBB1670"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59" w:type="dxa"/>
            <w:noWrap/>
            <w:vAlign w:val="center"/>
          </w:tcPr>
          <w:p w14:paraId="2D589284"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78" w:type="dxa"/>
            <w:vAlign w:val="center"/>
          </w:tcPr>
          <w:p w14:paraId="39F9A4E6" w14:textId="77777777" w:rsidR="002629A2" w:rsidRPr="00396661" w:rsidRDefault="002629A2" w:rsidP="00257A7B">
            <w:pPr>
              <w:pStyle w:val="BodyText"/>
              <w:jc w:val="center"/>
              <w:rPr>
                <w:rFonts w:cs="Arial"/>
                <w:sz w:val="20"/>
                <w:szCs w:val="20"/>
              </w:rPr>
            </w:pPr>
            <w:r w:rsidRPr="00396661">
              <w:rPr>
                <w:rFonts w:cs="Arial"/>
                <w:sz w:val="20"/>
                <w:szCs w:val="20"/>
              </w:rPr>
              <w:t>IaC</w:t>
            </w:r>
          </w:p>
        </w:tc>
        <w:tc>
          <w:tcPr>
            <w:tcW w:w="1304" w:type="dxa"/>
            <w:vAlign w:val="center"/>
          </w:tcPr>
          <w:p w14:paraId="3937E851" w14:textId="77777777" w:rsidR="002629A2" w:rsidRPr="00396661" w:rsidRDefault="002629A2" w:rsidP="00257A7B">
            <w:pPr>
              <w:pStyle w:val="BodyText"/>
              <w:jc w:val="center"/>
              <w:rPr>
                <w:rFonts w:cs="Arial"/>
                <w:sz w:val="20"/>
                <w:szCs w:val="20"/>
              </w:rPr>
            </w:pPr>
            <w:r w:rsidRPr="00396661">
              <w:rPr>
                <w:rFonts w:cs="Arial"/>
                <w:sz w:val="20"/>
                <w:szCs w:val="20"/>
              </w:rPr>
              <w:t>At deployment</w:t>
            </w:r>
          </w:p>
        </w:tc>
      </w:tr>
      <w:tr w:rsidR="002629A2" w:rsidRPr="00396661" w14:paraId="54C46397" w14:textId="77777777" w:rsidTr="00257A7B">
        <w:trPr>
          <w:trHeight w:val="290"/>
        </w:trPr>
        <w:tc>
          <w:tcPr>
            <w:tcW w:w="458" w:type="dxa"/>
            <w:noWrap/>
            <w:vAlign w:val="center"/>
          </w:tcPr>
          <w:p w14:paraId="73285BE8" w14:textId="77777777" w:rsidR="002629A2" w:rsidRPr="00396661" w:rsidRDefault="002629A2" w:rsidP="00257A7B">
            <w:pPr>
              <w:pStyle w:val="BodyText"/>
              <w:rPr>
                <w:rFonts w:cs="Arial"/>
                <w:b/>
                <w:bCs/>
                <w:sz w:val="20"/>
                <w:szCs w:val="20"/>
              </w:rPr>
            </w:pPr>
            <w:r w:rsidRPr="00396661">
              <w:rPr>
                <w:rFonts w:cs="Arial"/>
                <w:b/>
                <w:bCs/>
                <w:sz w:val="20"/>
                <w:szCs w:val="20"/>
              </w:rPr>
              <w:t>S4</w:t>
            </w:r>
          </w:p>
        </w:tc>
        <w:tc>
          <w:tcPr>
            <w:tcW w:w="691" w:type="dxa"/>
            <w:vAlign w:val="center"/>
          </w:tcPr>
          <w:p w14:paraId="6E5AD67A"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16.3.1</w:t>
            </w:r>
          </w:p>
        </w:tc>
        <w:tc>
          <w:tcPr>
            <w:tcW w:w="2962" w:type="dxa"/>
            <w:vAlign w:val="center"/>
          </w:tcPr>
          <w:p w14:paraId="2DE3089F"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Centralize, to the extent possible, audit log collection and retention across enterprise assets.</w:t>
            </w:r>
          </w:p>
        </w:tc>
        <w:tc>
          <w:tcPr>
            <w:tcW w:w="1204" w:type="dxa"/>
            <w:noWrap/>
            <w:vAlign w:val="center"/>
          </w:tcPr>
          <w:p w14:paraId="79CE90CD"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59" w:type="dxa"/>
            <w:noWrap/>
            <w:vAlign w:val="center"/>
          </w:tcPr>
          <w:p w14:paraId="04960EE6"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78" w:type="dxa"/>
            <w:vAlign w:val="center"/>
          </w:tcPr>
          <w:p w14:paraId="0BC63BF0" w14:textId="77777777" w:rsidR="002629A2" w:rsidRPr="00396661" w:rsidRDefault="002629A2" w:rsidP="00257A7B">
            <w:pPr>
              <w:pStyle w:val="BodyText"/>
              <w:jc w:val="center"/>
              <w:rPr>
                <w:rFonts w:cs="Arial"/>
                <w:sz w:val="20"/>
                <w:szCs w:val="20"/>
              </w:rPr>
            </w:pPr>
            <w:r w:rsidRPr="00396661">
              <w:rPr>
                <w:rFonts w:cs="Arial"/>
                <w:sz w:val="20"/>
                <w:szCs w:val="20"/>
              </w:rPr>
              <w:t>IaC</w:t>
            </w:r>
          </w:p>
        </w:tc>
        <w:tc>
          <w:tcPr>
            <w:tcW w:w="1304" w:type="dxa"/>
            <w:vAlign w:val="center"/>
          </w:tcPr>
          <w:p w14:paraId="4EF62A5F" w14:textId="77777777" w:rsidR="002629A2" w:rsidRPr="00396661" w:rsidRDefault="002629A2" w:rsidP="00257A7B">
            <w:pPr>
              <w:pStyle w:val="BodyText"/>
              <w:jc w:val="center"/>
              <w:rPr>
                <w:rFonts w:cs="Arial"/>
                <w:sz w:val="20"/>
                <w:szCs w:val="20"/>
              </w:rPr>
            </w:pPr>
            <w:r w:rsidRPr="00396661">
              <w:rPr>
                <w:rFonts w:cs="Arial"/>
                <w:sz w:val="20"/>
                <w:szCs w:val="20"/>
              </w:rPr>
              <w:t>At deployment</w:t>
            </w:r>
          </w:p>
        </w:tc>
      </w:tr>
      <w:tr w:rsidR="002629A2" w:rsidRPr="00396661" w14:paraId="4BCAEAB3" w14:textId="77777777" w:rsidTr="00257A7B">
        <w:trPr>
          <w:trHeight w:val="290"/>
        </w:trPr>
        <w:tc>
          <w:tcPr>
            <w:tcW w:w="458" w:type="dxa"/>
            <w:noWrap/>
            <w:vAlign w:val="center"/>
          </w:tcPr>
          <w:p w14:paraId="0D2D72F9" w14:textId="77777777" w:rsidR="002629A2" w:rsidRPr="00396661" w:rsidRDefault="002629A2" w:rsidP="00257A7B">
            <w:pPr>
              <w:pStyle w:val="BodyText"/>
              <w:rPr>
                <w:rFonts w:cs="Arial"/>
                <w:b/>
                <w:bCs/>
                <w:sz w:val="20"/>
                <w:szCs w:val="20"/>
              </w:rPr>
            </w:pPr>
            <w:r w:rsidRPr="00396661">
              <w:rPr>
                <w:rFonts w:cs="Arial"/>
                <w:b/>
                <w:bCs/>
                <w:sz w:val="20"/>
                <w:szCs w:val="20"/>
              </w:rPr>
              <w:t>S5</w:t>
            </w:r>
          </w:p>
        </w:tc>
        <w:tc>
          <w:tcPr>
            <w:tcW w:w="691" w:type="dxa"/>
            <w:vAlign w:val="center"/>
          </w:tcPr>
          <w:p w14:paraId="23A06924" w14:textId="77777777" w:rsidR="002629A2" w:rsidRPr="00396661" w:rsidRDefault="002629A2" w:rsidP="00257A7B">
            <w:pPr>
              <w:spacing w:line="240" w:lineRule="auto"/>
              <w:rPr>
                <w:rFonts w:cs="Arial"/>
                <w:color w:val="000000"/>
                <w:sz w:val="20"/>
                <w:szCs w:val="20"/>
                <w:shd w:val="clear" w:color="auto" w:fill="FFFFFF"/>
              </w:rPr>
            </w:pPr>
            <w:r w:rsidRPr="00396661">
              <w:rPr>
                <w:rFonts w:cs="Arial"/>
                <w:color w:val="000000"/>
                <w:sz w:val="20"/>
                <w:szCs w:val="20"/>
              </w:rPr>
              <w:t>16.3.2</w:t>
            </w:r>
          </w:p>
        </w:tc>
        <w:tc>
          <w:tcPr>
            <w:tcW w:w="2962" w:type="dxa"/>
            <w:vAlign w:val="center"/>
          </w:tcPr>
          <w:p w14:paraId="5BEE43C6"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Retain audit logs across enterprise assets for a minimum of 90 days.</w:t>
            </w:r>
          </w:p>
        </w:tc>
        <w:tc>
          <w:tcPr>
            <w:tcW w:w="1204" w:type="dxa"/>
            <w:noWrap/>
            <w:vAlign w:val="center"/>
          </w:tcPr>
          <w:p w14:paraId="5EAAD786"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59" w:type="dxa"/>
            <w:noWrap/>
            <w:vAlign w:val="center"/>
          </w:tcPr>
          <w:p w14:paraId="5B1B0C4A"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78" w:type="dxa"/>
            <w:vAlign w:val="center"/>
          </w:tcPr>
          <w:p w14:paraId="37B36034" w14:textId="77777777" w:rsidR="002629A2" w:rsidRPr="00396661" w:rsidRDefault="002629A2" w:rsidP="00257A7B">
            <w:pPr>
              <w:pStyle w:val="BodyText"/>
              <w:jc w:val="center"/>
              <w:rPr>
                <w:rFonts w:cs="Arial"/>
                <w:sz w:val="20"/>
                <w:szCs w:val="20"/>
              </w:rPr>
            </w:pPr>
            <w:r w:rsidRPr="00396661">
              <w:rPr>
                <w:rFonts w:cs="Arial"/>
                <w:sz w:val="20"/>
                <w:szCs w:val="20"/>
              </w:rPr>
              <w:t>IaC</w:t>
            </w:r>
          </w:p>
        </w:tc>
        <w:tc>
          <w:tcPr>
            <w:tcW w:w="1304" w:type="dxa"/>
            <w:vAlign w:val="center"/>
          </w:tcPr>
          <w:p w14:paraId="777E8540" w14:textId="77777777" w:rsidR="002629A2" w:rsidRPr="00396661" w:rsidRDefault="002629A2" w:rsidP="00257A7B">
            <w:pPr>
              <w:pStyle w:val="BodyText"/>
              <w:jc w:val="center"/>
              <w:rPr>
                <w:rFonts w:cs="Arial"/>
                <w:sz w:val="20"/>
                <w:szCs w:val="20"/>
              </w:rPr>
            </w:pPr>
            <w:r w:rsidRPr="00396661">
              <w:rPr>
                <w:rFonts w:cs="Arial"/>
                <w:sz w:val="20"/>
                <w:szCs w:val="20"/>
              </w:rPr>
              <w:t>At deployment</w:t>
            </w:r>
          </w:p>
        </w:tc>
      </w:tr>
      <w:tr w:rsidR="002629A2" w:rsidRPr="00396661" w14:paraId="4F0F7E9F" w14:textId="77777777" w:rsidTr="00257A7B">
        <w:trPr>
          <w:trHeight w:val="290"/>
        </w:trPr>
        <w:tc>
          <w:tcPr>
            <w:tcW w:w="458" w:type="dxa"/>
            <w:noWrap/>
            <w:vAlign w:val="center"/>
          </w:tcPr>
          <w:p w14:paraId="429AB802" w14:textId="77777777" w:rsidR="002629A2" w:rsidRPr="00396661" w:rsidRDefault="002629A2" w:rsidP="00257A7B">
            <w:pPr>
              <w:pStyle w:val="BodyText"/>
              <w:rPr>
                <w:rFonts w:cs="Arial"/>
                <w:b/>
                <w:bCs/>
                <w:sz w:val="20"/>
                <w:szCs w:val="20"/>
              </w:rPr>
            </w:pPr>
            <w:r w:rsidRPr="00396661">
              <w:rPr>
                <w:rFonts w:cs="Arial"/>
                <w:b/>
                <w:bCs/>
                <w:sz w:val="20"/>
                <w:szCs w:val="20"/>
              </w:rPr>
              <w:t>S6</w:t>
            </w:r>
          </w:p>
        </w:tc>
        <w:tc>
          <w:tcPr>
            <w:tcW w:w="691" w:type="dxa"/>
            <w:vAlign w:val="center"/>
          </w:tcPr>
          <w:p w14:paraId="4491FC8B"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16.3.3</w:t>
            </w:r>
          </w:p>
        </w:tc>
        <w:tc>
          <w:tcPr>
            <w:tcW w:w="2962" w:type="dxa"/>
            <w:vAlign w:val="center"/>
          </w:tcPr>
          <w:p w14:paraId="2F9235D7" w14:textId="77777777" w:rsidR="002629A2" w:rsidRPr="00396661" w:rsidRDefault="002629A2" w:rsidP="00257A7B">
            <w:pPr>
              <w:spacing w:line="240" w:lineRule="auto"/>
              <w:rPr>
                <w:rFonts w:cs="Arial"/>
                <w:color w:val="161616"/>
                <w:sz w:val="20"/>
                <w:szCs w:val="20"/>
              </w:rPr>
            </w:pPr>
            <w:r w:rsidRPr="00396661">
              <w:rPr>
                <w:rFonts w:cs="Arial"/>
                <w:color w:val="000000"/>
                <w:sz w:val="20"/>
                <w:szCs w:val="20"/>
              </w:rPr>
              <w:t>Conduct reviews of audit logs to detect anomalies or abnormal events that could indicate a potential threat. Conduct reviews on a weekly, or more frequent, basis.</w:t>
            </w:r>
          </w:p>
        </w:tc>
        <w:tc>
          <w:tcPr>
            <w:tcW w:w="1204" w:type="dxa"/>
            <w:noWrap/>
            <w:vAlign w:val="center"/>
          </w:tcPr>
          <w:p w14:paraId="17284EAD" w14:textId="77777777" w:rsidR="002629A2" w:rsidRPr="00396661" w:rsidRDefault="002629A2" w:rsidP="00257A7B">
            <w:pPr>
              <w:pStyle w:val="BodyText"/>
              <w:jc w:val="center"/>
              <w:rPr>
                <w:rFonts w:cs="Arial"/>
                <w:sz w:val="20"/>
                <w:szCs w:val="20"/>
              </w:rPr>
            </w:pPr>
            <w:r w:rsidRPr="00396661">
              <w:rPr>
                <w:rFonts w:cs="Arial"/>
                <w:sz w:val="20"/>
                <w:szCs w:val="20"/>
              </w:rPr>
              <w:t>Yes</w:t>
            </w:r>
          </w:p>
        </w:tc>
        <w:tc>
          <w:tcPr>
            <w:tcW w:w="1359" w:type="dxa"/>
            <w:noWrap/>
            <w:vAlign w:val="center"/>
          </w:tcPr>
          <w:p w14:paraId="005F06F6" w14:textId="77777777" w:rsidR="002629A2" w:rsidRPr="00396661" w:rsidRDefault="002629A2" w:rsidP="00257A7B">
            <w:pPr>
              <w:pStyle w:val="BodyText"/>
              <w:jc w:val="center"/>
              <w:rPr>
                <w:rFonts w:cs="Arial"/>
                <w:sz w:val="20"/>
                <w:szCs w:val="20"/>
              </w:rPr>
            </w:pPr>
            <w:r w:rsidRPr="00396661">
              <w:rPr>
                <w:rFonts w:cs="Arial"/>
                <w:sz w:val="20"/>
                <w:szCs w:val="20"/>
              </w:rPr>
              <w:t>No</w:t>
            </w:r>
          </w:p>
        </w:tc>
        <w:tc>
          <w:tcPr>
            <w:tcW w:w="1378" w:type="dxa"/>
            <w:vAlign w:val="center"/>
          </w:tcPr>
          <w:p w14:paraId="589AC31D" w14:textId="77777777" w:rsidR="002629A2" w:rsidRPr="00396661" w:rsidRDefault="002629A2" w:rsidP="00257A7B">
            <w:pPr>
              <w:pStyle w:val="BodyText"/>
              <w:jc w:val="center"/>
              <w:rPr>
                <w:rFonts w:cs="Arial"/>
                <w:sz w:val="20"/>
                <w:szCs w:val="20"/>
              </w:rPr>
            </w:pPr>
            <w:r w:rsidRPr="00396661">
              <w:rPr>
                <w:rFonts w:cs="Arial"/>
                <w:sz w:val="20"/>
                <w:szCs w:val="20"/>
              </w:rPr>
              <w:t>Governance</w:t>
            </w:r>
          </w:p>
        </w:tc>
        <w:tc>
          <w:tcPr>
            <w:tcW w:w="1304" w:type="dxa"/>
            <w:vAlign w:val="center"/>
          </w:tcPr>
          <w:p w14:paraId="443C0EC5" w14:textId="77777777" w:rsidR="002629A2" w:rsidRPr="00396661" w:rsidRDefault="002629A2" w:rsidP="00257A7B">
            <w:pPr>
              <w:pStyle w:val="BodyText"/>
              <w:keepNext/>
              <w:jc w:val="center"/>
              <w:rPr>
                <w:rFonts w:cs="Arial"/>
                <w:sz w:val="20"/>
                <w:szCs w:val="20"/>
              </w:rPr>
            </w:pPr>
            <w:r w:rsidRPr="00396661">
              <w:rPr>
                <w:rFonts w:cs="Arial"/>
                <w:sz w:val="20"/>
                <w:szCs w:val="20"/>
              </w:rPr>
              <w:t>Operational – review weekly</w:t>
            </w:r>
          </w:p>
        </w:tc>
      </w:tr>
      <w:tr w:rsidR="002629A2" w:rsidRPr="00396661" w14:paraId="563E9B55" w14:textId="77777777" w:rsidTr="00257A7B">
        <w:trPr>
          <w:trHeight w:val="290"/>
        </w:trPr>
        <w:tc>
          <w:tcPr>
            <w:tcW w:w="458" w:type="dxa"/>
            <w:noWrap/>
            <w:vAlign w:val="center"/>
          </w:tcPr>
          <w:p w14:paraId="2079788C" w14:textId="77777777" w:rsidR="002629A2" w:rsidRPr="00396661" w:rsidRDefault="002629A2" w:rsidP="00257A7B">
            <w:pPr>
              <w:pStyle w:val="BodyText"/>
              <w:rPr>
                <w:rFonts w:cs="Arial"/>
                <w:b/>
                <w:bCs/>
                <w:sz w:val="20"/>
                <w:szCs w:val="20"/>
              </w:rPr>
            </w:pPr>
            <w:r w:rsidRPr="00396661">
              <w:rPr>
                <w:rFonts w:cs="Arial"/>
                <w:b/>
                <w:bCs/>
                <w:sz w:val="20"/>
                <w:szCs w:val="20"/>
              </w:rPr>
              <w:t>S7</w:t>
            </w:r>
          </w:p>
        </w:tc>
        <w:tc>
          <w:tcPr>
            <w:tcW w:w="691" w:type="dxa"/>
            <w:vAlign w:val="center"/>
          </w:tcPr>
          <w:p w14:paraId="6F126414" w14:textId="77777777" w:rsidR="002629A2" w:rsidRPr="00396661" w:rsidRDefault="002629A2" w:rsidP="00257A7B">
            <w:pPr>
              <w:spacing w:line="240" w:lineRule="auto"/>
              <w:rPr>
                <w:rFonts w:cs="Arial"/>
                <w:color w:val="000000"/>
                <w:sz w:val="20"/>
                <w:szCs w:val="20"/>
                <w:shd w:val="clear" w:color="auto" w:fill="FFFFFF"/>
              </w:rPr>
            </w:pPr>
            <w:r w:rsidRPr="00396661">
              <w:rPr>
                <w:rFonts w:cs="Arial"/>
                <w:color w:val="000000"/>
                <w:sz w:val="20"/>
                <w:szCs w:val="20"/>
              </w:rPr>
              <w:t>16.3.4</w:t>
            </w:r>
          </w:p>
        </w:tc>
        <w:tc>
          <w:tcPr>
            <w:tcW w:w="2962" w:type="dxa"/>
            <w:vAlign w:val="center"/>
          </w:tcPr>
          <w:p w14:paraId="2F964F93" w14:textId="77777777" w:rsidR="002629A2" w:rsidRPr="00396661" w:rsidRDefault="002629A2" w:rsidP="00257A7B">
            <w:pPr>
              <w:spacing w:line="240" w:lineRule="auto"/>
              <w:outlineLvl w:val="2"/>
              <w:rPr>
                <w:rFonts w:cs="Arial"/>
                <w:color w:val="000000"/>
                <w:sz w:val="20"/>
                <w:szCs w:val="20"/>
              </w:rPr>
            </w:pPr>
            <w:bookmarkStart w:id="8" w:name="_Toc157090450"/>
            <w:r w:rsidRPr="00396661">
              <w:rPr>
                <w:rFonts w:cs="Arial"/>
                <w:color w:val="000000"/>
                <w:sz w:val="20"/>
                <w:szCs w:val="20"/>
              </w:rPr>
              <w:t>Continuously monitor inbound and outbound network traffic to identify unusual activity or trends that could indicate intrusion and/or compromise of data.</w:t>
            </w:r>
            <w:bookmarkEnd w:id="8"/>
          </w:p>
        </w:tc>
        <w:tc>
          <w:tcPr>
            <w:tcW w:w="1204" w:type="dxa"/>
            <w:noWrap/>
            <w:vAlign w:val="center"/>
          </w:tcPr>
          <w:p w14:paraId="34777B11" w14:textId="77777777" w:rsidR="002629A2" w:rsidRPr="00396661" w:rsidRDefault="002629A2" w:rsidP="00257A7B">
            <w:pPr>
              <w:pStyle w:val="BodyText"/>
              <w:jc w:val="center"/>
              <w:rPr>
                <w:rFonts w:cs="Arial"/>
                <w:sz w:val="20"/>
                <w:szCs w:val="20"/>
              </w:rPr>
            </w:pPr>
            <w:r w:rsidRPr="00396661">
              <w:rPr>
                <w:rFonts w:cs="Arial"/>
                <w:sz w:val="20"/>
                <w:szCs w:val="20"/>
              </w:rPr>
              <w:t xml:space="preserve">Yes </w:t>
            </w:r>
          </w:p>
        </w:tc>
        <w:tc>
          <w:tcPr>
            <w:tcW w:w="1359" w:type="dxa"/>
            <w:noWrap/>
            <w:vAlign w:val="center"/>
          </w:tcPr>
          <w:p w14:paraId="66B90BA6" w14:textId="77777777" w:rsidR="002629A2" w:rsidRPr="00396661" w:rsidRDefault="002629A2" w:rsidP="00257A7B">
            <w:pPr>
              <w:pStyle w:val="BodyText"/>
              <w:jc w:val="center"/>
              <w:rPr>
                <w:rFonts w:cs="Arial"/>
                <w:sz w:val="20"/>
                <w:szCs w:val="20"/>
              </w:rPr>
            </w:pPr>
            <w:r w:rsidRPr="00396661">
              <w:rPr>
                <w:rFonts w:cs="Arial"/>
                <w:sz w:val="20"/>
                <w:szCs w:val="20"/>
              </w:rPr>
              <w:t>No</w:t>
            </w:r>
          </w:p>
        </w:tc>
        <w:tc>
          <w:tcPr>
            <w:tcW w:w="1378" w:type="dxa"/>
            <w:vAlign w:val="center"/>
          </w:tcPr>
          <w:p w14:paraId="6400BC4A" w14:textId="77777777" w:rsidR="002629A2" w:rsidRPr="00396661" w:rsidRDefault="002629A2" w:rsidP="00257A7B">
            <w:pPr>
              <w:pStyle w:val="BodyText"/>
              <w:jc w:val="center"/>
              <w:rPr>
                <w:rFonts w:cs="Arial"/>
                <w:sz w:val="20"/>
                <w:szCs w:val="20"/>
              </w:rPr>
            </w:pPr>
            <w:r w:rsidRPr="00396661">
              <w:rPr>
                <w:rFonts w:cs="Arial"/>
                <w:sz w:val="20"/>
                <w:szCs w:val="20"/>
              </w:rPr>
              <w:t>Sentinel</w:t>
            </w:r>
          </w:p>
        </w:tc>
        <w:tc>
          <w:tcPr>
            <w:tcW w:w="1304" w:type="dxa"/>
            <w:vAlign w:val="center"/>
          </w:tcPr>
          <w:p w14:paraId="0B444CAF" w14:textId="77777777" w:rsidR="002629A2" w:rsidRPr="00396661" w:rsidRDefault="002629A2" w:rsidP="00257A7B">
            <w:pPr>
              <w:pStyle w:val="BodyText"/>
              <w:keepNext/>
              <w:jc w:val="center"/>
              <w:rPr>
                <w:rFonts w:cs="Arial"/>
                <w:sz w:val="20"/>
                <w:szCs w:val="20"/>
              </w:rPr>
            </w:pPr>
            <w:r w:rsidRPr="00396661">
              <w:rPr>
                <w:rFonts w:cs="Arial"/>
                <w:sz w:val="20"/>
                <w:szCs w:val="20"/>
              </w:rPr>
              <w:t>Operational – review and respond to Sentinel alerts frequently</w:t>
            </w:r>
          </w:p>
        </w:tc>
      </w:tr>
    </w:tbl>
    <w:p w14:paraId="4BBFE152" w14:textId="1542669B" w:rsidR="00E42EF6" w:rsidRDefault="00E42EF6" w:rsidP="00441740">
      <w:pPr>
        <w:pStyle w:val="BodyText"/>
      </w:pPr>
    </w:p>
    <w:p w14:paraId="1A92B26F" w14:textId="77777777" w:rsidR="0072700E" w:rsidRDefault="0072700E" w:rsidP="0072700E">
      <w:pPr>
        <w:pStyle w:val="Heading3"/>
        <w:numPr>
          <w:ilvl w:val="2"/>
          <w:numId w:val="7"/>
        </w:numPr>
      </w:pPr>
      <w:r>
        <w:t>Critical Alerts</w:t>
      </w:r>
    </w:p>
    <w:p w14:paraId="08D40AE5" w14:textId="77777777" w:rsidR="0072700E" w:rsidRPr="00511331" w:rsidRDefault="0072700E" w:rsidP="0072700E">
      <w:pPr>
        <w:pStyle w:val="BodyText"/>
      </w:pPr>
      <w:r>
        <w:t>Critical Alerts to be notified to the Action groups using SMS</w:t>
      </w:r>
    </w:p>
    <w:p w14:paraId="49B29A01" w14:textId="77777777" w:rsidR="0072700E" w:rsidRDefault="0072700E" w:rsidP="0072700E">
      <w:pPr>
        <w:pStyle w:val="BodyText"/>
        <w:tabs>
          <w:tab w:val="clear" w:pos="2268"/>
          <w:tab w:val="clear" w:pos="4536"/>
          <w:tab w:val="clear" w:pos="6804"/>
          <w:tab w:val="clear" w:pos="9638"/>
          <w:tab w:val="left" w:pos="5775"/>
        </w:tabs>
        <w:jc w:val="both"/>
      </w:pPr>
    </w:p>
    <w:p w14:paraId="63CAF5A6" w14:textId="77777777" w:rsidR="0072700E" w:rsidRDefault="0072700E" w:rsidP="0072700E">
      <w:pPr>
        <w:pStyle w:val="BodyText"/>
        <w:tabs>
          <w:tab w:val="clear" w:pos="2268"/>
          <w:tab w:val="clear" w:pos="4536"/>
          <w:tab w:val="clear" w:pos="6804"/>
          <w:tab w:val="clear" w:pos="9638"/>
          <w:tab w:val="left" w:pos="5775"/>
        </w:tabs>
        <w:jc w:val="both"/>
      </w:pPr>
      <w:r>
        <w:t>Metric Alerts are alerts that are configured for specific resource types to fire when a condition of the specific metric is met. For example, when CPU exceeds 80% usage.</w:t>
      </w:r>
    </w:p>
    <w:p w14:paraId="7C3EC09C" w14:textId="77777777" w:rsidR="0072700E" w:rsidRDefault="0072700E" w:rsidP="0072700E">
      <w:pPr>
        <w:pStyle w:val="BodyText"/>
        <w:tabs>
          <w:tab w:val="clear" w:pos="2268"/>
          <w:tab w:val="clear" w:pos="4536"/>
          <w:tab w:val="clear" w:pos="6804"/>
          <w:tab w:val="clear" w:pos="9638"/>
          <w:tab w:val="left" w:pos="5775"/>
        </w:tabs>
        <w:jc w:val="both"/>
      </w:pPr>
    </w:p>
    <w:p w14:paraId="0E7022AD" w14:textId="77777777" w:rsidR="0072700E" w:rsidRDefault="0072700E" w:rsidP="0072700E">
      <w:pPr>
        <w:pStyle w:val="BodyText"/>
        <w:tabs>
          <w:tab w:val="clear" w:pos="2268"/>
          <w:tab w:val="clear" w:pos="4536"/>
          <w:tab w:val="clear" w:pos="6804"/>
          <w:tab w:val="clear" w:pos="9638"/>
          <w:tab w:val="left" w:pos="5775"/>
        </w:tabs>
        <w:jc w:val="both"/>
      </w:pPr>
      <w:r>
        <w:t>Log search alerts are used to monitor resources by using Log Analytics queries to evaluate logs at a set frequency. If the search finds that a condition is met, the alert will fire. This is a more advanced form of alerting that requires specific use cases.</w:t>
      </w:r>
    </w:p>
    <w:p w14:paraId="7EEF0004" w14:textId="77777777" w:rsidR="0072700E" w:rsidRDefault="0072700E" w:rsidP="0072700E">
      <w:pPr>
        <w:pStyle w:val="BodyText"/>
        <w:tabs>
          <w:tab w:val="clear" w:pos="2268"/>
          <w:tab w:val="clear" w:pos="4536"/>
          <w:tab w:val="clear" w:pos="6804"/>
          <w:tab w:val="clear" w:pos="9638"/>
          <w:tab w:val="left" w:pos="5775"/>
        </w:tabs>
        <w:jc w:val="both"/>
      </w:pPr>
    </w:p>
    <w:p w14:paraId="31E089FF" w14:textId="77777777" w:rsidR="0072700E" w:rsidRDefault="0072700E" w:rsidP="0072700E">
      <w:pPr>
        <w:pStyle w:val="BodyText"/>
        <w:tabs>
          <w:tab w:val="clear" w:pos="2268"/>
          <w:tab w:val="clear" w:pos="4536"/>
          <w:tab w:val="clear" w:pos="6804"/>
          <w:tab w:val="clear" w:pos="9638"/>
          <w:tab w:val="left" w:pos="5775"/>
        </w:tabs>
        <w:jc w:val="both"/>
      </w:pPr>
      <w:r>
        <w:t xml:space="preserve">Activity log alerts include Service Health alerts and Resource Health Alerts. Service Health Alerts cover all customers in a region meaning the service has an issue across the entire region. Resource Health alerts are specific to only your tenancy. </w:t>
      </w:r>
    </w:p>
    <w:p w14:paraId="0E1ACEE3" w14:textId="77777777" w:rsidR="0072700E" w:rsidRDefault="0072700E" w:rsidP="0072700E">
      <w:pPr>
        <w:pStyle w:val="BodyText"/>
        <w:tabs>
          <w:tab w:val="clear" w:pos="2268"/>
          <w:tab w:val="clear" w:pos="4536"/>
          <w:tab w:val="clear" w:pos="6804"/>
          <w:tab w:val="clear" w:pos="9638"/>
          <w:tab w:val="left" w:pos="5775"/>
        </w:tabs>
        <w:jc w:val="both"/>
      </w:pPr>
    </w:p>
    <w:p w14:paraId="357F8660" w14:textId="77777777" w:rsidR="0072700E" w:rsidRDefault="0072700E" w:rsidP="0072700E">
      <w:pPr>
        <w:pStyle w:val="BodyText"/>
        <w:tabs>
          <w:tab w:val="clear" w:pos="2268"/>
          <w:tab w:val="clear" w:pos="4536"/>
          <w:tab w:val="clear" w:pos="6804"/>
          <w:tab w:val="clear" w:pos="9638"/>
          <w:tab w:val="left" w:pos="5775"/>
        </w:tabs>
        <w:jc w:val="both"/>
      </w:pPr>
      <w:r>
        <w:t xml:space="preserve">Finally, Smart Detection Alerts are a function of Application Insights. After initial set up it takes 24 hours for App Insights to learn the normal performance pattern of your applications. When an anomaly is detected, it will fire an alert. No specific configuration is required for this once App Insights is deployed.  </w:t>
      </w:r>
    </w:p>
    <w:p w14:paraId="32E0D3C5" w14:textId="77777777" w:rsidR="00E42EF6" w:rsidRDefault="00E42EF6" w:rsidP="00441740">
      <w:pPr>
        <w:pStyle w:val="BodyText"/>
      </w:pPr>
    </w:p>
    <w:p w14:paraId="6ADCA9E8" w14:textId="094E0AEB" w:rsidR="003F4383" w:rsidRDefault="003F4383" w:rsidP="003F4383">
      <w:pPr>
        <w:pStyle w:val="Heading2"/>
        <w:numPr>
          <w:ilvl w:val="0"/>
          <w:numId w:val="0"/>
        </w:numPr>
        <w:ind w:left="510" w:hanging="510"/>
      </w:pPr>
      <w:bookmarkStart w:id="9" w:name="_Toc151034075"/>
      <w:r>
        <w:t>Design Decisions and Justifications</w:t>
      </w:r>
      <w:bookmarkEnd w:id="9"/>
      <w:r>
        <w:t xml:space="preserve"> for </w:t>
      </w:r>
      <w:r w:rsidRPr="009224FA">
        <w:rPr>
          <w:highlight w:val="yellow"/>
        </w:rPr>
        <w:t>Alerts</w:t>
      </w:r>
    </w:p>
    <w:p w14:paraId="25EF4461" w14:textId="77777777" w:rsidR="003F4383" w:rsidRDefault="003F4383" w:rsidP="003F4383">
      <w:pPr>
        <w:pStyle w:val="Heading3"/>
        <w:numPr>
          <w:ilvl w:val="2"/>
          <w:numId w:val="7"/>
        </w:numPr>
        <w:jc w:val="both"/>
      </w:pPr>
      <w:r>
        <w:t>Notifications</w:t>
      </w:r>
    </w:p>
    <w:p w14:paraId="671EFC07" w14:textId="77777777" w:rsidR="003F4383" w:rsidRDefault="003F4383" w:rsidP="003F4383">
      <w:pPr>
        <w:pStyle w:val="BodyText"/>
        <w:jc w:val="both"/>
      </w:pPr>
      <w:r w:rsidRPr="008A22C4">
        <w:rPr>
          <w:b/>
          <w:bCs/>
        </w:rPr>
        <w:t>Design Reference:</w:t>
      </w:r>
      <w:r>
        <w:t xml:space="preserve"> N/A</w:t>
      </w:r>
    </w:p>
    <w:p w14:paraId="2AB77AA0" w14:textId="77777777" w:rsidR="003F4383" w:rsidRDefault="003F4383" w:rsidP="003F4383">
      <w:pPr>
        <w:pStyle w:val="BodyText"/>
        <w:jc w:val="both"/>
      </w:pPr>
    </w:p>
    <w:p w14:paraId="5BE81D0C" w14:textId="77777777" w:rsidR="003F4383" w:rsidRPr="008A22C4" w:rsidRDefault="003F4383" w:rsidP="003F4383">
      <w:pPr>
        <w:pStyle w:val="BodyText"/>
        <w:jc w:val="both"/>
      </w:pPr>
      <w:r w:rsidRPr="008A22C4">
        <w:rPr>
          <w:b/>
          <w:bCs/>
        </w:rPr>
        <w:t>Design Decision:</w:t>
      </w:r>
      <w:r>
        <w:rPr>
          <w:b/>
          <w:bCs/>
        </w:rPr>
        <w:t xml:space="preserve"> </w:t>
      </w:r>
      <w:r>
        <w:t xml:space="preserve">E-mails will be used for notifications. </w:t>
      </w:r>
    </w:p>
    <w:p w14:paraId="72AF35CA" w14:textId="77777777" w:rsidR="003F4383" w:rsidRDefault="003F4383" w:rsidP="003F4383">
      <w:pPr>
        <w:pStyle w:val="BodyText"/>
        <w:jc w:val="both"/>
      </w:pPr>
    </w:p>
    <w:p w14:paraId="46AF7DD2" w14:textId="77777777" w:rsidR="003F4383" w:rsidRPr="009E07FE" w:rsidRDefault="003F4383" w:rsidP="003F4383">
      <w:pPr>
        <w:pStyle w:val="BodyText"/>
        <w:jc w:val="both"/>
      </w:pPr>
      <w:r w:rsidRPr="008A22C4">
        <w:rPr>
          <w:b/>
          <w:bCs/>
        </w:rPr>
        <w:t xml:space="preserve">Design Justification: </w:t>
      </w:r>
      <w:r>
        <w:t xml:space="preserve">E-mail notifications are the currently adopted practice for receiving alerts. This will continue to be used as it is a currently adopted practice and requires no change </w:t>
      </w:r>
      <w:r w:rsidRPr="009E07FE">
        <w:t xml:space="preserve">to current processes. </w:t>
      </w:r>
      <w:r>
        <w:t>Emails will be sent to a Mailbox not to distribution list</w:t>
      </w:r>
    </w:p>
    <w:p w14:paraId="557AA972" w14:textId="77777777" w:rsidR="003F4383" w:rsidRPr="009E07FE" w:rsidRDefault="003F4383" w:rsidP="003F4383">
      <w:pPr>
        <w:pStyle w:val="BodyText"/>
        <w:jc w:val="both"/>
      </w:pPr>
    </w:p>
    <w:p w14:paraId="5DC3512E" w14:textId="77777777" w:rsidR="003F4383" w:rsidRPr="009E07FE" w:rsidRDefault="003F4383" w:rsidP="003F4383">
      <w:pPr>
        <w:pStyle w:val="Heading3"/>
        <w:numPr>
          <w:ilvl w:val="2"/>
          <w:numId w:val="7"/>
        </w:numPr>
        <w:jc w:val="both"/>
      </w:pPr>
      <w:r w:rsidRPr="009E07FE">
        <w:t>Alert Types</w:t>
      </w:r>
    </w:p>
    <w:p w14:paraId="290E3897" w14:textId="77777777" w:rsidR="003F4383" w:rsidRPr="009E07FE" w:rsidRDefault="003F4383" w:rsidP="003F4383">
      <w:pPr>
        <w:pStyle w:val="BodyText"/>
        <w:jc w:val="both"/>
        <w:rPr>
          <w:b/>
          <w:bCs/>
        </w:rPr>
      </w:pPr>
      <w:r w:rsidRPr="009E07FE">
        <w:rPr>
          <w:b/>
          <w:bCs/>
        </w:rPr>
        <w:t xml:space="preserve">Design Reference: </w:t>
      </w:r>
      <w:r w:rsidRPr="009E07FE">
        <w:t>N/A</w:t>
      </w:r>
    </w:p>
    <w:p w14:paraId="219DBB65" w14:textId="77777777" w:rsidR="003F4383" w:rsidRPr="009E07FE" w:rsidRDefault="003F4383" w:rsidP="003F4383">
      <w:pPr>
        <w:pStyle w:val="BodyText"/>
        <w:jc w:val="both"/>
        <w:rPr>
          <w:b/>
          <w:bCs/>
        </w:rPr>
      </w:pPr>
    </w:p>
    <w:p w14:paraId="3B2AD08F" w14:textId="77777777" w:rsidR="003F4383" w:rsidRPr="009E07FE" w:rsidRDefault="003F4383" w:rsidP="003F4383">
      <w:pPr>
        <w:pStyle w:val="BodyText"/>
        <w:jc w:val="both"/>
      </w:pPr>
      <w:r w:rsidRPr="009E07FE">
        <w:rPr>
          <w:b/>
          <w:bCs/>
        </w:rPr>
        <w:t>Design Decision:</w:t>
      </w:r>
      <w:r w:rsidRPr="009E07FE">
        <w:t xml:space="preserve"> Metric, Resource Health, and Service Health alerts will be configured.</w:t>
      </w:r>
    </w:p>
    <w:p w14:paraId="748FC0A2" w14:textId="77777777" w:rsidR="003F4383" w:rsidRPr="009E07FE" w:rsidRDefault="003F4383" w:rsidP="003F4383">
      <w:pPr>
        <w:pStyle w:val="BodyText"/>
        <w:jc w:val="both"/>
        <w:rPr>
          <w:b/>
          <w:bCs/>
        </w:rPr>
      </w:pPr>
    </w:p>
    <w:p w14:paraId="49DDFA04" w14:textId="77777777" w:rsidR="003F4383" w:rsidRPr="00601870" w:rsidRDefault="003F4383" w:rsidP="003F4383">
      <w:pPr>
        <w:pStyle w:val="BodyText"/>
        <w:tabs>
          <w:tab w:val="clear" w:pos="4536"/>
          <w:tab w:val="clear" w:pos="6804"/>
          <w:tab w:val="clear" w:pos="9638"/>
          <w:tab w:val="left" w:pos="3065"/>
        </w:tabs>
        <w:jc w:val="both"/>
      </w:pPr>
      <w:r w:rsidRPr="009E07FE">
        <w:rPr>
          <w:b/>
          <w:bCs/>
        </w:rPr>
        <w:t xml:space="preserve">Design Justification: </w:t>
      </w:r>
      <w:r w:rsidRPr="009E07FE">
        <w:t>Metric, Resource Health, and Service Health alerts are broad enough to cover all major resource type requirements, without causing alert fatigue. There are also plenty of out of the box settings that can be created which minimizes the need to do additional customisation work.</w:t>
      </w:r>
      <w:r>
        <w:t xml:space="preserve"> </w:t>
      </w:r>
    </w:p>
    <w:p w14:paraId="63CD4C55" w14:textId="77777777" w:rsidR="003F4383" w:rsidRDefault="003F4383" w:rsidP="003F4383">
      <w:pPr>
        <w:pStyle w:val="BodyText"/>
        <w:tabs>
          <w:tab w:val="clear" w:pos="4536"/>
          <w:tab w:val="clear" w:pos="6804"/>
          <w:tab w:val="clear" w:pos="9638"/>
          <w:tab w:val="left" w:pos="3065"/>
        </w:tabs>
        <w:jc w:val="both"/>
      </w:pPr>
    </w:p>
    <w:p w14:paraId="55F653C3" w14:textId="77777777" w:rsidR="003F4383" w:rsidRDefault="003F4383" w:rsidP="003F4383">
      <w:pPr>
        <w:pStyle w:val="Heading3"/>
        <w:numPr>
          <w:ilvl w:val="2"/>
          <w:numId w:val="7"/>
        </w:numPr>
        <w:jc w:val="both"/>
      </w:pPr>
      <w:r>
        <w:t>Action Groups</w:t>
      </w:r>
    </w:p>
    <w:p w14:paraId="65F8357B" w14:textId="77777777" w:rsidR="003F4383" w:rsidRPr="00CD31B7" w:rsidRDefault="003F4383" w:rsidP="003F4383">
      <w:pPr>
        <w:pStyle w:val="BodyText"/>
      </w:pPr>
      <w:r w:rsidRPr="00CD31B7">
        <w:rPr>
          <w:b/>
          <w:bCs/>
        </w:rPr>
        <w:t xml:space="preserve">Design Reference: </w:t>
      </w:r>
      <w:r>
        <w:t>N/A</w:t>
      </w:r>
    </w:p>
    <w:p w14:paraId="7E28A11F" w14:textId="77777777" w:rsidR="003F4383" w:rsidRDefault="003F4383" w:rsidP="003F4383">
      <w:pPr>
        <w:pStyle w:val="BodyText"/>
      </w:pPr>
    </w:p>
    <w:p w14:paraId="77BA229C" w14:textId="77777777" w:rsidR="003F4383" w:rsidRDefault="003F4383" w:rsidP="003F4383">
      <w:pPr>
        <w:pStyle w:val="BodyText"/>
      </w:pPr>
      <w:r w:rsidRPr="00CD31B7">
        <w:rPr>
          <w:b/>
          <w:bCs/>
        </w:rPr>
        <w:t>Design Decision:</w:t>
      </w:r>
      <w:r>
        <w:t xml:space="preserve"> Action Groups will be created for the following user groups:</w:t>
      </w:r>
    </w:p>
    <w:p w14:paraId="3ACEC0B8" w14:textId="77777777" w:rsidR="003F4383" w:rsidRDefault="003F4383" w:rsidP="003F4383">
      <w:pPr>
        <w:pStyle w:val="BodyText"/>
        <w:numPr>
          <w:ilvl w:val="0"/>
          <w:numId w:val="44"/>
        </w:numPr>
      </w:pPr>
      <w:r>
        <w:t>Infrastructure</w:t>
      </w:r>
    </w:p>
    <w:p w14:paraId="28C42B09" w14:textId="77777777" w:rsidR="003F4383" w:rsidRDefault="003F4383" w:rsidP="003F4383">
      <w:pPr>
        <w:pStyle w:val="BodyText"/>
        <w:numPr>
          <w:ilvl w:val="0"/>
          <w:numId w:val="44"/>
        </w:numPr>
      </w:pPr>
      <w:r>
        <w:t>Networking</w:t>
      </w:r>
    </w:p>
    <w:p w14:paraId="08B3CA18" w14:textId="77777777" w:rsidR="003F4383" w:rsidRDefault="003F4383" w:rsidP="003F4383">
      <w:pPr>
        <w:pStyle w:val="BodyText"/>
        <w:numPr>
          <w:ilvl w:val="0"/>
          <w:numId w:val="44"/>
        </w:numPr>
      </w:pPr>
      <w:r>
        <w:t>DBA</w:t>
      </w:r>
    </w:p>
    <w:p w14:paraId="745CBBAE" w14:textId="77777777" w:rsidR="003F4383" w:rsidRDefault="003F4383" w:rsidP="003F4383">
      <w:pPr>
        <w:pStyle w:val="BodyText"/>
        <w:numPr>
          <w:ilvl w:val="0"/>
          <w:numId w:val="44"/>
        </w:numPr>
      </w:pPr>
      <w:r>
        <w:t>Security</w:t>
      </w:r>
    </w:p>
    <w:p w14:paraId="2498EE8F" w14:textId="77777777" w:rsidR="003F4383" w:rsidRDefault="003F4383" w:rsidP="003F4383">
      <w:pPr>
        <w:pStyle w:val="BodyText"/>
        <w:numPr>
          <w:ilvl w:val="0"/>
          <w:numId w:val="44"/>
        </w:numPr>
      </w:pPr>
      <w:r>
        <w:t xml:space="preserve">IDAM </w:t>
      </w:r>
    </w:p>
    <w:p w14:paraId="1A04B09A" w14:textId="77777777" w:rsidR="003F4383" w:rsidRDefault="003F4383" w:rsidP="003F4383">
      <w:pPr>
        <w:pStyle w:val="BodyText"/>
      </w:pPr>
    </w:p>
    <w:p w14:paraId="40F7D6D1" w14:textId="77777777" w:rsidR="003F4383" w:rsidRPr="00B41AAF" w:rsidRDefault="003F4383" w:rsidP="003F4383">
      <w:pPr>
        <w:pStyle w:val="BodyText"/>
      </w:pPr>
      <w:r w:rsidRPr="00CD31B7">
        <w:rPr>
          <w:b/>
          <w:bCs/>
        </w:rPr>
        <w:t xml:space="preserve">Design Justification: </w:t>
      </w:r>
      <w:r>
        <w:t xml:space="preserve">To ensure that teams are appropriately notified for alerts relating to their field, action groups will be created. This will allow the network team to only receive notifications relating to networking alerts as an example. </w:t>
      </w:r>
    </w:p>
    <w:p w14:paraId="7EF8E5B7" w14:textId="77777777" w:rsidR="003F4383" w:rsidRDefault="003F4383" w:rsidP="003F4383">
      <w:pPr>
        <w:pStyle w:val="BodyText"/>
        <w:tabs>
          <w:tab w:val="clear" w:pos="4536"/>
          <w:tab w:val="clear" w:pos="6804"/>
          <w:tab w:val="clear" w:pos="9638"/>
          <w:tab w:val="left" w:pos="3065"/>
        </w:tabs>
        <w:jc w:val="both"/>
      </w:pPr>
    </w:p>
    <w:p w14:paraId="2D919CDC" w14:textId="77777777" w:rsidR="003F4383" w:rsidRPr="002144B4" w:rsidRDefault="003F4383" w:rsidP="003F4383">
      <w:pPr>
        <w:pStyle w:val="Heading3"/>
        <w:numPr>
          <w:ilvl w:val="2"/>
          <w:numId w:val="7"/>
        </w:numPr>
        <w:jc w:val="both"/>
      </w:pPr>
      <w:r w:rsidRPr="002144B4">
        <w:t>Resource health alerts</w:t>
      </w:r>
    </w:p>
    <w:p w14:paraId="463B75AB" w14:textId="77777777" w:rsidR="003F4383" w:rsidRPr="002144B4" w:rsidRDefault="003F4383" w:rsidP="003F4383">
      <w:pPr>
        <w:pStyle w:val="BodyText"/>
        <w:jc w:val="both"/>
      </w:pPr>
      <w:r w:rsidRPr="002144B4">
        <w:rPr>
          <w:b/>
          <w:bCs/>
        </w:rPr>
        <w:t>Design Reference:</w:t>
      </w:r>
      <w:r w:rsidRPr="002144B4">
        <w:t xml:space="preserve"> Table 3 – </w:t>
      </w:r>
      <w:hyperlink w:anchor="_Alerting_Reliability_Checklist" w:history="1">
        <w:r w:rsidRPr="002144B4">
          <w:rPr>
            <w:rStyle w:val="Hyperlink"/>
          </w:rPr>
          <w:t>R2</w:t>
        </w:r>
      </w:hyperlink>
    </w:p>
    <w:p w14:paraId="721E017A" w14:textId="77777777" w:rsidR="003F4383" w:rsidRPr="002144B4" w:rsidRDefault="003F4383" w:rsidP="003F4383">
      <w:pPr>
        <w:pStyle w:val="BodyText"/>
        <w:jc w:val="both"/>
      </w:pPr>
    </w:p>
    <w:p w14:paraId="042B95CB" w14:textId="77777777" w:rsidR="003F4383" w:rsidRPr="002144B4" w:rsidRDefault="003F4383" w:rsidP="003F4383">
      <w:pPr>
        <w:pStyle w:val="BodyText"/>
        <w:jc w:val="both"/>
      </w:pPr>
      <w:r w:rsidRPr="002144B4">
        <w:rPr>
          <w:b/>
          <w:bCs/>
        </w:rPr>
        <w:t xml:space="preserve">Design Decision: </w:t>
      </w:r>
      <w:r w:rsidRPr="002144B4">
        <w:t xml:space="preserve">Resource Health alerts will be configured for all resource types. </w:t>
      </w:r>
    </w:p>
    <w:p w14:paraId="171E3296" w14:textId="77777777" w:rsidR="003F4383" w:rsidRPr="002144B4" w:rsidRDefault="003F4383" w:rsidP="003F4383">
      <w:pPr>
        <w:pStyle w:val="BodyText"/>
        <w:jc w:val="both"/>
        <w:rPr>
          <w:b/>
          <w:bCs/>
        </w:rPr>
      </w:pPr>
    </w:p>
    <w:p w14:paraId="7C8773EA" w14:textId="77777777" w:rsidR="003F4383" w:rsidRPr="002144B4" w:rsidRDefault="003F4383" w:rsidP="003F4383">
      <w:pPr>
        <w:pStyle w:val="BodyText"/>
        <w:jc w:val="both"/>
      </w:pPr>
      <w:r w:rsidRPr="002144B4">
        <w:rPr>
          <w:b/>
          <w:bCs/>
        </w:rPr>
        <w:lastRenderedPageBreak/>
        <w:t xml:space="preserve">Design Justification: </w:t>
      </w:r>
      <w:r w:rsidRPr="002144B4">
        <w:t xml:space="preserve">Resource Health alerts are scoped to a subscription and must be re-created on each subscription. They will be set to include all future resource groups in case more are created. All resource types will be covered, but there will also be rules created for function-specific teams such as Networking and Database. </w:t>
      </w:r>
    </w:p>
    <w:p w14:paraId="7376C686" w14:textId="77777777" w:rsidR="003F4383" w:rsidRPr="00D6578E" w:rsidRDefault="003F4383" w:rsidP="003F4383">
      <w:pPr>
        <w:pStyle w:val="BodyText"/>
        <w:rPr>
          <w:b/>
          <w:bCs/>
        </w:rPr>
      </w:pPr>
    </w:p>
    <w:p w14:paraId="2EAAFFE3" w14:textId="77777777" w:rsidR="003F4383" w:rsidRDefault="003F4383" w:rsidP="003F4383">
      <w:pPr>
        <w:pStyle w:val="Heading3"/>
        <w:numPr>
          <w:ilvl w:val="2"/>
          <w:numId w:val="7"/>
        </w:numPr>
        <w:jc w:val="both"/>
      </w:pPr>
      <w:r>
        <w:t>Service Health Alerts</w:t>
      </w:r>
    </w:p>
    <w:p w14:paraId="71276F05" w14:textId="77777777" w:rsidR="003F4383" w:rsidRPr="00712921" w:rsidRDefault="003F4383" w:rsidP="003F4383">
      <w:pPr>
        <w:pStyle w:val="BodyText"/>
      </w:pPr>
      <w:r w:rsidRPr="00712921">
        <w:rPr>
          <w:b/>
          <w:bCs/>
        </w:rPr>
        <w:t>Design Reference:</w:t>
      </w:r>
      <w:r>
        <w:t xml:space="preserve"> Table 3 – </w:t>
      </w:r>
      <w:hyperlink w:anchor="_Alerting_Reliability_Checklist" w:history="1">
        <w:r w:rsidRPr="00712921">
          <w:rPr>
            <w:rStyle w:val="Hyperlink"/>
          </w:rPr>
          <w:t>R1</w:t>
        </w:r>
      </w:hyperlink>
      <w:r>
        <w:t xml:space="preserve"> </w:t>
      </w:r>
    </w:p>
    <w:p w14:paraId="10DAFE91" w14:textId="77777777" w:rsidR="003F4383" w:rsidRDefault="003F4383" w:rsidP="003F4383">
      <w:pPr>
        <w:pStyle w:val="BodyText"/>
      </w:pPr>
    </w:p>
    <w:p w14:paraId="3C64BBF2" w14:textId="77777777" w:rsidR="003F4383" w:rsidRDefault="003F4383" w:rsidP="003F4383">
      <w:pPr>
        <w:pStyle w:val="BodyText"/>
      </w:pPr>
      <w:r w:rsidRPr="00712921">
        <w:rPr>
          <w:b/>
          <w:bCs/>
        </w:rPr>
        <w:t>Design Decision:</w:t>
      </w:r>
      <w:r>
        <w:t xml:space="preserve"> Service Health Alerts will be configured for each subscription.</w:t>
      </w:r>
    </w:p>
    <w:p w14:paraId="7F8B0063" w14:textId="77777777" w:rsidR="003F4383" w:rsidRDefault="003F4383" w:rsidP="003F4383">
      <w:pPr>
        <w:pStyle w:val="BodyText"/>
      </w:pPr>
    </w:p>
    <w:p w14:paraId="129ACF21" w14:textId="77777777" w:rsidR="003F4383" w:rsidRPr="00A95F02" w:rsidRDefault="003F4383" w:rsidP="003F4383">
      <w:pPr>
        <w:pStyle w:val="BodyText"/>
        <w:jc w:val="both"/>
      </w:pPr>
      <w:r w:rsidRPr="00712921">
        <w:rPr>
          <w:b/>
          <w:bCs/>
        </w:rPr>
        <w:t>Design Justification:</w:t>
      </w:r>
      <w:r>
        <w:t xml:space="preserve"> Service Health Alerts cannot span more than one subscription, so they are required to be re-created each time. The alerts for Service Health will be set for all resource </w:t>
      </w:r>
      <w:r w:rsidRPr="00A95F02">
        <w:t xml:space="preserve">types. There will also be rules created for function-specific teams such as Networking and Database.  </w:t>
      </w:r>
    </w:p>
    <w:p w14:paraId="5808CD86" w14:textId="77777777" w:rsidR="003F4383" w:rsidRPr="00A95F02" w:rsidRDefault="003F4383" w:rsidP="003F4383">
      <w:pPr>
        <w:pStyle w:val="BodyText"/>
      </w:pPr>
    </w:p>
    <w:p w14:paraId="64C171C8" w14:textId="77777777" w:rsidR="003F4383" w:rsidRPr="00A95F02" w:rsidRDefault="003F4383" w:rsidP="003F4383">
      <w:pPr>
        <w:pStyle w:val="Heading3"/>
        <w:numPr>
          <w:ilvl w:val="2"/>
          <w:numId w:val="7"/>
        </w:numPr>
        <w:jc w:val="both"/>
      </w:pPr>
      <w:r w:rsidRPr="00A95F02">
        <w:t>Metric Alerts</w:t>
      </w:r>
    </w:p>
    <w:p w14:paraId="6C36F945" w14:textId="77777777" w:rsidR="003F4383" w:rsidRPr="00A95F02" w:rsidRDefault="003F4383" w:rsidP="003F4383">
      <w:pPr>
        <w:pStyle w:val="BodyText"/>
      </w:pPr>
      <w:r w:rsidRPr="00A95F02">
        <w:rPr>
          <w:b/>
          <w:bCs/>
        </w:rPr>
        <w:t xml:space="preserve">Design Reference: </w:t>
      </w:r>
      <w:r w:rsidRPr="00A95F02">
        <w:t xml:space="preserve">Table 4 – </w:t>
      </w:r>
      <w:hyperlink w:anchor="_Alerting_Cost_Optimisation" w:history="1">
        <w:r w:rsidRPr="00A95F02">
          <w:rPr>
            <w:rStyle w:val="Hyperlink"/>
          </w:rPr>
          <w:t>CO3</w:t>
        </w:r>
      </w:hyperlink>
      <w:r w:rsidRPr="00A95F02">
        <w:t xml:space="preserve"> Table 5 – </w:t>
      </w:r>
      <w:hyperlink w:anchor="_Alerting_Operational_Excellence" w:history="1">
        <w:r w:rsidRPr="00A95F02">
          <w:rPr>
            <w:rStyle w:val="Hyperlink"/>
          </w:rPr>
          <w:t>OE1</w:t>
        </w:r>
      </w:hyperlink>
      <w:r w:rsidRPr="00A95F02">
        <w:t xml:space="preserve"> </w:t>
      </w:r>
    </w:p>
    <w:p w14:paraId="1405B053" w14:textId="77777777" w:rsidR="003F4383" w:rsidRPr="00A95F02" w:rsidRDefault="003F4383" w:rsidP="003F4383">
      <w:pPr>
        <w:pStyle w:val="BodyText"/>
      </w:pPr>
    </w:p>
    <w:p w14:paraId="394A1521" w14:textId="77777777" w:rsidR="003F4383" w:rsidRPr="00A95F02" w:rsidRDefault="003F4383" w:rsidP="003F4383">
      <w:pPr>
        <w:pStyle w:val="BodyText"/>
      </w:pPr>
      <w:r w:rsidRPr="00A95F02">
        <w:rPr>
          <w:b/>
          <w:bCs/>
        </w:rPr>
        <w:t>Design Decision:</w:t>
      </w:r>
      <w:r w:rsidRPr="00A95F02">
        <w:t xml:space="preserve"> Metric alert rules will be</w:t>
      </w:r>
      <w:r>
        <w:t xml:space="preserve"> recommended</w:t>
      </w:r>
      <w:r w:rsidRPr="00A95F02">
        <w:t xml:space="preserve"> for major resources including:</w:t>
      </w:r>
    </w:p>
    <w:p w14:paraId="6A195692" w14:textId="77777777" w:rsidR="003F4383" w:rsidRPr="00A95F02" w:rsidRDefault="003F4383" w:rsidP="003F4383">
      <w:pPr>
        <w:pStyle w:val="BodyText"/>
        <w:numPr>
          <w:ilvl w:val="0"/>
          <w:numId w:val="39"/>
        </w:numPr>
      </w:pPr>
      <w:r w:rsidRPr="00A95F02">
        <w:t>Azure Application Gateway</w:t>
      </w:r>
    </w:p>
    <w:p w14:paraId="691B1918" w14:textId="77777777" w:rsidR="003F4383" w:rsidRPr="00CF38BF" w:rsidRDefault="003F4383" w:rsidP="003F4383">
      <w:pPr>
        <w:pStyle w:val="BodyText"/>
        <w:numPr>
          <w:ilvl w:val="0"/>
          <w:numId w:val="39"/>
        </w:numPr>
      </w:pPr>
      <w:r w:rsidRPr="00CF38BF">
        <w:t>Azure Virtual Machines</w:t>
      </w:r>
    </w:p>
    <w:p w14:paraId="4F9EA9CD" w14:textId="77777777" w:rsidR="003F4383" w:rsidRDefault="003F4383" w:rsidP="003F4383">
      <w:pPr>
        <w:pStyle w:val="BodyText"/>
        <w:numPr>
          <w:ilvl w:val="0"/>
          <w:numId w:val="39"/>
        </w:numPr>
      </w:pPr>
      <w:r>
        <w:t>Storage Accounts</w:t>
      </w:r>
    </w:p>
    <w:p w14:paraId="14E4EF86" w14:textId="77777777" w:rsidR="003F4383" w:rsidRPr="00CF38BF" w:rsidRDefault="003F4383" w:rsidP="003F4383">
      <w:pPr>
        <w:pStyle w:val="BodyText"/>
        <w:numPr>
          <w:ilvl w:val="0"/>
          <w:numId w:val="39"/>
        </w:numPr>
      </w:pPr>
      <w:r w:rsidRPr="00CF38BF">
        <w:t>Log Analytics Workspace</w:t>
      </w:r>
    </w:p>
    <w:p w14:paraId="2DC59730" w14:textId="77777777" w:rsidR="003F4383" w:rsidRPr="00CF38BF" w:rsidRDefault="003F4383" w:rsidP="003F4383">
      <w:pPr>
        <w:pStyle w:val="BodyText"/>
      </w:pPr>
      <w:r w:rsidRPr="00CF38BF">
        <w:t>Static thresholds will be used over Dynamic Thresholds.</w:t>
      </w:r>
      <w:r>
        <w:t xml:space="preserve"> </w:t>
      </w:r>
      <w:r w:rsidRPr="00CF38BF">
        <w:t xml:space="preserve"> </w:t>
      </w:r>
    </w:p>
    <w:p w14:paraId="1045C610" w14:textId="77777777" w:rsidR="003F4383" w:rsidRDefault="003F4383" w:rsidP="003F4383">
      <w:pPr>
        <w:pStyle w:val="BodyText"/>
        <w:jc w:val="both"/>
      </w:pPr>
      <w:r w:rsidRPr="00CF38BF">
        <w:rPr>
          <w:b/>
          <w:bCs/>
        </w:rPr>
        <w:br/>
        <w:t xml:space="preserve">Design Justification: </w:t>
      </w:r>
      <w:r w:rsidRPr="00CF38BF">
        <w:t>It is generally not recommended to configure metric alerts for every single service for every metric as this will lead to alert fatigue and will result in major alerts being missed. There are several out of the box recommended alerts for resources such as Virtual Machines that will be enabled by default. The resources mentioned above have their specific recommended metric alerts in the Configuration Templates section.</w:t>
      </w:r>
    </w:p>
    <w:p w14:paraId="5FCBFB13" w14:textId="77777777" w:rsidR="003F4383" w:rsidRPr="00CF38BF" w:rsidRDefault="003F4383" w:rsidP="003F4383">
      <w:pPr>
        <w:pStyle w:val="BodyText"/>
        <w:jc w:val="both"/>
      </w:pPr>
      <w:r>
        <w:t xml:space="preserve">Any other resources can also have metric alerts enabled as required. </w:t>
      </w:r>
      <w:r w:rsidRPr="00CF38BF">
        <w:t xml:space="preserve"> </w:t>
      </w:r>
    </w:p>
    <w:p w14:paraId="2F6BE8A3" w14:textId="77777777" w:rsidR="003F4383" w:rsidRDefault="003F4383" w:rsidP="003F4383">
      <w:pPr>
        <w:pStyle w:val="BodyText"/>
        <w:jc w:val="both"/>
      </w:pPr>
      <w:r w:rsidRPr="00CF38BF">
        <w:t>Additionally, Static thresholds will be used as they grant you greater control and allow you to specify exact metrics (e.g. 90%) instead of the inbuilt dynamic</w:t>
      </w:r>
      <w:r>
        <w:t xml:space="preserve"> thresholds (low, medium, high). </w:t>
      </w:r>
    </w:p>
    <w:p w14:paraId="59C87BCC" w14:textId="77777777" w:rsidR="003F4383" w:rsidRDefault="003F4383" w:rsidP="003F4383">
      <w:pPr>
        <w:pStyle w:val="BodyText"/>
        <w:jc w:val="both"/>
      </w:pPr>
    </w:p>
    <w:p w14:paraId="7B421EFE" w14:textId="77777777" w:rsidR="003F4383" w:rsidRDefault="003F4383" w:rsidP="003F4383">
      <w:pPr>
        <w:pStyle w:val="Heading3"/>
        <w:numPr>
          <w:ilvl w:val="2"/>
          <w:numId w:val="7"/>
        </w:numPr>
        <w:jc w:val="both"/>
      </w:pPr>
      <w:r>
        <w:t>Log Search Alerts</w:t>
      </w:r>
    </w:p>
    <w:p w14:paraId="32ABE6F7" w14:textId="77777777" w:rsidR="003F4383" w:rsidRDefault="003F4383" w:rsidP="003F4383">
      <w:pPr>
        <w:pStyle w:val="BodyText"/>
        <w:jc w:val="both"/>
      </w:pPr>
      <w:r w:rsidRPr="00DC1C36">
        <w:rPr>
          <w:b/>
          <w:bCs/>
        </w:rPr>
        <w:t>Design Reference:</w:t>
      </w:r>
      <w:r>
        <w:t xml:space="preserve"> N/A</w:t>
      </w:r>
    </w:p>
    <w:p w14:paraId="07C872C4" w14:textId="77777777" w:rsidR="003F4383" w:rsidRDefault="003F4383" w:rsidP="003F4383">
      <w:pPr>
        <w:pStyle w:val="BodyText"/>
        <w:jc w:val="both"/>
      </w:pPr>
    </w:p>
    <w:p w14:paraId="2FE7854C" w14:textId="77777777" w:rsidR="003F4383" w:rsidRDefault="003F4383" w:rsidP="003F4383">
      <w:pPr>
        <w:pStyle w:val="BodyText"/>
        <w:jc w:val="both"/>
      </w:pPr>
      <w:r w:rsidRPr="00DC1C36">
        <w:rPr>
          <w:b/>
          <w:bCs/>
        </w:rPr>
        <w:t>Design Decision:</w:t>
      </w:r>
      <w:r>
        <w:t xml:space="preserve"> Log search alerts will not be configured as a default. </w:t>
      </w:r>
    </w:p>
    <w:p w14:paraId="5FF18202" w14:textId="77777777" w:rsidR="003F4383" w:rsidRDefault="003F4383" w:rsidP="003F4383">
      <w:pPr>
        <w:pStyle w:val="BodyText"/>
        <w:jc w:val="both"/>
      </w:pPr>
    </w:p>
    <w:p w14:paraId="4F1578EB" w14:textId="77777777" w:rsidR="003F4383" w:rsidRDefault="003F4383" w:rsidP="003F4383">
      <w:pPr>
        <w:pStyle w:val="BodyText"/>
        <w:jc w:val="both"/>
      </w:pPr>
      <w:r w:rsidRPr="00DC1C36">
        <w:rPr>
          <w:b/>
          <w:bCs/>
        </w:rPr>
        <w:t>Design Justification:</w:t>
      </w:r>
      <w:r>
        <w:t xml:space="preserve"> Log search alerts are more advanced and require specific use cases that cannot be met by other standard alerts such as metric or resource health alerts. It is recommended to create these unless necessary as it can lead to alert fatigue alongside all other alerts being created. </w:t>
      </w:r>
    </w:p>
    <w:p w14:paraId="29A970F1" w14:textId="77777777" w:rsidR="00E42EF6" w:rsidRDefault="00E42EF6" w:rsidP="00441740">
      <w:pPr>
        <w:pStyle w:val="BodyText"/>
      </w:pPr>
    </w:p>
    <w:p w14:paraId="1BB356BF" w14:textId="77777777" w:rsidR="00E42EF6" w:rsidRDefault="00E42EF6" w:rsidP="00441740">
      <w:pPr>
        <w:pStyle w:val="BodyText"/>
      </w:pPr>
    </w:p>
    <w:p w14:paraId="6FA891EA" w14:textId="790F0A65" w:rsidR="00E42EF6" w:rsidRDefault="003F4383" w:rsidP="00441740">
      <w:pPr>
        <w:pStyle w:val="BodyText"/>
      </w:pPr>
      <w:r>
        <w:t>Solution Diagram for LAW:-</w:t>
      </w:r>
    </w:p>
    <w:p w14:paraId="3B5CFCB4" w14:textId="77777777" w:rsidR="003F4383" w:rsidRDefault="003F4383" w:rsidP="00441740">
      <w:pPr>
        <w:pStyle w:val="BodyText"/>
      </w:pPr>
    </w:p>
    <w:p w14:paraId="2543EAC2" w14:textId="2B45CF92" w:rsidR="003F4383" w:rsidRDefault="003F4383" w:rsidP="00441740">
      <w:pPr>
        <w:pStyle w:val="BodyText"/>
      </w:pPr>
      <w:r>
        <w:object w:dxaOrig="12180" w:dyaOrig="9610" w14:anchorId="3991D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72pt" o:ole="">
            <v:imagedata r:id="rId12" o:title=""/>
          </v:shape>
          <o:OLEObject Type="Embed" ProgID="Visio.Drawing.15" ShapeID="_x0000_i1025" DrawAspect="Content" ObjectID="_1774088317" r:id="rId13"/>
        </w:object>
      </w:r>
    </w:p>
    <w:p w14:paraId="6A02402D" w14:textId="77777777" w:rsidR="00E42EF6" w:rsidRDefault="00E42EF6" w:rsidP="00441740">
      <w:pPr>
        <w:pStyle w:val="BodyText"/>
      </w:pPr>
    </w:p>
    <w:p w14:paraId="04434E90" w14:textId="40E37882" w:rsidR="009224FA" w:rsidRDefault="009224FA" w:rsidP="009A363B">
      <w:pPr>
        <w:pStyle w:val="Heading2"/>
        <w:numPr>
          <w:ilvl w:val="0"/>
          <w:numId w:val="0"/>
        </w:numPr>
        <w:ind w:left="510" w:hanging="510"/>
      </w:pPr>
      <w:bookmarkStart w:id="10" w:name="_Toc157090455"/>
      <w:r>
        <w:t>Design Decisions and Justifications</w:t>
      </w:r>
      <w:bookmarkEnd w:id="10"/>
      <w:r>
        <w:t xml:space="preserve"> for </w:t>
      </w:r>
      <w:r w:rsidRPr="009224FA">
        <w:rPr>
          <w:highlight w:val="yellow"/>
        </w:rPr>
        <w:t>LAW:-</w:t>
      </w:r>
    </w:p>
    <w:p w14:paraId="7F8CD22F" w14:textId="77777777" w:rsidR="00E42EF6" w:rsidRDefault="00E42EF6" w:rsidP="00441740">
      <w:pPr>
        <w:pStyle w:val="BodyText"/>
      </w:pPr>
    </w:p>
    <w:p w14:paraId="5DAA631A" w14:textId="77777777" w:rsidR="00BE7CBD" w:rsidRPr="008B7613" w:rsidRDefault="00BE7CBD" w:rsidP="00BE7CBD">
      <w:pPr>
        <w:pStyle w:val="Heading3"/>
        <w:numPr>
          <w:ilvl w:val="2"/>
          <w:numId w:val="7"/>
        </w:numPr>
        <w:jc w:val="both"/>
      </w:pPr>
      <w:bookmarkStart w:id="11" w:name="_Toc157090456"/>
      <w:r>
        <w:t>Number and Location of Log Analytics Workspaces</w:t>
      </w:r>
      <w:bookmarkEnd w:id="11"/>
    </w:p>
    <w:p w14:paraId="6CA8C81D" w14:textId="77777777" w:rsidR="00BE7CBD" w:rsidRDefault="00BE7CBD" w:rsidP="00BE7CBD">
      <w:pPr>
        <w:pStyle w:val="BodyText"/>
        <w:jc w:val="both"/>
        <w:rPr>
          <w:b/>
          <w:bCs/>
        </w:rPr>
      </w:pPr>
      <w:r>
        <w:rPr>
          <w:b/>
          <w:bCs/>
        </w:rPr>
        <w:t xml:space="preserve">Design Reference: </w:t>
      </w:r>
      <w:r w:rsidRPr="00794029">
        <w:t xml:space="preserve">Table 6 – </w:t>
      </w:r>
      <w:hyperlink w:anchor="_Log_Analytics_Workspace" w:history="1">
        <w:r w:rsidRPr="0018795C">
          <w:rPr>
            <w:rStyle w:val="Hyperlink"/>
            <w:smallCaps/>
          </w:rPr>
          <w:t>S4</w:t>
        </w:r>
      </w:hyperlink>
    </w:p>
    <w:p w14:paraId="2212016A" w14:textId="77777777" w:rsidR="00BE7CBD" w:rsidRPr="00BC1AF9" w:rsidRDefault="00BE7CBD" w:rsidP="00BE7CBD">
      <w:pPr>
        <w:pStyle w:val="BodyText"/>
        <w:jc w:val="both"/>
      </w:pPr>
    </w:p>
    <w:p w14:paraId="27CD032B" w14:textId="77777777" w:rsidR="00BE7CBD" w:rsidRDefault="00BE7CBD" w:rsidP="00BE7CBD">
      <w:pPr>
        <w:pStyle w:val="BodyText"/>
        <w:jc w:val="both"/>
      </w:pPr>
      <w:r w:rsidRPr="008B7613">
        <w:rPr>
          <w:b/>
          <w:bCs/>
        </w:rPr>
        <w:t>Design Decision</w:t>
      </w:r>
      <w:r>
        <w:t xml:space="preserve">: A central Log Analytics Workspace will be deployed in each region in the AV ALZ Management Subscription. A separate instance of Log Analytics Workspace will be used for Microsoft Sentinel. </w:t>
      </w:r>
    </w:p>
    <w:p w14:paraId="7EFF6348" w14:textId="77777777" w:rsidR="00BE7CBD" w:rsidRDefault="00BE7CBD" w:rsidP="00BE7CBD">
      <w:pPr>
        <w:pStyle w:val="BodyText"/>
        <w:jc w:val="both"/>
      </w:pPr>
    </w:p>
    <w:p w14:paraId="2690B91E" w14:textId="77777777" w:rsidR="00BE7CBD" w:rsidRDefault="00BE7CBD" w:rsidP="00BE7CBD">
      <w:pPr>
        <w:pStyle w:val="BodyText"/>
        <w:jc w:val="both"/>
      </w:pPr>
      <w:r w:rsidRPr="008B7613">
        <w:rPr>
          <w:b/>
          <w:bCs/>
        </w:rPr>
        <w:t>Design Justification</w:t>
      </w:r>
      <w:r>
        <w:t xml:space="preserve">: Security and simplicity of management principals suggest the best way to deploy Log Analytics Workspaces is to centralise the collection of logs as much as possible. Only one Log Analytics solution can be deployed per region, so it is recommended to have two central workspaces – one in each Azure region.  For specific applications such as Azure </w:t>
      </w:r>
      <w:r>
        <w:lastRenderedPageBreak/>
        <w:t xml:space="preserve">Sentinel another workspace will be deployed to provide segregation of the Sentinel data as compared to general logs and diagnostics. </w:t>
      </w:r>
    </w:p>
    <w:p w14:paraId="191A8666" w14:textId="77777777" w:rsidR="00BE7CBD" w:rsidRDefault="00BE7CBD" w:rsidP="00BE7CBD">
      <w:pPr>
        <w:pStyle w:val="BodyText"/>
        <w:jc w:val="both"/>
      </w:pPr>
      <w:r>
        <w:t xml:space="preserve">  </w:t>
      </w:r>
    </w:p>
    <w:p w14:paraId="29A2AA02" w14:textId="77777777" w:rsidR="00BE7CBD" w:rsidRDefault="00BE7CBD" w:rsidP="00BE7CBD">
      <w:pPr>
        <w:pStyle w:val="Heading3"/>
        <w:numPr>
          <w:ilvl w:val="2"/>
          <w:numId w:val="7"/>
        </w:numPr>
        <w:jc w:val="both"/>
      </w:pPr>
      <w:bookmarkStart w:id="12" w:name="_Toc157090457"/>
      <w:r>
        <w:t>Logging and Monitoring</w:t>
      </w:r>
      <w:bookmarkEnd w:id="12"/>
    </w:p>
    <w:p w14:paraId="6060D5FB" w14:textId="77777777" w:rsidR="00BE7CBD" w:rsidRDefault="00BE7CBD" w:rsidP="00BE7CBD">
      <w:pPr>
        <w:pStyle w:val="BodyText"/>
      </w:pPr>
      <w:r w:rsidRPr="008C05DB">
        <w:rPr>
          <w:b/>
          <w:bCs/>
        </w:rPr>
        <w:t>Design Reference:</w:t>
      </w:r>
      <w:r>
        <w:t xml:space="preserve"> Table 6 – </w:t>
      </w:r>
      <w:hyperlink w:anchor="_Log_Analytics_Workspace" w:history="1">
        <w:r w:rsidRPr="0018795C">
          <w:rPr>
            <w:rStyle w:val="Hyperlink"/>
          </w:rPr>
          <w:t>S2, S3</w:t>
        </w:r>
      </w:hyperlink>
      <w:r>
        <w:t xml:space="preserve"> </w:t>
      </w:r>
    </w:p>
    <w:p w14:paraId="7DFDF46B" w14:textId="77777777" w:rsidR="00BE7CBD" w:rsidRPr="001855C6" w:rsidRDefault="00BE7CBD" w:rsidP="00BE7CBD">
      <w:pPr>
        <w:pStyle w:val="BodyText"/>
      </w:pPr>
    </w:p>
    <w:p w14:paraId="12969ED7" w14:textId="77777777" w:rsidR="00BE7CBD" w:rsidRDefault="00BE7CBD" w:rsidP="00BE7CBD">
      <w:pPr>
        <w:pStyle w:val="BodyText"/>
        <w:jc w:val="both"/>
      </w:pPr>
      <w:r w:rsidRPr="008B7613">
        <w:rPr>
          <w:b/>
          <w:bCs/>
        </w:rPr>
        <w:t>Design Decision:</w:t>
      </w:r>
      <w:r>
        <w:t xml:space="preserve"> diagnostic settings will be enabled for the Log Analytics Workspace itself. All other resources will send their diagnostic logs to the central Log Analytics Workspace in that region.  AllLogs and allMetrics will be captured for the Log Analytics Workspace diagnostic setting.  </w:t>
      </w:r>
    </w:p>
    <w:p w14:paraId="37585C39" w14:textId="77777777" w:rsidR="00BE7CBD" w:rsidRDefault="00BE7CBD" w:rsidP="00BE7CBD">
      <w:pPr>
        <w:pStyle w:val="BodyText"/>
        <w:jc w:val="both"/>
        <w:rPr>
          <w:b/>
          <w:bCs/>
        </w:rPr>
      </w:pPr>
    </w:p>
    <w:p w14:paraId="53D6C070" w14:textId="77777777" w:rsidR="00BE7CBD" w:rsidRDefault="00BE7CBD" w:rsidP="00BE7CBD">
      <w:pPr>
        <w:pStyle w:val="BodyText"/>
        <w:tabs>
          <w:tab w:val="clear" w:pos="4536"/>
          <w:tab w:val="clear" w:pos="6804"/>
          <w:tab w:val="clear" w:pos="9638"/>
          <w:tab w:val="left" w:pos="3065"/>
        </w:tabs>
        <w:jc w:val="both"/>
      </w:pPr>
      <w:r w:rsidRPr="008B7613">
        <w:rPr>
          <w:b/>
          <w:bCs/>
        </w:rPr>
        <w:t>Design Justification:</w:t>
      </w:r>
      <w:r>
        <w:rPr>
          <w:b/>
          <w:bCs/>
        </w:rPr>
        <w:t xml:space="preserve"> </w:t>
      </w:r>
      <w:r>
        <w:t xml:space="preserve">All resources, including the Log Analytics Workspace itself, must have their logs captured and stored as centrally as possible so that they can be reviewed for suspicious activity or operational optimisation purposes. There will be one central Log Analytics Workspace per region, so all resources will send their logs to the workspace in its respective region.   </w:t>
      </w:r>
    </w:p>
    <w:p w14:paraId="70A15855" w14:textId="77777777" w:rsidR="00BE7CBD" w:rsidRDefault="00BE7CBD" w:rsidP="00BE7CBD">
      <w:pPr>
        <w:pStyle w:val="BodyText"/>
        <w:tabs>
          <w:tab w:val="clear" w:pos="4536"/>
          <w:tab w:val="clear" w:pos="6804"/>
          <w:tab w:val="clear" w:pos="9638"/>
          <w:tab w:val="left" w:pos="3065"/>
        </w:tabs>
        <w:jc w:val="both"/>
      </w:pPr>
    </w:p>
    <w:p w14:paraId="78C6B84D" w14:textId="77777777" w:rsidR="00BE7CBD" w:rsidRDefault="00BE7CBD" w:rsidP="00BE7CBD">
      <w:pPr>
        <w:pStyle w:val="Heading3"/>
        <w:numPr>
          <w:ilvl w:val="2"/>
          <w:numId w:val="7"/>
        </w:numPr>
        <w:jc w:val="both"/>
      </w:pPr>
      <w:bookmarkStart w:id="13" w:name="_Toc157090458"/>
      <w:r>
        <w:t>Data Retention Period</w:t>
      </w:r>
      <w:bookmarkEnd w:id="13"/>
    </w:p>
    <w:p w14:paraId="7A9952E3" w14:textId="77777777" w:rsidR="00BE7CBD" w:rsidRPr="001855C6" w:rsidRDefault="00BE7CBD" w:rsidP="00BE7CBD">
      <w:pPr>
        <w:pStyle w:val="BodyText"/>
        <w:rPr>
          <w:b/>
          <w:bCs/>
        </w:rPr>
      </w:pPr>
      <w:r w:rsidRPr="001855C6">
        <w:rPr>
          <w:b/>
          <w:bCs/>
        </w:rPr>
        <w:t>Design Reference:</w:t>
      </w:r>
      <w:r>
        <w:rPr>
          <w:b/>
          <w:bCs/>
        </w:rPr>
        <w:t xml:space="preserve"> </w:t>
      </w:r>
      <w:r>
        <w:t xml:space="preserve">Table 6 – </w:t>
      </w:r>
      <w:hyperlink w:anchor="_Log_Analytics_Workspace" w:history="1">
        <w:r w:rsidRPr="003D0ACE">
          <w:rPr>
            <w:rStyle w:val="Hyperlink"/>
          </w:rPr>
          <w:t>S5</w:t>
        </w:r>
      </w:hyperlink>
      <w:r w:rsidRPr="001855C6">
        <w:rPr>
          <w:b/>
          <w:bCs/>
        </w:rPr>
        <w:t xml:space="preserve"> </w:t>
      </w:r>
    </w:p>
    <w:p w14:paraId="670DC47A" w14:textId="77777777" w:rsidR="00BE7CBD" w:rsidRDefault="00BE7CBD" w:rsidP="00BE7CBD">
      <w:pPr>
        <w:pStyle w:val="BodyText"/>
      </w:pPr>
    </w:p>
    <w:p w14:paraId="16375976" w14:textId="77777777" w:rsidR="00BE7CBD" w:rsidRPr="003D0ACE" w:rsidRDefault="00BE7CBD" w:rsidP="00BE7CBD">
      <w:pPr>
        <w:pStyle w:val="BodyText"/>
      </w:pPr>
      <w:r w:rsidRPr="0018795C">
        <w:rPr>
          <w:b/>
          <w:bCs/>
        </w:rPr>
        <w:t>Design Decision:</w:t>
      </w:r>
      <w:r>
        <w:rPr>
          <w:b/>
          <w:bCs/>
        </w:rPr>
        <w:t xml:space="preserve"> </w:t>
      </w:r>
      <w:r>
        <w:t>the retention period will be set at 90 days.</w:t>
      </w:r>
    </w:p>
    <w:p w14:paraId="646FAEE0" w14:textId="77777777" w:rsidR="00BE7CBD" w:rsidRDefault="00BE7CBD" w:rsidP="00BE7CBD">
      <w:pPr>
        <w:pStyle w:val="BodyText"/>
      </w:pPr>
    </w:p>
    <w:p w14:paraId="2B94AB42" w14:textId="77777777" w:rsidR="00BE7CBD" w:rsidRPr="003D0ACE" w:rsidRDefault="00BE7CBD" w:rsidP="00BE7CBD">
      <w:pPr>
        <w:pStyle w:val="BodyText"/>
      </w:pPr>
      <w:r w:rsidRPr="0018795C">
        <w:rPr>
          <w:b/>
          <w:bCs/>
        </w:rPr>
        <w:t xml:space="preserve">Design Justification: </w:t>
      </w:r>
      <w:r>
        <w:t xml:space="preserve">It is a compliance requirement stipulated by the Department of Health controls that logs will be retained for a minimum of 90 days. </w:t>
      </w:r>
    </w:p>
    <w:p w14:paraId="017ABB54" w14:textId="77777777" w:rsidR="00BE7CBD" w:rsidRDefault="00BE7CBD" w:rsidP="00BE7CBD">
      <w:pPr>
        <w:pStyle w:val="BodyText"/>
        <w:tabs>
          <w:tab w:val="clear" w:pos="4536"/>
          <w:tab w:val="clear" w:pos="6804"/>
          <w:tab w:val="clear" w:pos="9638"/>
          <w:tab w:val="left" w:pos="3065"/>
        </w:tabs>
        <w:jc w:val="both"/>
      </w:pPr>
    </w:p>
    <w:p w14:paraId="5C712968" w14:textId="77777777" w:rsidR="00BE7CBD" w:rsidRDefault="00BE7CBD" w:rsidP="00BE7CBD">
      <w:pPr>
        <w:pStyle w:val="Heading3"/>
        <w:numPr>
          <w:ilvl w:val="2"/>
          <w:numId w:val="7"/>
        </w:numPr>
        <w:jc w:val="both"/>
      </w:pPr>
      <w:r>
        <w:t>Daily Cap Limit</w:t>
      </w:r>
    </w:p>
    <w:p w14:paraId="7C4E54D8" w14:textId="77777777" w:rsidR="00BE7CBD" w:rsidRPr="00535039" w:rsidRDefault="00BE7CBD" w:rsidP="00BE7CBD">
      <w:pPr>
        <w:pStyle w:val="BodyText"/>
        <w:jc w:val="both"/>
        <w:rPr>
          <w:b/>
          <w:bCs/>
        </w:rPr>
      </w:pPr>
      <w:r w:rsidRPr="00535039">
        <w:rPr>
          <w:b/>
          <w:bCs/>
        </w:rPr>
        <w:t>Design reference:</w:t>
      </w:r>
      <w:r>
        <w:rPr>
          <w:b/>
          <w:bCs/>
        </w:rPr>
        <w:t xml:space="preserve"> </w:t>
      </w:r>
      <w:r w:rsidRPr="008F752F">
        <w:t xml:space="preserve">Table 3 – </w:t>
      </w:r>
      <w:hyperlink w:anchor="_Log_Analytics_Workspace_1" w:history="1">
        <w:r w:rsidRPr="008F752F">
          <w:rPr>
            <w:rStyle w:val="Hyperlink"/>
          </w:rPr>
          <w:t>CO2</w:t>
        </w:r>
      </w:hyperlink>
    </w:p>
    <w:p w14:paraId="6419D482" w14:textId="77777777" w:rsidR="00BE7CBD" w:rsidRPr="00535039" w:rsidRDefault="00BE7CBD" w:rsidP="00BE7CBD">
      <w:pPr>
        <w:pStyle w:val="BodyText"/>
        <w:jc w:val="both"/>
        <w:rPr>
          <w:b/>
          <w:bCs/>
        </w:rPr>
      </w:pPr>
    </w:p>
    <w:p w14:paraId="4DFA6AC0" w14:textId="77777777" w:rsidR="00BE7CBD" w:rsidRPr="008F752F" w:rsidRDefault="00BE7CBD" w:rsidP="00BE7CBD">
      <w:pPr>
        <w:pStyle w:val="BodyText"/>
        <w:jc w:val="both"/>
      </w:pPr>
      <w:r w:rsidRPr="00535039">
        <w:rPr>
          <w:b/>
          <w:bCs/>
        </w:rPr>
        <w:t>Design Decision:</w:t>
      </w:r>
      <w:r>
        <w:rPr>
          <w:b/>
          <w:bCs/>
        </w:rPr>
        <w:t xml:space="preserve"> </w:t>
      </w:r>
      <w:r>
        <w:t xml:space="preserve">A daily cap limit of 100GB will be set. </w:t>
      </w:r>
    </w:p>
    <w:p w14:paraId="1ADE1454" w14:textId="77777777" w:rsidR="00BE7CBD" w:rsidRPr="00535039" w:rsidRDefault="00BE7CBD" w:rsidP="00BE7CBD">
      <w:pPr>
        <w:pStyle w:val="BodyText"/>
        <w:jc w:val="both"/>
        <w:rPr>
          <w:b/>
          <w:bCs/>
        </w:rPr>
      </w:pPr>
    </w:p>
    <w:p w14:paraId="54BEA66B" w14:textId="37C225F0" w:rsidR="00BE7CBD" w:rsidRDefault="00BE7CBD" w:rsidP="00BE7CBD">
      <w:pPr>
        <w:pStyle w:val="BodyText"/>
        <w:jc w:val="both"/>
      </w:pPr>
      <w:r w:rsidRPr="00535039">
        <w:rPr>
          <w:b/>
          <w:bCs/>
        </w:rPr>
        <w:t xml:space="preserve">Design Justification: </w:t>
      </w:r>
      <w:r>
        <w:t>The daily cap limit assists in cost management of log analytics workspace. The 100GB will be the initial cap set as the current daily ingestion at the time of writing is approximately 10GB, and at 100GB the first discount tier can be set. Over time the ingestion is expected to increase as more applications are brought online, so the new pricing tier should be set once an average of 100GB per day is reached.</w:t>
      </w:r>
    </w:p>
    <w:p w14:paraId="4589CCBF" w14:textId="77777777" w:rsidR="0044310D" w:rsidRDefault="0044310D" w:rsidP="00BE7CBD">
      <w:pPr>
        <w:pStyle w:val="BodyText"/>
        <w:jc w:val="both"/>
      </w:pPr>
    </w:p>
    <w:p w14:paraId="43CC4012" w14:textId="5C6C9831" w:rsidR="009A363B" w:rsidRDefault="009A363B" w:rsidP="009A363B">
      <w:pPr>
        <w:pStyle w:val="Heading2"/>
        <w:numPr>
          <w:ilvl w:val="0"/>
          <w:numId w:val="0"/>
        </w:numPr>
        <w:ind w:left="510" w:hanging="510"/>
      </w:pPr>
      <w:bookmarkStart w:id="14" w:name="_Toc158801760"/>
      <w:r>
        <w:t>Design Decisions and Justifications</w:t>
      </w:r>
      <w:bookmarkEnd w:id="14"/>
      <w:r>
        <w:t xml:space="preserve"> for </w:t>
      </w:r>
      <w:r w:rsidRPr="000A19CF">
        <w:rPr>
          <w:highlight w:val="yellow"/>
        </w:rPr>
        <w:t>Azure Monitor and Insights</w:t>
      </w:r>
      <w:r>
        <w:t>:-</w:t>
      </w:r>
    </w:p>
    <w:p w14:paraId="3017C86F" w14:textId="77777777" w:rsidR="00252586" w:rsidRPr="000B3981" w:rsidRDefault="00252586" w:rsidP="00252586">
      <w:pPr>
        <w:pStyle w:val="Heading3"/>
        <w:numPr>
          <w:ilvl w:val="2"/>
          <w:numId w:val="7"/>
        </w:numPr>
        <w:jc w:val="both"/>
      </w:pPr>
      <w:bookmarkStart w:id="15" w:name="_Toc158801761"/>
      <w:r w:rsidRPr="000B3981">
        <w:t>Configuring General Logging and Metrics</w:t>
      </w:r>
      <w:bookmarkEnd w:id="15"/>
    </w:p>
    <w:p w14:paraId="1B711DF2" w14:textId="77777777" w:rsidR="00252586" w:rsidRPr="000B3981" w:rsidRDefault="00252586" w:rsidP="00252586">
      <w:pPr>
        <w:pStyle w:val="BodyText"/>
        <w:jc w:val="both"/>
        <w:rPr>
          <w:b/>
          <w:bCs/>
        </w:rPr>
      </w:pPr>
      <w:r w:rsidRPr="000B3981">
        <w:rPr>
          <w:b/>
          <w:bCs/>
        </w:rPr>
        <w:t xml:space="preserve">Design Reference: </w:t>
      </w:r>
      <w:r w:rsidRPr="000B3981">
        <w:t xml:space="preserve">Microsoft Security Benchmark </w:t>
      </w:r>
      <w:hyperlink w:anchor="_Azure_Monitor_and" w:history="1">
        <w:r w:rsidRPr="000B3981">
          <w:rPr>
            <w:rStyle w:val="Hyperlink"/>
          </w:rPr>
          <w:t>LT-4</w:t>
        </w:r>
      </w:hyperlink>
    </w:p>
    <w:p w14:paraId="5D969BAA" w14:textId="77777777" w:rsidR="00252586" w:rsidRPr="000B3981" w:rsidRDefault="00252586" w:rsidP="00252586">
      <w:pPr>
        <w:pStyle w:val="BodyText"/>
        <w:jc w:val="both"/>
        <w:rPr>
          <w:b/>
          <w:bCs/>
        </w:rPr>
      </w:pPr>
    </w:p>
    <w:p w14:paraId="75DE9EEC" w14:textId="77777777" w:rsidR="00252586" w:rsidRPr="000B3981" w:rsidRDefault="00252586" w:rsidP="00252586">
      <w:pPr>
        <w:pStyle w:val="BodyText"/>
        <w:jc w:val="both"/>
      </w:pPr>
      <w:r w:rsidRPr="000B3981">
        <w:rPr>
          <w:b/>
          <w:bCs/>
        </w:rPr>
        <w:t>Design Decision</w:t>
      </w:r>
      <w:r w:rsidRPr="000B3981">
        <w:t xml:space="preserve">: AllLogs and allMetrics are configured where applicable to each Azure resource.  </w:t>
      </w:r>
    </w:p>
    <w:p w14:paraId="7883BF96" w14:textId="77777777" w:rsidR="00252586" w:rsidRPr="000B3981" w:rsidRDefault="00252586" w:rsidP="00252586">
      <w:pPr>
        <w:pStyle w:val="BodyText"/>
        <w:jc w:val="both"/>
      </w:pPr>
    </w:p>
    <w:p w14:paraId="7159E76F" w14:textId="77777777" w:rsidR="00252586" w:rsidRDefault="00252586" w:rsidP="00252586">
      <w:pPr>
        <w:pStyle w:val="BodyText"/>
        <w:jc w:val="both"/>
      </w:pPr>
      <w:r w:rsidRPr="000B3981">
        <w:rPr>
          <w:b/>
          <w:bCs/>
        </w:rPr>
        <w:t>Design Justification</w:t>
      </w:r>
      <w:r w:rsidRPr="000B3981">
        <w:t>: To troubleshoot and understand infrastructure performance, diagnostic logs and metrics are sent to a central Log Analytics workspace. This has been covered in the Log Analytics Workspace Core Service design document.</w:t>
      </w:r>
      <w:r>
        <w:t xml:space="preserve"> Any other specific requirements for individual services are covered in the design for that service. </w:t>
      </w:r>
    </w:p>
    <w:p w14:paraId="2110769A" w14:textId="77777777" w:rsidR="00252586" w:rsidRDefault="00252586" w:rsidP="00252586">
      <w:pPr>
        <w:pStyle w:val="BodyText"/>
        <w:jc w:val="both"/>
      </w:pPr>
    </w:p>
    <w:p w14:paraId="0FA2AD5E" w14:textId="77777777" w:rsidR="00252586" w:rsidRDefault="00252586" w:rsidP="00252586">
      <w:pPr>
        <w:pStyle w:val="Heading3"/>
        <w:numPr>
          <w:ilvl w:val="2"/>
          <w:numId w:val="7"/>
        </w:numPr>
        <w:jc w:val="both"/>
      </w:pPr>
      <w:bookmarkStart w:id="16" w:name="_Toc158801762"/>
      <w:r>
        <w:t>Configuring VM Insights</w:t>
      </w:r>
      <w:bookmarkEnd w:id="16"/>
    </w:p>
    <w:p w14:paraId="6EE1A432" w14:textId="77777777" w:rsidR="00252586" w:rsidRPr="008F098F" w:rsidRDefault="00252586" w:rsidP="00252586">
      <w:pPr>
        <w:pStyle w:val="BodyText"/>
        <w:rPr>
          <w:b/>
          <w:bCs/>
        </w:rPr>
      </w:pPr>
      <w:r w:rsidRPr="00834E31">
        <w:rPr>
          <w:b/>
          <w:bCs/>
        </w:rPr>
        <w:t>Design Reference:</w:t>
      </w:r>
      <w:r w:rsidRPr="00834E31">
        <w:t xml:space="preserve"> Microsoft Security Benchmark </w:t>
      </w:r>
      <w:hyperlink w:anchor="_Azure_Monitor_and" w:history="1">
        <w:r w:rsidRPr="00834E31">
          <w:rPr>
            <w:rStyle w:val="Hyperlink"/>
          </w:rPr>
          <w:t>LT-4</w:t>
        </w:r>
      </w:hyperlink>
    </w:p>
    <w:p w14:paraId="61650314" w14:textId="77777777" w:rsidR="00252586" w:rsidRDefault="00252586" w:rsidP="00252586">
      <w:pPr>
        <w:pStyle w:val="BodyText"/>
      </w:pPr>
    </w:p>
    <w:p w14:paraId="7B340C46" w14:textId="77777777" w:rsidR="00252586" w:rsidRDefault="00252586" w:rsidP="00252586">
      <w:pPr>
        <w:pStyle w:val="BodyText"/>
      </w:pPr>
      <w:r w:rsidRPr="008F098F">
        <w:rPr>
          <w:b/>
          <w:bCs/>
        </w:rPr>
        <w:t>Design Decision:</w:t>
      </w:r>
      <w:r>
        <w:t xml:space="preserve"> The specialised features for VM Insights will be enabled for all Virtual Machines.  </w:t>
      </w:r>
    </w:p>
    <w:p w14:paraId="16C7DCDB" w14:textId="77777777" w:rsidR="00252586" w:rsidRDefault="00252586" w:rsidP="00252586">
      <w:pPr>
        <w:pStyle w:val="BodyText"/>
      </w:pPr>
    </w:p>
    <w:p w14:paraId="0C70881E" w14:textId="77777777" w:rsidR="00252586" w:rsidRPr="008C54A4" w:rsidRDefault="00252586" w:rsidP="00252586">
      <w:pPr>
        <w:pStyle w:val="BodyText"/>
      </w:pPr>
      <w:r w:rsidRPr="008F098F">
        <w:rPr>
          <w:b/>
          <w:bCs/>
        </w:rPr>
        <w:t>Design Justification:</w:t>
      </w:r>
      <w:r>
        <w:t xml:space="preserve"> This has been defined in the Virtual Machine and Managed Disks core service design, but VM Insights will be enabled on all Virtual Machines that support it for more effective diagnosis and troubleshooting capabilities for Virtual Machines which are some of the most critical infrastructure components of the environment.  </w:t>
      </w:r>
    </w:p>
    <w:p w14:paraId="5422901C" w14:textId="77777777" w:rsidR="00252586" w:rsidRDefault="00252586" w:rsidP="00252586">
      <w:pPr>
        <w:pStyle w:val="BodyText"/>
        <w:tabs>
          <w:tab w:val="clear" w:pos="4536"/>
          <w:tab w:val="clear" w:pos="6804"/>
          <w:tab w:val="clear" w:pos="9638"/>
          <w:tab w:val="left" w:pos="3065"/>
        </w:tabs>
        <w:jc w:val="both"/>
      </w:pPr>
    </w:p>
    <w:p w14:paraId="4CFF5844" w14:textId="77777777" w:rsidR="00252586" w:rsidRPr="00B8614E" w:rsidRDefault="00252586" w:rsidP="00252586">
      <w:pPr>
        <w:pStyle w:val="Heading3"/>
        <w:numPr>
          <w:ilvl w:val="2"/>
          <w:numId w:val="7"/>
        </w:numPr>
        <w:jc w:val="both"/>
      </w:pPr>
      <w:bookmarkStart w:id="17" w:name="_Toc158801763"/>
      <w:r w:rsidRPr="00B8614E">
        <w:t>Configuring Container Insights</w:t>
      </w:r>
      <w:bookmarkEnd w:id="17"/>
    </w:p>
    <w:p w14:paraId="7AE9F73A" w14:textId="77777777" w:rsidR="00252586" w:rsidRPr="00B8614E" w:rsidRDefault="00252586" w:rsidP="00252586">
      <w:pPr>
        <w:pStyle w:val="BodyText"/>
      </w:pPr>
      <w:r w:rsidRPr="00B8614E">
        <w:rPr>
          <w:b/>
          <w:bCs/>
        </w:rPr>
        <w:t>Design Reference:</w:t>
      </w:r>
      <w:r w:rsidRPr="00B8614E">
        <w:t xml:space="preserve"> Microsoft Security Benchmark </w:t>
      </w:r>
      <w:hyperlink w:anchor="_Azure_Monitor_and" w:history="1">
        <w:r w:rsidRPr="00B8614E">
          <w:rPr>
            <w:rStyle w:val="Hyperlink"/>
          </w:rPr>
          <w:t>LT-4</w:t>
        </w:r>
      </w:hyperlink>
    </w:p>
    <w:p w14:paraId="7CBE53B1" w14:textId="77777777" w:rsidR="00252586" w:rsidRPr="00B8614E" w:rsidRDefault="00252586" w:rsidP="00252586">
      <w:pPr>
        <w:pStyle w:val="BodyText"/>
      </w:pPr>
    </w:p>
    <w:p w14:paraId="2C9DB599" w14:textId="77777777" w:rsidR="00252586" w:rsidRPr="00B8614E" w:rsidRDefault="00252586" w:rsidP="00252586">
      <w:pPr>
        <w:pStyle w:val="BodyText"/>
      </w:pPr>
      <w:r w:rsidRPr="00B8614E">
        <w:rPr>
          <w:b/>
          <w:bCs/>
        </w:rPr>
        <w:t>Design Decision:</w:t>
      </w:r>
      <w:r w:rsidRPr="00B8614E">
        <w:t xml:space="preserve"> Container Insights should be enabled when there is a use case.</w:t>
      </w:r>
    </w:p>
    <w:p w14:paraId="394C71A5" w14:textId="77777777" w:rsidR="00252586" w:rsidRPr="00B8614E" w:rsidRDefault="00252586" w:rsidP="00252586">
      <w:pPr>
        <w:pStyle w:val="BodyText"/>
      </w:pPr>
    </w:p>
    <w:p w14:paraId="44B09039" w14:textId="77777777" w:rsidR="00252586" w:rsidRDefault="00252586" w:rsidP="00252586">
      <w:pPr>
        <w:pStyle w:val="BodyText"/>
        <w:jc w:val="both"/>
      </w:pPr>
      <w:r w:rsidRPr="00B8614E">
        <w:rPr>
          <w:b/>
          <w:bCs/>
        </w:rPr>
        <w:t>Design Justification:</w:t>
      </w:r>
      <w:r w:rsidRPr="00B8614E">
        <w:t xml:space="preserve"> Container Insights assist with more effective diagnosis and troubleshooting for issues associated to container-based deployments.  Currently there are no use-cases for this service, but it should be considered if modernising to container-based deployments. </w:t>
      </w:r>
    </w:p>
    <w:p w14:paraId="4499A6E9" w14:textId="77777777" w:rsidR="00252586" w:rsidRDefault="00252586" w:rsidP="00252586">
      <w:pPr>
        <w:pStyle w:val="BodyText"/>
        <w:jc w:val="both"/>
      </w:pPr>
    </w:p>
    <w:p w14:paraId="55A50811" w14:textId="77777777" w:rsidR="00252586" w:rsidRPr="00B8614E" w:rsidRDefault="00252586" w:rsidP="00252586">
      <w:pPr>
        <w:pStyle w:val="BodyText"/>
        <w:jc w:val="both"/>
      </w:pPr>
    </w:p>
    <w:p w14:paraId="373362B2" w14:textId="77777777" w:rsidR="00252586" w:rsidRPr="00B8614E" w:rsidRDefault="00252586" w:rsidP="00252586">
      <w:pPr>
        <w:pStyle w:val="Heading3"/>
        <w:numPr>
          <w:ilvl w:val="2"/>
          <w:numId w:val="7"/>
        </w:numPr>
        <w:jc w:val="both"/>
      </w:pPr>
      <w:bookmarkStart w:id="18" w:name="_Toc158801764"/>
      <w:r w:rsidRPr="00B8614E">
        <w:t>Application Insights</w:t>
      </w:r>
      <w:bookmarkEnd w:id="18"/>
    </w:p>
    <w:p w14:paraId="495E1D6E" w14:textId="77777777" w:rsidR="00252586" w:rsidRDefault="00252586" w:rsidP="00252586">
      <w:pPr>
        <w:pStyle w:val="BodyText"/>
      </w:pPr>
      <w:r w:rsidRPr="00B8614E">
        <w:rPr>
          <w:b/>
          <w:bCs/>
        </w:rPr>
        <w:t>Design Reference:</w:t>
      </w:r>
      <w:r>
        <w:t xml:space="preserve"> Microsoft Security Benchmark </w:t>
      </w:r>
      <w:hyperlink w:anchor="_Azure_Monitor_and" w:history="1">
        <w:r w:rsidRPr="00B8614E">
          <w:rPr>
            <w:rStyle w:val="Hyperlink"/>
          </w:rPr>
          <w:t>LT-4</w:t>
        </w:r>
      </w:hyperlink>
    </w:p>
    <w:p w14:paraId="3A9BEBD7" w14:textId="77777777" w:rsidR="00252586" w:rsidRDefault="00252586" w:rsidP="00252586">
      <w:pPr>
        <w:pStyle w:val="BodyText"/>
      </w:pPr>
    </w:p>
    <w:p w14:paraId="0AB359A5" w14:textId="77777777" w:rsidR="00252586" w:rsidRDefault="00252586" w:rsidP="00252586">
      <w:pPr>
        <w:pStyle w:val="BodyText"/>
        <w:jc w:val="both"/>
      </w:pPr>
      <w:r w:rsidRPr="00B8614E">
        <w:rPr>
          <w:b/>
          <w:bCs/>
        </w:rPr>
        <w:t>Design Decision:</w:t>
      </w:r>
      <w:r>
        <w:t xml:space="preserve"> Application Insights will be leveraged. </w:t>
      </w:r>
    </w:p>
    <w:p w14:paraId="1D82CDCF" w14:textId="77777777" w:rsidR="00252586" w:rsidRDefault="00252586" w:rsidP="00252586">
      <w:pPr>
        <w:pStyle w:val="BodyText"/>
        <w:jc w:val="both"/>
      </w:pPr>
    </w:p>
    <w:p w14:paraId="3E1E40E3" w14:textId="77777777" w:rsidR="00252586" w:rsidRDefault="00252586" w:rsidP="00252586">
      <w:pPr>
        <w:pStyle w:val="BodyText"/>
        <w:jc w:val="both"/>
      </w:pPr>
      <w:r w:rsidRPr="00B8614E">
        <w:rPr>
          <w:b/>
          <w:bCs/>
        </w:rPr>
        <w:t xml:space="preserve">Design Justification: </w:t>
      </w:r>
      <w:r>
        <w:t xml:space="preserve">It is assumed that this will be enabled for Platinum, Gold, and Silver applications. It may be enabled for Non-Production or Bronze services if required but is not a mandatory deployment. Specific metrics and application-side configurations should be covered during the Application Landing Zone designs. </w:t>
      </w:r>
    </w:p>
    <w:p w14:paraId="29AC1145" w14:textId="77777777" w:rsidR="00252586" w:rsidRDefault="00252586" w:rsidP="00252586">
      <w:pPr>
        <w:pStyle w:val="BodyText"/>
        <w:tabs>
          <w:tab w:val="clear" w:pos="4536"/>
          <w:tab w:val="clear" w:pos="6804"/>
          <w:tab w:val="clear" w:pos="9638"/>
          <w:tab w:val="left" w:pos="3065"/>
        </w:tabs>
        <w:jc w:val="both"/>
      </w:pPr>
      <w:r>
        <w:t xml:space="preserve"> </w:t>
      </w:r>
    </w:p>
    <w:p w14:paraId="491F3E83" w14:textId="77777777" w:rsidR="00252586" w:rsidRDefault="00252586" w:rsidP="00252586">
      <w:pPr>
        <w:pStyle w:val="Heading3"/>
        <w:numPr>
          <w:ilvl w:val="2"/>
          <w:numId w:val="7"/>
        </w:numPr>
        <w:jc w:val="both"/>
      </w:pPr>
      <w:bookmarkStart w:id="19" w:name="_Toc158801765"/>
      <w:r>
        <w:t>Configuring Network Insights</w:t>
      </w:r>
      <w:bookmarkEnd w:id="19"/>
    </w:p>
    <w:p w14:paraId="4EADF524" w14:textId="77777777" w:rsidR="00252586" w:rsidRPr="00460339" w:rsidRDefault="00252586" w:rsidP="00252586">
      <w:pPr>
        <w:pStyle w:val="BodyText"/>
        <w:tabs>
          <w:tab w:val="clear" w:pos="4536"/>
          <w:tab w:val="clear" w:pos="6804"/>
          <w:tab w:val="clear" w:pos="9638"/>
          <w:tab w:val="left" w:pos="3065"/>
        </w:tabs>
        <w:jc w:val="both"/>
      </w:pPr>
      <w:r>
        <w:rPr>
          <w:b/>
          <w:bCs/>
        </w:rPr>
        <w:t xml:space="preserve">Design Reference: </w:t>
      </w:r>
      <w:r w:rsidRPr="00460339">
        <w:t xml:space="preserve">Microsoft Security Benchmark </w:t>
      </w:r>
      <w:hyperlink w:anchor="_Overview" w:history="1">
        <w:r w:rsidRPr="00460339">
          <w:rPr>
            <w:rStyle w:val="Hyperlink"/>
          </w:rPr>
          <w:t>LT-4</w:t>
        </w:r>
      </w:hyperlink>
    </w:p>
    <w:p w14:paraId="02A23FD9" w14:textId="77777777" w:rsidR="00252586" w:rsidRDefault="00252586" w:rsidP="00252586">
      <w:pPr>
        <w:pStyle w:val="BodyText"/>
        <w:tabs>
          <w:tab w:val="clear" w:pos="4536"/>
          <w:tab w:val="clear" w:pos="6804"/>
          <w:tab w:val="clear" w:pos="9638"/>
          <w:tab w:val="left" w:pos="3065"/>
        </w:tabs>
        <w:jc w:val="both"/>
        <w:rPr>
          <w:b/>
          <w:bCs/>
        </w:rPr>
      </w:pPr>
    </w:p>
    <w:p w14:paraId="25780C2D" w14:textId="77777777" w:rsidR="00252586" w:rsidRPr="00411CAC" w:rsidRDefault="00252586" w:rsidP="00252586">
      <w:pPr>
        <w:pStyle w:val="BodyText"/>
        <w:tabs>
          <w:tab w:val="clear" w:pos="4536"/>
          <w:tab w:val="clear" w:pos="6804"/>
          <w:tab w:val="clear" w:pos="9638"/>
          <w:tab w:val="left" w:pos="3065"/>
        </w:tabs>
        <w:jc w:val="both"/>
      </w:pPr>
      <w:r>
        <w:rPr>
          <w:b/>
          <w:bCs/>
        </w:rPr>
        <w:t xml:space="preserve">Design Decision: </w:t>
      </w:r>
      <w:r>
        <w:t xml:space="preserve">Network Insights will be enabled across the platform. </w:t>
      </w:r>
    </w:p>
    <w:p w14:paraId="0977D180" w14:textId="77777777" w:rsidR="00252586" w:rsidRDefault="00252586" w:rsidP="00252586">
      <w:pPr>
        <w:pStyle w:val="BodyText"/>
        <w:tabs>
          <w:tab w:val="clear" w:pos="4536"/>
          <w:tab w:val="clear" w:pos="6804"/>
          <w:tab w:val="clear" w:pos="9638"/>
          <w:tab w:val="left" w:pos="3065"/>
        </w:tabs>
        <w:jc w:val="both"/>
        <w:rPr>
          <w:b/>
          <w:bCs/>
        </w:rPr>
      </w:pPr>
    </w:p>
    <w:p w14:paraId="54ACD9FD" w14:textId="77777777" w:rsidR="00252586" w:rsidRDefault="00252586" w:rsidP="00252586">
      <w:pPr>
        <w:pStyle w:val="BodyText"/>
        <w:tabs>
          <w:tab w:val="clear" w:pos="4536"/>
          <w:tab w:val="clear" w:pos="6804"/>
          <w:tab w:val="clear" w:pos="9638"/>
          <w:tab w:val="left" w:pos="3065"/>
        </w:tabs>
        <w:jc w:val="both"/>
      </w:pPr>
      <w:r>
        <w:rPr>
          <w:b/>
          <w:bCs/>
        </w:rPr>
        <w:t xml:space="preserve">Design Justification: </w:t>
      </w:r>
      <w:r>
        <w:t>It is a requirement to capture networking information, particularly traffic flow. Note that this has already been defined for NSG Flow Logs in the NSG Core Service design. This design decision is for completeness, and to confirm that every subscription should have a specific NetworkWatcher resource in each Azure region.</w:t>
      </w:r>
    </w:p>
    <w:p w14:paraId="0633AB7C" w14:textId="77777777" w:rsidR="00252586" w:rsidRDefault="00252586" w:rsidP="00252586">
      <w:pPr>
        <w:pStyle w:val="BodyText"/>
        <w:tabs>
          <w:tab w:val="clear" w:pos="4536"/>
          <w:tab w:val="clear" w:pos="6804"/>
          <w:tab w:val="clear" w:pos="9638"/>
          <w:tab w:val="left" w:pos="3065"/>
        </w:tabs>
        <w:jc w:val="both"/>
      </w:pPr>
    </w:p>
    <w:p w14:paraId="07466F18" w14:textId="77777777" w:rsidR="00252586" w:rsidRDefault="00252586" w:rsidP="00252586">
      <w:pPr>
        <w:pStyle w:val="BodyText"/>
        <w:tabs>
          <w:tab w:val="clear" w:pos="4536"/>
          <w:tab w:val="clear" w:pos="6804"/>
          <w:tab w:val="clear" w:pos="9638"/>
          <w:tab w:val="left" w:pos="3065"/>
        </w:tabs>
        <w:jc w:val="both"/>
      </w:pPr>
      <w:r w:rsidRPr="00932B92">
        <w:rPr>
          <w:b/>
          <w:bCs/>
        </w:rPr>
        <w:t>Design Details:</w:t>
      </w:r>
      <w:r>
        <w:rPr>
          <w:b/>
          <w:bCs/>
        </w:rPr>
        <w:t xml:space="preserve"> </w:t>
      </w:r>
      <w:r>
        <w:t xml:space="preserve">Each subscription will have an Azure Network Watcher in each region (two per subscription). There will be one resource group in each subscription that will host the Network Watchers called NetworkWatcher as this is the default resource group deployed when configuring Network Insights. </w:t>
      </w:r>
    </w:p>
    <w:p w14:paraId="3420A44A" w14:textId="77777777" w:rsidR="00252586" w:rsidRDefault="00252586" w:rsidP="00252586">
      <w:pPr>
        <w:pStyle w:val="BodyText"/>
        <w:tabs>
          <w:tab w:val="clear" w:pos="4536"/>
          <w:tab w:val="clear" w:pos="6804"/>
          <w:tab w:val="clear" w:pos="9638"/>
          <w:tab w:val="left" w:pos="3065"/>
        </w:tabs>
        <w:jc w:val="both"/>
      </w:pPr>
    </w:p>
    <w:p w14:paraId="634B8A0A" w14:textId="77777777" w:rsidR="00252586" w:rsidRDefault="00252586" w:rsidP="00252586">
      <w:pPr>
        <w:pStyle w:val="BodyText"/>
        <w:tabs>
          <w:tab w:val="clear" w:pos="4536"/>
          <w:tab w:val="clear" w:pos="6804"/>
          <w:tab w:val="clear" w:pos="9638"/>
          <w:tab w:val="left" w:pos="3065"/>
        </w:tabs>
        <w:jc w:val="both"/>
        <w:rPr>
          <w:b/>
          <w:bCs/>
        </w:rPr>
      </w:pPr>
      <w:r>
        <w:t xml:space="preserve">Each Network Watcher will have the same naming convention: NetworkWatcher_azureregion. </w:t>
      </w:r>
      <w:r w:rsidRPr="00932B92">
        <w:rPr>
          <w:b/>
          <w:bCs/>
        </w:rPr>
        <w:t xml:space="preserve">  </w:t>
      </w:r>
    </w:p>
    <w:p w14:paraId="2B035712" w14:textId="77777777" w:rsidR="0044310D" w:rsidRDefault="0044310D" w:rsidP="00BE7CBD">
      <w:pPr>
        <w:pStyle w:val="BodyText"/>
        <w:jc w:val="both"/>
      </w:pPr>
    </w:p>
    <w:p w14:paraId="1B121803" w14:textId="77777777" w:rsidR="008451F7" w:rsidRDefault="008451F7" w:rsidP="00BE7CBD">
      <w:pPr>
        <w:pStyle w:val="BodyText"/>
        <w:jc w:val="both"/>
      </w:pPr>
    </w:p>
    <w:p w14:paraId="3FA99CEB" w14:textId="0B774839" w:rsidR="008451F7" w:rsidRDefault="008451F7" w:rsidP="008451F7">
      <w:pPr>
        <w:pStyle w:val="Heading1"/>
        <w:numPr>
          <w:ilvl w:val="0"/>
          <w:numId w:val="0"/>
        </w:numPr>
        <w:ind w:left="510" w:hanging="510"/>
        <w:jc w:val="both"/>
        <w:rPr>
          <w:rFonts w:cs="Arial"/>
        </w:rPr>
      </w:pPr>
      <w:bookmarkStart w:id="20" w:name="_Toc151034078"/>
      <w:r>
        <w:rPr>
          <w:rFonts w:cs="Arial"/>
        </w:rPr>
        <w:t>Configuration Templates</w:t>
      </w:r>
      <w:bookmarkEnd w:id="20"/>
      <w:r>
        <w:rPr>
          <w:rFonts w:cs="Arial"/>
        </w:rPr>
        <w:t xml:space="preserve"> for Azure Alerts:-</w:t>
      </w:r>
    </w:p>
    <w:p w14:paraId="638C76B3" w14:textId="77777777" w:rsidR="008451F7" w:rsidRDefault="008451F7" w:rsidP="008451F7">
      <w:pPr>
        <w:pStyle w:val="BodyText"/>
      </w:pPr>
    </w:p>
    <w:p w14:paraId="370B5D4F" w14:textId="77777777" w:rsidR="00C709D1" w:rsidRDefault="00C709D1" w:rsidP="00C709D1">
      <w:pPr>
        <w:pStyle w:val="Heading2"/>
      </w:pPr>
      <w:r>
        <w:t xml:space="preserve">Service Health Alert Settings </w:t>
      </w:r>
    </w:p>
    <w:p w14:paraId="4A07744B"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9801" w:type="dxa"/>
        <w:tblLook w:val="04A0" w:firstRow="1" w:lastRow="0" w:firstColumn="1" w:lastColumn="0" w:noHBand="0" w:noVBand="1"/>
      </w:tblPr>
      <w:tblGrid>
        <w:gridCol w:w="2034"/>
        <w:gridCol w:w="2581"/>
        <w:gridCol w:w="1339"/>
        <w:gridCol w:w="866"/>
        <w:gridCol w:w="1106"/>
        <w:gridCol w:w="1875"/>
      </w:tblGrid>
      <w:tr w:rsidR="00C709D1" w:rsidRPr="00F16241" w14:paraId="13C5731D" w14:textId="77777777" w:rsidTr="00257A7B">
        <w:trPr>
          <w:cnfStyle w:val="100000000000" w:firstRow="1" w:lastRow="0" w:firstColumn="0" w:lastColumn="0" w:oddVBand="0" w:evenVBand="0" w:oddHBand="0" w:evenHBand="0" w:firstRowFirstColumn="0" w:firstRowLastColumn="0" w:lastRowFirstColumn="0" w:lastRowLastColumn="0"/>
        </w:trPr>
        <w:tc>
          <w:tcPr>
            <w:tcW w:w="2034" w:type="dxa"/>
          </w:tcPr>
          <w:p w14:paraId="1B053DDC"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Alert</w:t>
            </w:r>
          </w:p>
        </w:tc>
        <w:tc>
          <w:tcPr>
            <w:tcW w:w="2581" w:type="dxa"/>
          </w:tcPr>
          <w:p w14:paraId="3322E7E1"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Services</w:t>
            </w:r>
          </w:p>
        </w:tc>
        <w:tc>
          <w:tcPr>
            <w:tcW w:w="1339" w:type="dxa"/>
          </w:tcPr>
          <w:p w14:paraId="5D267D1A" w14:textId="77777777" w:rsidR="00C709D1" w:rsidRPr="00F16241" w:rsidRDefault="00C709D1" w:rsidP="00257A7B">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Regions</w:t>
            </w:r>
          </w:p>
        </w:tc>
        <w:tc>
          <w:tcPr>
            <w:tcW w:w="866" w:type="dxa"/>
          </w:tcPr>
          <w:p w14:paraId="289A2A89" w14:textId="77777777" w:rsidR="00C709D1" w:rsidRPr="00F16241" w:rsidRDefault="00C709D1" w:rsidP="00257A7B">
            <w:pPr>
              <w:pStyle w:val="BodyText"/>
              <w:tabs>
                <w:tab w:val="clear" w:pos="4536"/>
                <w:tab w:val="clear" w:pos="6804"/>
                <w:tab w:val="clear" w:pos="9638"/>
                <w:tab w:val="left" w:pos="3065"/>
              </w:tabs>
              <w:ind w:left="0"/>
              <w:rPr>
                <w:color w:val="FFFFFF" w:themeColor="background1"/>
                <w:sz w:val="20"/>
                <w:szCs w:val="20"/>
              </w:rPr>
            </w:pPr>
            <w:r w:rsidRPr="00F16241">
              <w:rPr>
                <w:color w:val="FFFFFF" w:themeColor="background1"/>
                <w:sz w:val="20"/>
                <w:szCs w:val="20"/>
              </w:rPr>
              <w:t>Event Types</w:t>
            </w:r>
          </w:p>
        </w:tc>
        <w:tc>
          <w:tcPr>
            <w:tcW w:w="1106" w:type="dxa"/>
          </w:tcPr>
          <w:p w14:paraId="3D5E8650"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Action Group(s)</w:t>
            </w:r>
          </w:p>
        </w:tc>
        <w:tc>
          <w:tcPr>
            <w:tcW w:w="1875" w:type="dxa"/>
          </w:tcPr>
          <w:p w14:paraId="6E537BE8" w14:textId="77777777" w:rsidR="00C709D1" w:rsidRPr="00F16241" w:rsidRDefault="00C709D1" w:rsidP="00257A7B">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Description</w:t>
            </w:r>
          </w:p>
        </w:tc>
      </w:tr>
      <w:tr w:rsidR="00C709D1" w:rsidRPr="00F16241" w14:paraId="3D13E244" w14:textId="77777777" w:rsidTr="00257A7B">
        <w:tc>
          <w:tcPr>
            <w:tcW w:w="2034" w:type="dxa"/>
          </w:tcPr>
          <w:p w14:paraId="18DDCE85"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shar-</w:t>
            </w:r>
            <w:r w:rsidRPr="00F16241">
              <w:rPr>
                <w:sz w:val="20"/>
                <w:szCs w:val="20"/>
                <w:highlight w:val="yellow"/>
              </w:rPr>
              <w:t>[subscriptionname]</w:t>
            </w:r>
            <w:r w:rsidRPr="00F16241">
              <w:rPr>
                <w:sz w:val="20"/>
                <w:szCs w:val="20"/>
              </w:rPr>
              <w:t>-allresources</w:t>
            </w:r>
          </w:p>
        </w:tc>
        <w:tc>
          <w:tcPr>
            <w:tcW w:w="2581" w:type="dxa"/>
          </w:tcPr>
          <w:p w14:paraId="1048738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All services</w:t>
            </w:r>
          </w:p>
        </w:tc>
        <w:tc>
          <w:tcPr>
            <w:tcW w:w="1339" w:type="dxa"/>
          </w:tcPr>
          <w:p w14:paraId="46849FC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68F2E67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Global</w:t>
            </w:r>
          </w:p>
        </w:tc>
        <w:tc>
          <w:tcPr>
            <w:tcW w:w="866" w:type="dxa"/>
          </w:tcPr>
          <w:p w14:paraId="49814F02" w14:textId="77777777" w:rsidR="00C709D1" w:rsidRPr="00F16241" w:rsidRDefault="00C709D1" w:rsidP="00257A7B">
            <w:pPr>
              <w:pStyle w:val="BodyText"/>
              <w:tabs>
                <w:tab w:val="clear" w:pos="4536"/>
                <w:tab w:val="clear" w:pos="6804"/>
                <w:tab w:val="clear" w:pos="9638"/>
                <w:tab w:val="left" w:pos="3065"/>
              </w:tabs>
              <w:ind w:left="0"/>
              <w:rPr>
                <w:sz w:val="20"/>
                <w:szCs w:val="20"/>
              </w:rPr>
            </w:pPr>
            <w:r w:rsidRPr="00F16241">
              <w:rPr>
                <w:sz w:val="20"/>
                <w:szCs w:val="20"/>
              </w:rPr>
              <w:t>All</w:t>
            </w:r>
          </w:p>
        </w:tc>
        <w:tc>
          <w:tcPr>
            <w:tcW w:w="1106" w:type="dxa"/>
          </w:tcPr>
          <w:p w14:paraId="00C0D466" w14:textId="77777777" w:rsidR="00C709D1" w:rsidRPr="00F16241" w:rsidRDefault="00C709D1" w:rsidP="00257A7B">
            <w:pPr>
              <w:pStyle w:val="BodyText"/>
              <w:tabs>
                <w:tab w:val="clear" w:pos="4536"/>
                <w:tab w:val="clear" w:pos="6804"/>
                <w:tab w:val="clear" w:pos="9638"/>
                <w:tab w:val="left" w:pos="3065"/>
              </w:tabs>
              <w:rPr>
                <w:b/>
                <w:bCs/>
                <w:sz w:val="20"/>
                <w:szCs w:val="20"/>
              </w:rPr>
            </w:pPr>
            <w:r w:rsidRPr="00F16241">
              <w:rPr>
                <w:sz w:val="20"/>
                <w:szCs w:val="20"/>
              </w:rPr>
              <w:t>ag-infra-01</w:t>
            </w:r>
          </w:p>
        </w:tc>
        <w:tc>
          <w:tcPr>
            <w:tcW w:w="1875" w:type="dxa"/>
          </w:tcPr>
          <w:p w14:paraId="00A10A4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Notifies Infrastructure Operations team of any service health issues on any resource type</w:t>
            </w:r>
          </w:p>
        </w:tc>
      </w:tr>
      <w:tr w:rsidR="00C709D1" w:rsidRPr="00F16241" w14:paraId="6BE5C402" w14:textId="77777777" w:rsidTr="00257A7B">
        <w:tc>
          <w:tcPr>
            <w:tcW w:w="2034" w:type="dxa"/>
          </w:tcPr>
          <w:p w14:paraId="3EDC30F1"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shar-</w:t>
            </w:r>
            <w:r w:rsidRPr="00F16241">
              <w:rPr>
                <w:sz w:val="20"/>
                <w:szCs w:val="20"/>
                <w:highlight w:val="yellow"/>
              </w:rPr>
              <w:t>[subscriptionname]</w:t>
            </w:r>
            <w:r w:rsidRPr="00F16241">
              <w:rPr>
                <w:sz w:val="20"/>
                <w:szCs w:val="20"/>
              </w:rPr>
              <w:t>-networkresources</w:t>
            </w:r>
          </w:p>
        </w:tc>
        <w:tc>
          <w:tcPr>
            <w:tcW w:w="2581" w:type="dxa"/>
          </w:tcPr>
          <w:p w14:paraId="204E5DC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Application Gateway </w:t>
            </w:r>
          </w:p>
          <w:p w14:paraId="7971498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ASGs</w:t>
            </w:r>
          </w:p>
          <w:p w14:paraId="0A1F9C6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Firewall</w:t>
            </w:r>
          </w:p>
          <w:p w14:paraId="79BF46A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Bastion Hosts</w:t>
            </w:r>
          </w:p>
          <w:p w14:paraId="3A0723F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Connections</w:t>
            </w:r>
          </w:p>
          <w:p w14:paraId="3EFC127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DDoS</w:t>
            </w:r>
          </w:p>
          <w:p w14:paraId="675C9D7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Express Routes</w:t>
            </w:r>
          </w:p>
          <w:p w14:paraId="6710E5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Firewall Policies</w:t>
            </w:r>
          </w:p>
          <w:p w14:paraId="0E4D871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IP Groups</w:t>
            </w:r>
          </w:p>
          <w:p w14:paraId="4F44B3C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Load Balancer</w:t>
            </w:r>
          </w:p>
          <w:p w14:paraId="19B2CAFE"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Local Network Gateway</w:t>
            </w:r>
          </w:p>
          <w:p w14:paraId="7B222DF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NAT Gateways</w:t>
            </w:r>
          </w:p>
          <w:p w14:paraId="694B3A3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NICs</w:t>
            </w:r>
          </w:p>
          <w:p w14:paraId="0604709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Manager</w:t>
            </w:r>
          </w:p>
          <w:p w14:paraId="73606EA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NSGs</w:t>
            </w:r>
          </w:p>
          <w:p w14:paraId="5581EB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NVAs</w:t>
            </w:r>
          </w:p>
          <w:p w14:paraId="7422A78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Network Watcher</w:t>
            </w:r>
          </w:p>
          <w:p w14:paraId="708228D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Public IPs</w:t>
            </w:r>
          </w:p>
          <w:p w14:paraId="4C663D9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Private Endpoints</w:t>
            </w:r>
          </w:p>
          <w:p w14:paraId="0955903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VPN Gateways</w:t>
            </w:r>
          </w:p>
          <w:p w14:paraId="328A56F6"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Filter</w:t>
            </w:r>
          </w:p>
          <w:p w14:paraId="0036F21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Route Table</w:t>
            </w:r>
          </w:p>
          <w:p w14:paraId="56F1095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Hubs</w:t>
            </w:r>
          </w:p>
          <w:p w14:paraId="7800D51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 Gateway</w:t>
            </w:r>
          </w:p>
          <w:p w14:paraId="52FB5381"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Virtual Network</w:t>
            </w:r>
          </w:p>
          <w:p w14:paraId="0EBF63CB"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VWAN</w:t>
            </w:r>
          </w:p>
        </w:tc>
        <w:tc>
          <w:tcPr>
            <w:tcW w:w="1339" w:type="dxa"/>
          </w:tcPr>
          <w:p w14:paraId="5F6413B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 xml:space="preserve">Australia East, Australia Southeast, </w:t>
            </w:r>
          </w:p>
          <w:p w14:paraId="1D567EA6"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Global</w:t>
            </w:r>
          </w:p>
        </w:tc>
        <w:tc>
          <w:tcPr>
            <w:tcW w:w="866" w:type="dxa"/>
          </w:tcPr>
          <w:p w14:paraId="1A456E3D" w14:textId="77777777" w:rsidR="00C709D1" w:rsidRPr="00F16241" w:rsidRDefault="00C709D1" w:rsidP="00257A7B">
            <w:pPr>
              <w:pStyle w:val="BodyText"/>
              <w:tabs>
                <w:tab w:val="clear" w:pos="4536"/>
                <w:tab w:val="clear" w:pos="6804"/>
                <w:tab w:val="clear" w:pos="9638"/>
                <w:tab w:val="left" w:pos="3065"/>
              </w:tabs>
              <w:jc w:val="both"/>
              <w:rPr>
                <w:b/>
                <w:bCs/>
                <w:sz w:val="20"/>
                <w:szCs w:val="20"/>
              </w:rPr>
            </w:pPr>
            <w:r w:rsidRPr="00F16241">
              <w:rPr>
                <w:sz w:val="20"/>
                <w:szCs w:val="20"/>
              </w:rPr>
              <w:t>All</w:t>
            </w:r>
          </w:p>
        </w:tc>
        <w:tc>
          <w:tcPr>
            <w:tcW w:w="1106" w:type="dxa"/>
          </w:tcPr>
          <w:p w14:paraId="74A2DC05"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ag-network-01</w:t>
            </w:r>
          </w:p>
        </w:tc>
        <w:tc>
          <w:tcPr>
            <w:tcW w:w="1875" w:type="dxa"/>
          </w:tcPr>
          <w:p w14:paraId="26DF9F0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Notifies the Network Operations team of any service health issues on Microsoft.Network resource types</w:t>
            </w:r>
          </w:p>
        </w:tc>
      </w:tr>
      <w:tr w:rsidR="00C709D1" w:rsidRPr="00F16241" w14:paraId="4D5C9D87" w14:textId="77777777" w:rsidTr="00257A7B">
        <w:tc>
          <w:tcPr>
            <w:tcW w:w="2034" w:type="dxa"/>
          </w:tcPr>
          <w:p w14:paraId="689D7E7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[subscriptionname]</w:t>
            </w:r>
            <w:r w:rsidRPr="00F16241">
              <w:rPr>
                <w:sz w:val="20"/>
                <w:szCs w:val="20"/>
              </w:rPr>
              <w:t>-securityresources</w:t>
            </w:r>
          </w:p>
        </w:tc>
        <w:tc>
          <w:tcPr>
            <w:tcW w:w="2581" w:type="dxa"/>
          </w:tcPr>
          <w:p w14:paraId="7D09208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Activity Logs &amp; Alerts</w:t>
            </w:r>
          </w:p>
          <w:p w14:paraId="6232971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Advisor</w:t>
            </w:r>
          </w:p>
          <w:p w14:paraId="49DB2D7D"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w:t>
            </w:r>
          </w:p>
          <w:p w14:paraId="786CEFF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Alerts &amp; Metrics</w:t>
            </w:r>
          </w:p>
          <w:p w14:paraId="063EFBF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Policy</w:t>
            </w:r>
          </w:p>
          <w:p w14:paraId="395460A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Defender</w:t>
            </w:r>
          </w:p>
          <w:p w14:paraId="750DF7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Sentinel</w:t>
            </w:r>
          </w:p>
          <w:p w14:paraId="33D8545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Key Vault</w:t>
            </w:r>
          </w:p>
          <w:p w14:paraId="0D27D96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Monitor</w:t>
            </w:r>
          </w:p>
          <w:p w14:paraId="4CCB474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Purview</w:t>
            </w:r>
          </w:p>
        </w:tc>
        <w:tc>
          <w:tcPr>
            <w:tcW w:w="1339" w:type="dxa"/>
          </w:tcPr>
          <w:p w14:paraId="2D7AAEB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Australia East, Australia Southeast, Global</w:t>
            </w:r>
          </w:p>
        </w:tc>
        <w:tc>
          <w:tcPr>
            <w:tcW w:w="866" w:type="dxa"/>
          </w:tcPr>
          <w:p w14:paraId="568C5061"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5FF48D27"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ag-security-01</w:t>
            </w:r>
          </w:p>
        </w:tc>
        <w:tc>
          <w:tcPr>
            <w:tcW w:w="1875" w:type="dxa"/>
          </w:tcPr>
          <w:p w14:paraId="43D7EAEF"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Security Operations team of any service health issues on Security related resource types </w:t>
            </w:r>
          </w:p>
        </w:tc>
      </w:tr>
      <w:tr w:rsidR="00C709D1" w:rsidRPr="00F16241" w14:paraId="3ABE9C9F" w14:textId="77777777" w:rsidTr="00257A7B">
        <w:tc>
          <w:tcPr>
            <w:tcW w:w="2034" w:type="dxa"/>
          </w:tcPr>
          <w:p w14:paraId="7514218D"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shar-</w:t>
            </w:r>
            <w:r w:rsidRPr="00F16241">
              <w:rPr>
                <w:sz w:val="20"/>
                <w:szCs w:val="20"/>
                <w:highlight w:val="yellow"/>
              </w:rPr>
              <w:t>[subscriptionname]</w:t>
            </w:r>
            <w:r w:rsidRPr="00F16241">
              <w:rPr>
                <w:sz w:val="20"/>
                <w:szCs w:val="20"/>
              </w:rPr>
              <w:t>-databaseresources</w:t>
            </w:r>
          </w:p>
        </w:tc>
        <w:tc>
          <w:tcPr>
            <w:tcW w:w="2581" w:type="dxa"/>
          </w:tcPr>
          <w:p w14:paraId="20581270"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w:t>
            </w:r>
          </w:p>
          <w:p w14:paraId="6DC82209"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Cosmos DB for PostgreSQL</w:t>
            </w:r>
          </w:p>
          <w:p w14:paraId="31CE9AD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MariaDB</w:t>
            </w:r>
          </w:p>
          <w:p w14:paraId="5E16455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w:t>
            </w:r>
          </w:p>
          <w:p w14:paraId="176E7598"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MySQL flexible server</w:t>
            </w:r>
          </w:p>
          <w:p w14:paraId="03A206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w:t>
            </w:r>
          </w:p>
          <w:p w14:paraId="79CE5B7C"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Azure Database for PostgreSQL flexible server</w:t>
            </w:r>
          </w:p>
          <w:p w14:paraId="7C98AA8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Database</w:t>
            </w:r>
          </w:p>
          <w:p w14:paraId="07D37223"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Managed Instance</w:t>
            </w:r>
          </w:p>
          <w:p w14:paraId="55CE61E2"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Server on Azure VMs</w:t>
            </w:r>
          </w:p>
          <w:p w14:paraId="698E0B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SQL Server Stretch Database</w:t>
            </w:r>
          </w:p>
          <w:p w14:paraId="09618C0A"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Azure Database Migration Service</w:t>
            </w:r>
          </w:p>
        </w:tc>
        <w:tc>
          <w:tcPr>
            <w:tcW w:w="1339" w:type="dxa"/>
          </w:tcPr>
          <w:p w14:paraId="7E461FF7"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lastRenderedPageBreak/>
              <w:t>Australia East, Australia Southeast, Global</w:t>
            </w:r>
          </w:p>
        </w:tc>
        <w:tc>
          <w:tcPr>
            <w:tcW w:w="866" w:type="dxa"/>
          </w:tcPr>
          <w:p w14:paraId="634539BE"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71C52754" w14:textId="77777777" w:rsidR="00C709D1" w:rsidRPr="00F16241" w:rsidRDefault="00C709D1" w:rsidP="00257A7B">
            <w:pPr>
              <w:pStyle w:val="BodyText"/>
              <w:tabs>
                <w:tab w:val="clear" w:pos="4536"/>
                <w:tab w:val="clear" w:pos="6804"/>
                <w:tab w:val="clear" w:pos="9638"/>
                <w:tab w:val="left" w:pos="3065"/>
              </w:tabs>
              <w:jc w:val="both"/>
              <w:rPr>
                <w:sz w:val="20"/>
                <w:szCs w:val="20"/>
              </w:rPr>
            </w:pPr>
            <w:r w:rsidRPr="00F16241">
              <w:rPr>
                <w:sz w:val="20"/>
                <w:szCs w:val="20"/>
              </w:rPr>
              <w:t>ag-database-01</w:t>
            </w:r>
          </w:p>
        </w:tc>
        <w:tc>
          <w:tcPr>
            <w:tcW w:w="1875" w:type="dxa"/>
          </w:tcPr>
          <w:p w14:paraId="3382C4A4" w14:textId="77777777" w:rsidR="00C709D1" w:rsidRPr="00F16241" w:rsidRDefault="00C709D1" w:rsidP="00257A7B">
            <w:pPr>
              <w:pStyle w:val="BodyText"/>
              <w:tabs>
                <w:tab w:val="clear" w:pos="4536"/>
                <w:tab w:val="clear" w:pos="6804"/>
                <w:tab w:val="clear" w:pos="9638"/>
                <w:tab w:val="left" w:pos="3065"/>
              </w:tabs>
              <w:rPr>
                <w:sz w:val="20"/>
                <w:szCs w:val="20"/>
              </w:rPr>
            </w:pPr>
            <w:r w:rsidRPr="00F16241">
              <w:rPr>
                <w:sz w:val="20"/>
                <w:szCs w:val="20"/>
              </w:rPr>
              <w:t xml:space="preserve">Notifies the Database Operations team of any service health issues on Database resource types </w:t>
            </w:r>
          </w:p>
        </w:tc>
      </w:tr>
    </w:tbl>
    <w:p w14:paraId="3D8B5FD2" w14:textId="77777777" w:rsidR="00C709D1" w:rsidRDefault="00C709D1" w:rsidP="00C709D1">
      <w:pPr>
        <w:pStyle w:val="BodyText"/>
        <w:tabs>
          <w:tab w:val="clear" w:pos="4536"/>
          <w:tab w:val="clear" w:pos="6804"/>
          <w:tab w:val="clear" w:pos="9638"/>
          <w:tab w:val="left" w:pos="3065"/>
        </w:tabs>
        <w:jc w:val="both"/>
        <w:rPr>
          <w:b/>
          <w:bCs/>
        </w:rPr>
      </w:pPr>
    </w:p>
    <w:p w14:paraId="26E7CFE3" w14:textId="77777777" w:rsidR="00C709D1" w:rsidRDefault="00C709D1" w:rsidP="00C709D1">
      <w:pPr>
        <w:pStyle w:val="BodyText"/>
        <w:tabs>
          <w:tab w:val="clear" w:pos="4536"/>
          <w:tab w:val="clear" w:pos="6804"/>
          <w:tab w:val="clear" w:pos="9638"/>
          <w:tab w:val="left" w:pos="3065"/>
        </w:tabs>
        <w:jc w:val="both"/>
        <w:rPr>
          <w:b/>
          <w:bCs/>
        </w:rPr>
      </w:pPr>
    </w:p>
    <w:p w14:paraId="261EEDB7" w14:textId="77777777" w:rsidR="00C709D1" w:rsidRDefault="00C709D1" w:rsidP="00C709D1">
      <w:pPr>
        <w:pStyle w:val="BodyText"/>
        <w:tabs>
          <w:tab w:val="clear" w:pos="4536"/>
          <w:tab w:val="clear" w:pos="6804"/>
          <w:tab w:val="clear" w:pos="9638"/>
          <w:tab w:val="left" w:pos="3065"/>
        </w:tabs>
        <w:jc w:val="both"/>
        <w:rPr>
          <w:b/>
          <w:bCs/>
        </w:rPr>
      </w:pPr>
    </w:p>
    <w:p w14:paraId="0B924C71" w14:textId="77777777" w:rsidR="00C709D1" w:rsidRDefault="00C709D1" w:rsidP="00C709D1">
      <w:pPr>
        <w:pStyle w:val="BodyText"/>
        <w:tabs>
          <w:tab w:val="clear" w:pos="4536"/>
          <w:tab w:val="clear" w:pos="6804"/>
          <w:tab w:val="clear" w:pos="9638"/>
          <w:tab w:val="left" w:pos="3065"/>
        </w:tabs>
        <w:jc w:val="both"/>
        <w:rPr>
          <w:b/>
          <w:bCs/>
        </w:rPr>
      </w:pPr>
    </w:p>
    <w:p w14:paraId="068B3F0E" w14:textId="77777777" w:rsidR="00C709D1" w:rsidRDefault="00C709D1" w:rsidP="00C709D1">
      <w:pPr>
        <w:pStyle w:val="BodyText"/>
        <w:tabs>
          <w:tab w:val="clear" w:pos="4536"/>
          <w:tab w:val="clear" w:pos="6804"/>
          <w:tab w:val="clear" w:pos="9638"/>
          <w:tab w:val="left" w:pos="3065"/>
        </w:tabs>
        <w:jc w:val="both"/>
        <w:rPr>
          <w:b/>
          <w:bCs/>
        </w:rPr>
      </w:pPr>
    </w:p>
    <w:p w14:paraId="26FEB1D0" w14:textId="77777777" w:rsidR="00C709D1" w:rsidRDefault="00C709D1" w:rsidP="00C709D1">
      <w:pPr>
        <w:pStyle w:val="BodyText"/>
        <w:tabs>
          <w:tab w:val="clear" w:pos="4536"/>
          <w:tab w:val="clear" w:pos="6804"/>
          <w:tab w:val="clear" w:pos="9638"/>
          <w:tab w:val="left" w:pos="3065"/>
        </w:tabs>
        <w:jc w:val="both"/>
        <w:rPr>
          <w:b/>
          <w:bCs/>
        </w:rPr>
      </w:pPr>
    </w:p>
    <w:p w14:paraId="13F8351C" w14:textId="77777777" w:rsidR="00C709D1" w:rsidRDefault="00C709D1" w:rsidP="00C709D1">
      <w:pPr>
        <w:pStyle w:val="BodyText"/>
        <w:tabs>
          <w:tab w:val="clear" w:pos="4536"/>
          <w:tab w:val="clear" w:pos="6804"/>
          <w:tab w:val="clear" w:pos="9638"/>
          <w:tab w:val="left" w:pos="3065"/>
        </w:tabs>
        <w:jc w:val="both"/>
        <w:rPr>
          <w:b/>
          <w:bCs/>
        </w:rPr>
      </w:pPr>
    </w:p>
    <w:p w14:paraId="341A1DA8" w14:textId="77777777" w:rsidR="00C709D1" w:rsidRDefault="00C709D1" w:rsidP="00C709D1">
      <w:pPr>
        <w:pStyle w:val="Heading2"/>
      </w:pPr>
      <w:r>
        <w:t xml:space="preserve">Resource Health Alert Settings </w:t>
      </w:r>
    </w:p>
    <w:p w14:paraId="68F08F7E"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3F8CA750"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6FBDD054"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5FEE1482"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4B95B1F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48D847E9"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C4B9BEC"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6BA98440"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61436B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726FEAC1"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4A8DDE0E"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3DFED2F" w14:textId="77777777" w:rsidTr="00257A7B">
        <w:tc>
          <w:tcPr>
            <w:tcW w:w="1860" w:type="dxa"/>
          </w:tcPr>
          <w:p w14:paraId="11FB74F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rhar-</w:t>
            </w:r>
            <w:r w:rsidRPr="00CE0CB9">
              <w:rPr>
                <w:sz w:val="20"/>
                <w:szCs w:val="20"/>
                <w:highlight w:val="yellow"/>
              </w:rPr>
              <w:t>[subscriptionname]</w:t>
            </w:r>
            <w:r w:rsidRPr="00CE0CB9">
              <w:rPr>
                <w:sz w:val="20"/>
                <w:szCs w:val="20"/>
              </w:rPr>
              <w:t>-allresources</w:t>
            </w:r>
          </w:p>
        </w:tc>
        <w:tc>
          <w:tcPr>
            <w:tcW w:w="1026" w:type="dxa"/>
          </w:tcPr>
          <w:p w14:paraId="76C202F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BF8872A" w14:textId="77777777" w:rsidR="00C709D1" w:rsidRPr="00CE0CB9" w:rsidRDefault="00C709D1" w:rsidP="00257A7B">
            <w:pPr>
              <w:pStyle w:val="BodyText"/>
              <w:tabs>
                <w:tab w:val="clear" w:pos="4536"/>
                <w:tab w:val="clear" w:pos="6804"/>
                <w:tab w:val="clear" w:pos="9638"/>
                <w:tab w:val="left" w:pos="3065"/>
              </w:tabs>
              <w:rPr>
                <w:sz w:val="20"/>
                <w:szCs w:val="20"/>
              </w:rPr>
            </w:pPr>
          </w:p>
          <w:p w14:paraId="58660A0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5D9BC2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071" w:type="dxa"/>
          </w:tcPr>
          <w:p w14:paraId="3B7FA50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All </w:t>
            </w:r>
          </w:p>
          <w:p w14:paraId="2AEB8D16" w14:textId="77777777" w:rsidR="00C709D1" w:rsidRPr="00CE0CB9" w:rsidRDefault="00C709D1" w:rsidP="00257A7B">
            <w:pPr>
              <w:pStyle w:val="BodyText"/>
              <w:tabs>
                <w:tab w:val="clear" w:pos="4536"/>
                <w:tab w:val="clear" w:pos="6804"/>
                <w:tab w:val="clear" w:pos="9638"/>
                <w:tab w:val="left" w:pos="3065"/>
              </w:tabs>
              <w:rPr>
                <w:sz w:val="20"/>
                <w:szCs w:val="20"/>
              </w:rPr>
            </w:pPr>
          </w:p>
          <w:p w14:paraId="299042A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resources”</w:t>
            </w:r>
          </w:p>
        </w:tc>
        <w:tc>
          <w:tcPr>
            <w:tcW w:w="669" w:type="dxa"/>
          </w:tcPr>
          <w:p w14:paraId="1E5A13AE" w14:textId="77777777" w:rsidR="00C709D1" w:rsidRPr="00CE0CB9" w:rsidRDefault="00C709D1" w:rsidP="00257A7B">
            <w:pPr>
              <w:pStyle w:val="BodyText"/>
              <w:tabs>
                <w:tab w:val="clear" w:pos="4536"/>
                <w:tab w:val="clear" w:pos="6804"/>
                <w:tab w:val="clear" w:pos="9638"/>
                <w:tab w:val="left" w:pos="3065"/>
              </w:tabs>
              <w:ind w:left="0"/>
              <w:rPr>
                <w:sz w:val="20"/>
                <w:szCs w:val="20"/>
              </w:rPr>
            </w:pPr>
            <w:r w:rsidRPr="00CE0CB9">
              <w:rPr>
                <w:sz w:val="20"/>
                <w:szCs w:val="20"/>
              </w:rPr>
              <w:t>All</w:t>
            </w:r>
          </w:p>
        </w:tc>
        <w:tc>
          <w:tcPr>
            <w:tcW w:w="1026" w:type="dxa"/>
          </w:tcPr>
          <w:p w14:paraId="00B1BC3A" w14:textId="77777777" w:rsidR="00C709D1" w:rsidRPr="00CE0CB9" w:rsidRDefault="00C709D1" w:rsidP="00257A7B">
            <w:pPr>
              <w:pStyle w:val="BodyText"/>
              <w:tabs>
                <w:tab w:val="clear" w:pos="4536"/>
                <w:tab w:val="clear" w:pos="6804"/>
                <w:tab w:val="clear" w:pos="9638"/>
                <w:tab w:val="left" w:pos="3065"/>
              </w:tabs>
              <w:rPr>
                <w:b/>
                <w:bCs/>
                <w:sz w:val="20"/>
                <w:szCs w:val="20"/>
              </w:rPr>
            </w:pPr>
            <w:r w:rsidRPr="00CE0CB9">
              <w:rPr>
                <w:sz w:val="20"/>
                <w:szCs w:val="20"/>
              </w:rPr>
              <w:t>ag-infra-01</w:t>
            </w:r>
          </w:p>
        </w:tc>
        <w:tc>
          <w:tcPr>
            <w:tcW w:w="1026" w:type="dxa"/>
          </w:tcPr>
          <w:p w14:paraId="3D8EB185"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263D1AD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BF2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 Infrastructure Operations team of any service health issues on Database resource types</w:t>
            </w:r>
          </w:p>
        </w:tc>
      </w:tr>
      <w:tr w:rsidR="00C709D1" w:rsidRPr="00CE0CB9" w14:paraId="0E45BF13" w14:textId="77777777" w:rsidTr="00257A7B">
        <w:tc>
          <w:tcPr>
            <w:tcW w:w="1860" w:type="dxa"/>
          </w:tcPr>
          <w:p w14:paraId="009AFE11"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rhar-</w:t>
            </w:r>
            <w:r w:rsidRPr="00CE0CB9">
              <w:rPr>
                <w:sz w:val="20"/>
                <w:szCs w:val="20"/>
                <w:highlight w:val="yellow"/>
              </w:rPr>
              <w:t>[subscripname]</w:t>
            </w:r>
            <w:r w:rsidRPr="00CE0CB9">
              <w:rPr>
                <w:sz w:val="20"/>
                <w:szCs w:val="20"/>
              </w:rPr>
              <w:t>-networkresources</w:t>
            </w:r>
          </w:p>
        </w:tc>
        <w:tc>
          <w:tcPr>
            <w:tcW w:w="1026" w:type="dxa"/>
          </w:tcPr>
          <w:p w14:paraId="55118B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1D1E7F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3609AD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Application Gateway </w:t>
            </w:r>
          </w:p>
          <w:p w14:paraId="2C403BB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ASGs</w:t>
            </w:r>
          </w:p>
          <w:p w14:paraId="373EADB9"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Firewall</w:t>
            </w:r>
          </w:p>
          <w:p w14:paraId="7A9B636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Bastion Hosts</w:t>
            </w:r>
          </w:p>
          <w:p w14:paraId="364248E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Connections</w:t>
            </w:r>
          </w:p>
          <w:p w14:paraId="27F3ACF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DDoS</w:t>
            </w:r>
          </w:p>
          <w:p w14:paraId="4A3E906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Express Routes</w:t>
            </w:r>
          </w:p>
          <w:p w14:paraId="5D3602F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Firewall Policies</w:t>
            </w:r>
          </w:p>
          <w:p w14:paraId="7C1C0E1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IP Groups</w:t>
            </w:r>
          </w:p>
          <w:p w14:paraId="5B54DB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Load Balancer</w:t>
            </w:r>
          </w:p>
          <w:p w14:paraId="6163533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Local Network Gateway</w:t>
            </w:r>
          </w:p>
          <w:p w14:paraId="3A7C3D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NAT Gateways</w:t>
            </w:r>
          </w:p>
          <w:p w14:paraId="4B4672A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NICs</w:t>
            </w:r>
          </w:p>
          <w:p w14:paraId="68AA3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Manager</w:t>
            </w:r>
          </w:p>
          <w:p w14:paraId="6581F17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NSGs</w:t>
            </w:r>
          </w:p>
          <w:p w14:paraId="45186B6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NVAs</w:t>
            </w:r>
          </w:p>
          <w:p w14:paraId="54DCD8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Network Watcher</w:t>
            </w:r>
          </w:p>
          <w:p w14:paraId="3766078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Public IPs</w:t>
            </w:r>
          </w:p>
          <w:p w14:paraId="603AF33F"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Private Endpoints</w:t>
            </w:r>
          </w:p>
          <w:p w14:paraId="50929CB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VPN Gateways</w:t>
            </w:r>
          </w:p>
          <w:p w14:paraId="2393EB3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Filter</w:t>
            </w:r>
          </w:p>
          <w:p w14:paraId="7CB417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Route Table</w:t>
            </w:r>
          </w:p>
          <w:p w14:paraId="2403720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Hubs</w:t>
            </w:r>
          </w:p>
          <w:p w14:paraId="333AC8D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Network Gateway</w:t>
            </w:r>
          </w:p>
          <w:p w14:paraId="7138C15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Virtual Network</w:t>
            </w:r>
          </w:p>
          <w:p w14:paraId="295D24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VWAN</w:t>
            </w:r>
          </w:p>
        </w:tc>
        <w:tc>
          <w:tcPr>
            <w:tcW w:w="1071" w:type="dxa"/>
          </w:tcPr>
          <w:p w14:paraId="753B23A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lastRenderedPageBreak/>
              <w:t xml:space="preserve">Australia East, Australia Southeast, </w:t>
            </w:r>
          </w:p>
          <w:p w14:paraId="78D305EB"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Global</w:t>
            </w:r>
          </w:p>
        </w:tc>
        <w:tc>
          <w:tcPr>
            <w:tcW w:w="669" w:type="dxa"/>
          </w:tcPr>
          <w:p w14:paraId="5297032E" w14:textId="77777777" w:rsidR="00C709D1" w:rsidRPr="00CE0CB9" w:rsidRDefault="00C709D1" w:rsidP="00257A7B">
            <w:pPr>
              <w:pStyle w:val="BodyText"/>
              <w:tabs>
                <w:tab w:val="clear" w:pos="4536"/>
                <w:tab w:val="clear" w:pos="6804"/>
                <w:tab w:val="clear" w:pos="9638"/>
                <w:tab w:val="left" w:pos="3065"/>
              </w:tabs>
              <w:jc w:val="both"/>
              <w:rPr>
                <w:b/>
                <w:bCs/>
                <w:sz w:val="20"/>
                <w:szCs w:val="20"/>
              </w:rPr>
            </w:pPr>
            <w:r w:rsidRPr="00CE0CB9">
              <w:rPr>
                <w:sz w:val="20"/>
                <w:szCs w:val="20"/>
              </w:rPr>
              <w:t>All</w:t>
            </w:r>
          </w:p>
        </w:tc>
        <w:tc>
          <w:tcPr>
            <w:tcW w:w="1026" w:type="dxa"/>
          </w:tcPr>
          <w:p w14:paraId="0661CA77"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ag-network-01</w:t>
            </w:r>
          </w:p>
        </w:tc>
        <w:tc>
          <w:tcPr>
            <w:tcW w:w="1026" w:type="dxa"/>
          </w:tcPr>
          <w:p w14:paraId="70A0E70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67CC19C3"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1C05316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w:t>
            </w:r>
            <w:r>
              <w:rPr>
                <w:sz w:val="20"/>
                <w:szCs w:val="20"/>
              </w:rPr>
              <w:t xml:space="preserve"> Network</w:t>
            </w:r>
            <w:r w:rsidRPr="00CE0CB9">
              <w:rPr>
                <w:sz w:val="20"/>
                <w:szCs w:val="20"/>
              </w:rPr>
              <w:t xml:space="preserve"> Operations team of any service health issues on </w:t>
            </w:r>
            <w:r>
              <w:rPr>
                <w:sz w:val="20"/>
                <w:szCs w:val="20"/>
              </w:rPr>
              <w:t xml:space="preserve">Network </w:t>
            </w:r>
            <w:r w:rsidRPr="00CE0CB9">
              <w:rPr>
                <w:sz w:val="20"/>
                <w:szCs w:val="20"/>
              </w:rPr>
              <w:t>resource types</w:t>
            </w:r>
          </w:p>
        </w:tc>
      </w:tr>
      <w:tr w:rsidR="00C709D1" w:rsidRPr="00CE0CB9" w14:paraId="774EA92D" w14:textId="77777777" w:rsidTr="00257A7B">
        <w:tc>
          <w:tcPr>
            <w:tcW w:w="1860" w:type="dxa"/>
          </w:tcPr>
          <w:p w14:paraId="24BFF047"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rhar-</w:t>
            </w:r>
            <w:r w:rsidRPr="00CE0CB9">
              <w:rPr>
                <w:sz w:val="20"/>
                <w:szCs w:val="20"/>
                <w:highlight w:val="yellow"/>
              </w:rPr>
              <w:t>[subscriptionname]</w:t>
            </w:r>
            <w:r w:rsidRPr="00CE0CB9">
              <w:rPr>
                <w:sz w:val="20"/>
                <w:szCs w:val="20"/>
              </w:rPr>
              <w:t>-securityresources</w:t>
            </w:r>
          </w:p>
        </w:tc>
        <w:tc>
          <w:tcPr>
            <w:tcW w:w="1026" w:type="dxa"/>
          </w:tcPr>
          <w:p w14:paraId="7271AC5B"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0DEE13B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0177730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Activity Logs &amp; Alerts</w:t>
            </w:r>
          </w:p>
          <w:p w14:paraId="5E83BC30"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Advisor</w:t>
            </w:r>
          </w:p>
          <w:p w14:paraId="7ED75A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w:t>
            </w:r>
          </w:p>
          <w:p w14:paraId="26BA963E"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Alerts &amp; Metrics</w:t>
            </w:r>
          </w:p>
          <w:p w14:paraId="5F227E1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Policy</w:t>
            </w:r>
          </w:p>
          <w:p w14:paraId="494C5A0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Defender</w:t>
            </w:r>
          </w:p>
          <w:p w14:paraId="11277DD1"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Sentinel</w:t>
            </w:r>
          </w:p>
          <w:p w14:paraId="33126D4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Key Vault</w:t>
            </w:r>
          </w:p>
          <w:p w14:paraId="64F7190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Monitor</w:t>
            </w:r>
          </w:p>
          <w:p w14:paraId="7688126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Purview</w:t>
            </w:r>
          </w:p>
        </w:tc>
        <w:tc>
          <w:tcPr>
            <w:tcW w:w="1071" w:type="dxa"/>
          </w:tcPr>
          <w:p w14:paraId="5D362892"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01BF4355"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2186C2A3"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ag-security-01</w:t>
            </w:r>
          </w:p>
        </w:tc>
        <w:tc>
          <w:tcPr>
            <w:tcW w:w="1026" w:type="dxa"/>
          </w:tcPr>
          <w:p w14:paraId="49E5A7E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0A664A3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1139F3E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Security Operations team of any </w:t>
            </w:r>
            <w:r>
              <w:rPr>
                <w:sz w:val="20"/>
                <w:szCs w:val="20"/>
              </w:rPr>
              <w:t xml:space="preserve">resource </w:t>
            </w:r>
            <w:r w:rsidRPr="00CE0CB9">
              <w:rPr>
                <w:sz w:val="20"/>
                <w:szCs w:val="20"/>
              </w:rPr>
              <w:t xml:space="preserve">health issues on Security related resource types </w:t>
            </w:r>
          </w:p>
        </w:tc>
      </w:tr>
      <w:tr w:rsidR="00C709D1" w:rsidRPr="00CE0CB9" w14:paraId="4A747B4C" w14:textId="77777777" w:rsidTr="00257A7B">
        <w:tc>
          <w:tcPr>
            <w:tcW w:w="1860" w:type="dxa"/>
          </w:tcPr>
          <w:p w14:paraId="1FBD0F66"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lastRenderedPageBreak/>
              <w:t>rhar-</w:t>
            </w:r>
            <w:r w:rsidRPr="00CE0CB9">
              <w:rPr>
                <w:sz w:val="20"/>
                <w:szCs w:val="20"/>
                <w:highlight w:val="yellow"/>
              </w:rPr>
              <w:t>[subscriptionname]</w:t>
            </w:r>
            <w:r w:rsidRPr="00CE0CB9">
              <w:rPr>
                <w:sz w:val="20"/>
                <w:szCs w:val="20"/>
              </w:rPr>
              <w:t>-databaseresources</w:t>
            </w:r>
          </w:p>
        </w:tc>
        <w:tc>
          <w:tcPr>
            <w:tcW w:w="1026" w:type="dxa"/>
          </w:tcPr>
          <w:p w14:paraId="33046CD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All</w:t>
            </w:r>
          </w:p>
          <w:p w14:paraId="4BD00ABC"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0738A29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Cosmos DB</w:t>
            </w:r>
          </w:p>
          <w:p w14:paraId="22C261F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Cosmos DB for PostgreSQL</w:t>
            </w:r>
          </w:p>
          <w:p w14:paraId="1634CB7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MariaDB</w:t>
            </w:r>
          </w:p>
          <w:p w14:paraId="026DAD48"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w:t>
            </w:r>
          </w:p>
          <w:p w14:paraId="449D66F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MySQL flexible server</w:t>
            </w:r>
          </w:p>
          <w:p w14:paraId="6583FA5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w:t>
            </w:r>
          </w:p>
          <w:p w14:paraId="13276F3D"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for PostgreSQL flexible server</w:t>
            </w:r>
          </w:p>
          <w:p w14:paraId="6AE34143"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Database</w:t>
            </w:r>
          </w:p>
          <w:p w14:paraId="2B4B99D5"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Managed Instance</w:t>
            </w:r>
          </w:p>
          <w:p w14:paraId="0E5948D7"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on Azure VMs</w:t>
            </w:r>
          </w:p>
          <w:p w14:paraId="124C060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SQL Server Stretch Database</w:t>
            </w:r>
          </w:p>
          <w:p w14:paraId="098FC43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Azure Database Migration Service</w:t>
            </w:r>
          </w:p>
        </w:tc>
        <w:tc>
          <w:tcPr>
            <w:tcW w:w="1071" w:type="dxa"/>
          </w:tcPr>
          <w:p w14:paraId="6B670FA6"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6BD050CF"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31B8F8A1" w14:textId="77777777" w:rsidR="00C709D1" w:rsidRPr="00CE0CB9" w:rsidRDefault="00C709D1" w:rsidP="00257A7B">
            <w:pPr>
              <w:pStyle w:val="BodyText"/>
              <w:tabs>
                <w:tab w:val="clear" w:pos="4536"/>
                <w:tab w:val="clear" w:pos="6804"/>
                <w:tab w:val="clear" w:pos="9638"/>
                <w:tab w:val="left" w:pos="3065"/>
              </w:tabs>
              <w:jc w:val="both"/>
              <w:rPr>
                <w:sz w:val="20"/>
                <w:szCs w:val="20"/>
              </w:rPr>
            </w:pPr>
            <w:r w:rsidRPr="00CE0CB9">
              <w:rPr>
                <w:sz w:val="20"/>
                <w:szCs w:val="20"/>
              </w:rPr>
              <w:t>ag-database-01</w:t>
            </w:r>
          </w:p>
        </w:tc>
        <w:tc>
          <w:tcPr>
            <w:tcW w:w="1026" w:type="dxa"/>
          </w:tcPr>
          <w:p w14:paraId="202713D4"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837" w:type="dxa"/>
          </w:tcPr>
          <w:p w14:paraId="16306F9B"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5B363AA4"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Notifies the Database Operations team of any</w:t>
            </w:r>
            <w:r>
              <w:rPr>
                <w:sz w:val="20"/>
                <w:szCs w:val="20"/>
              </w:rPr>
              <w:t xml:space="preserve"> resource </w:t>
            </w:r>
            <w:r w:rsidRPr="00CE0CB9">
              <w:rPr>
                <w:sz w:val="20"/>
                <w:szCs w:val="20"/>
              </w:rPr>
              <w:t xml:space="preserve"> health issues on Database resource types </w:t>
            </w:r>
          </w:p>
        </w:tc>
      </w:tr>
    </w:tbl>
    <w:p w14:paraId="71AAE4A7" w14:textId="77777777" w:rsidR="00C709D1" w:rsidRDefault="00C709D1" w:rsidP="00C709D1">
      <w:pPr>
        <w:pStyle w:val="BodyText"/>
        <w:tabs>
          <w:tab w:val="clear" w:pos="4536"/>
          <w:tab w:val="clear" w:pos="6804"/>
          <w:tab w:val="clear" w:pos="9638"/>
          <w:tab w:val="left" w:pos="3065"/>
        </w:tabs>
        <w:jc w:val="both"/>
        <w:rPr>
          <w:b/>
          <w:bCs/>
          <w:sz w:val="20"/>
          <w:szCs w:val="20"/>
        </w:rPr>
      </w:pPr>
    </w:p>
    <w:p w14:paraId="4412D6E6" w14:textId="77777777" w:rsidR="00C709D1" w:rsidRDefault="00C709D1" w:rsidP="00C709D1">
      <w:pPr>
        <w:pStyle w:val="Heading2"/>
      </w:pPr>
      <w:r>
        <w:lastRenderedPageBreak/>
        <w:t xml:space="preserve">Microsoft Entra Alert Settings </w:t>
      </w:r>
    </w:p>
    <w:p w14:paraId="21CB15B1" w14:textId="77777777" w:rsidR="00C709D1" w:rsidRPr="0052012C" w:rsidRDefault="00C709D1" w:rsidP="00C709D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709D1" w:rsidRPr="00CE0CB9" w14:paraId="2C5AAEC8" w14:textId="77777777" w:rsidTr="00257A7B">
        <w:trPr>
          <w:cnfStyle w:val="100000000000" w:firstRow="1" w:lastRow="0" w:firstColumn="0" w:lastColumn="0" w:oddVBand="0" w:evenVBand="0" w:oddHBand="0" w:evenHBand="0" w:firstRowFirstColumn="0" w:firstRowLastColumn="0" w:lastRowFirstColumn="0" w:lastRowLastColumn="0"/>
        </w:trPr>
        <w:tc>
          <w:tcPr>
            <w:tcW w:w="1860" w:type="dxa"/>
          </w:tcPr>
          <w:p w14:paraId="070BDC81"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6D16F2FD"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2474C19B"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2E342E27" w14:textId="77777777" w:rsidR="00C709D1" w:rsidRPr="00CE0CB9" w:rsidRDefault="00C709D1" w:rsidP="00257A7B">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2DB55A7" w14:textId="77777777" w:rsidR="00C709D1" w:rsidRPr="00CE0CB9" w:rsidRDefault="00C709D1" w:rsidP="00257A7B">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5371A615"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49FD593B"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175511F7"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359EE8ED" w14:textId="77777777" w:rsidR="00C709D1" w:rsidRPr="00CE0CB9" w:rsidRDefault="00C709D1" w:rsidP="00257A7B">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709D1" w:rsidRPr="00CE0CB9" w14:paraId="418210DF" w14:textId="77777777" w:rsidTr="00257A7B">
        <w:tc>
          <w:tcPr>
            <w:tcW w:w="1860" w:type="dxa"/>
          </w:tcPr>
          <w:p w14:paraId="2DEFEA9A"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Microsoft Entra</w:t>
            </w:r>
          </w:p>
        </w:tc>
        <w:tc>
          <w:tcPr>
            <w:tcW w:w="1026" w:type="dxa"/>
          </w:tcPr>
          <w:p w14:paraId="6807D56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226" w:type="dxa"/>
          </w:tcPr>
          <w:p w14:paraId="0F92F13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Microsoft Entra Identities and Groups</w:t>
            </w:r>
          </w:p>
        </w:tc>
        <w:tc>
          <w:tcPr>
            <w:tcW w:w="1071" w:type="dxa"/>
          </w:tcPr>
          <w:p w14:paraId="133C9D2E"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669" w:type="dxa"/>
          </w:tcPr>
          <w:p w14:paraId="1766AB2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58C0CEE8"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1026" w:type="dxa"/>
          </w:tcPr>
          <w:p w14:paraId="77CE8F04" w14:textId="77777777" w:rsidR="00C709D1" w:rsidRDefault="00C709D1" w:rsidP="00257A7B">
            <w:pPr>
              <w:pStyle w:val="BodyText"/>
              <w:tabs>
                <w:tab w:val="clear" w:pos="4536"/>
                <w:tab w:val="clear" w:pos="6804"/>
                <w:tab w:val="clear" w:pos="9638"/>
                <w:tab w:val="left" w:pos="3065"/>
              </w:tabs>
              <w:rPr>
                <w:sz w:val="20"/>
                <w:szCs w:val="20"/>
              </w:rPr>
            </w:pPr>
            <w:r>
              <w:rPr>
                <w:sz w:val="20"/>
                <w:szCs w:val="20"/>
              </w:rPr>
              <w:t>NA</w:t>
            </w:r>
          </w:p>
        </w:tc>
        <w:tc>
          <w:tcPr>
            <w:tcW w:w="837" w:type="dxa"/>
          </w:tcPr>
          <w:p w14:paraId="4A518C81" w14:textId="77777777" w:rsidR="00C709D1" w:rsidRPr="00CE0CB9" w:rsidRDefault="00C709D1" w:rsidP="00257A7B">
            <w:pPr>
              <w:pStyle w:val="BodyText"/>
              <w:tabs>
                <w:tab w:val="clear" w:pos="4536"/>
                <w:tab w:val="clear" w:pos="6804"/>
                <w:tab w:val="clear" w:pos="9638"/>
                <w:tab w:val="left" w:pos="3065"/>
              </w:tabs>
              <w:rPr>
                <w:sz w:val="20"/>
                <w:szCs w:val="20"/>
              </w:rPr>
            </w:pPr>
            <w:r>
              <w:rPr>
                <w:sz w:val="20"/>
                <w:szCs w:val="20"/>
              </w:rPr>
              <w:t>All</w:t>
            </w:r>
          </w:p>
        </w:tc>
        <w:tc>
          <w:tcPr>
            <w:tcW w:w="1293" w:type="dxa"/>
          </w:tcPr>
          <w:p w14:paraId="35881B0A" w14:textId="77777777" w:rsidR="00C709D1" w:rsidRPr="00CE0CB9" w:rsidRDefault="00C709D1" w:rsidP="00257A7B">
            <w:pPr>
              <w:pStyle w:val="BodyText"/>
              <w:tabs>
                <w:tab w:val="clear" w:pos="4536"/>
                <w:tab w:val="clear" w:pos="6804"/>
                <w:tab w:val="clear" w:pos="9638"/>
                <w:tab w:val="left" w:pos="3065"/>
              </w:tabs>
              <w:rPr>
                <w:sz w:val="20"/>
                <w:szCs w:val="20"/>
              </w:rPr>
            </w:pPr>
            <w:r w:rsidRPr="00CE0CB9">
              <w:rPr>
                <w:sz w:val="20"/>
                <w:szCs w:val="20"/>
              </w:rPr>
              <w:t xml:space="preserve">Notifies the </w:t>
            </w:r>
            <w:r>
              <w:rPr>
                <w:sz w:val="20"/>
                <w:szCs w:val="20"/>
              </w:rPr>
              <w:t xml:space="preserve">IDAM </w:t>
            </w:r>
            <w:r w:rsidRPr="00CE0CB9">
              <w:rPr>
                <w:sz w:val="20"/>
                <w:szCs w:val="20"/>
              </w:rPr>
              <w:t xml:space="preserve">team of any service health issues on </w:t>
            </w:r>
            <w:r>
              <w:rPr>
                <w:sz w:val="20"/>
                <w:szCs w:val="20"/>
              </w:rPr>
              <w:t>Entra</w:t>
            </w:r>
            <w:r w:rsidRPr="00CE0CB9">
              <w:rPr>
                <w:sz w:val="20"/>
                <w:szCs w:val="20"/>
              </w:rPr>
              <w:t xml:space="preserve"> resource types</w:t>
            </w:r>
          </w:p>
        </w:tc>
      </w:tr>
    </w:tbl>
    <w:p w14:paraId="35CE045E" w14:textId="77777777" w:rsidR="00C709D1" w:rsidRPr="00CE0CB9" w:rsidRDefault="00C709D1" w:rsidP="00C709D1">
      <w:pPr>
        <w:pStyle w:val="BodyText"/>
        <w:tabs>
          <w:tab w:val="clear" w:pos="4536"/>
          <w:tab w:val="clear" w:pos="6804"/>
          <w:tab w:val="clear" w:pos="9638"/>
          <w:tab w:val="left" w:pos="3065"/>
        </w:tabs>
        <w:jc w:val="both"/>
        <w:rPr>
          <w:b/>
          <w:bCs/>
          <w:sz w:val="20"/>
          <w:szCs w:val="20"/>
        </w:rPr>
      </w:pPr>
    </w:p>
    <w:p w14:paraId="3B8A5D52" w14:textId="77777777" w:rsidR="00C709D1" w:rsidRDefault="00C709D1" w:rsidP="00C709D1">
      <w:pPr>
        <w:pStyle w:val="BodyText"/>
        <w:tabs>
          <w:tab w:val="clear" w:pos="4536"/>
          <w:tab w:val="clear" w:pos="6804"/>
          <w:tab w:val="clear" w:pos="9638"/>
          <w:tab w:val="left" w:pos="3065"/>
        </w:tabs>
        <w:jc w:val="both"/>
        <w:rPr>
          <w:b/>
          <w:bCs/>
        </w:rPr>
      </w:pPr>
    </w:p>
    <w:p w14:paraId="462ADE18" w14:textId="77777777" w:rsidR="00C709D1" w:rsidRDefault="00C709D1" w:rsidP="00C709D1">
      <w:pPr>
        <w:pStyle w:val="BodyText"/>
        <w:tabs>
          <w:tab w:val="clear" w:pos="4536"/>
          <w:tab w:val="clear" w:pos="6804"/>
          <w:tab w:val="clear" w:pos="9638"/>
          <w:tab w:val="left" w:pos="3065"/>
        </w:tabs>
        <w:jc w:val="both"/>
        <w:rPr>
          <w:b/>
          <w:bCs/>
        </w:rPr>
      </w:pPr>
    </w:p>
    <w:p w14:paraId="7597073F" w14:textId="77777777" w:rsidR="00C709D1" w:rsidRDefault="00C709D1" w:rsidP="00C709D1">
      <w:pPr>
        <w:pStyle w:val="BodyText"/>
        <w:tabs>
          <w:tab w:val="clear" w:pos="4536"/>
          <w:tab w:val="clear" w:pos="6804"/>
          <w:tab w:val="clear" w:pos="9638"/>
          <w:tab w:val="left" w:pos="3065"/>
        </w:tabs>
        <w:jc w:val="both"/>
        <w:rPr>
          <w:b/>
          <w:bCs/>
        </w:rPr>
      </w:pPr>
    </w:p>
    <w:p w14:paraId="3DFDF57F" w14:textId="77777777" w:rsidR="00C709D1" w:rsidRDefault="00C709D1" w:rsidP="00C709D1">
      <w:pPr>
        <w:pStyle w:val="BodyText"/>
        <w:tabs>
          <w:tab w:val="clear" w:pos="4536"/>
          <w:tab w:val="clear" w:pos="6804"/>
          <w:tab w:val="clear" w:pos="9638"/>
          <w:tab w:val="left" w:pos="3065"/>
        </w:tabs>
        <w:jc w:val="both"/>
        <w:rPr>
          <w:b/>
          <w:bCs/>
        </w:rPr>
      </w:pPr>
    </w:p>
    <w:p w14:paraId="52BFDB7B" w14:textId="77777777" w:rsidR="00C709D1" w:rsidRDefault="00C709D1" w:rsidP="00C709D1">
      <w:pPr>
        <w:pStyle w:val="BodyText"/>
        <w:tabs>
          <w:tab w:val="clear" w:pos="4536"/>
          <w:tab w:val="clear" w:pos="6804"/>
          <w:tab w:val="clear" w:pos="9638"/>
          <w:tab w:val="left" w:pos="3065"/>
        </w:tabs>
        <w:jc w:val="both"/>
        <w:rPr>
          <w:b/>
          <w:bCs/>
        </w:rPr>
      </w:pPr>
    </w:p>
    <w:p w14:paraId="2553EF6D" w14:textId="77777777" w:rsidR="00C709D1" w:rsidRDefault="00C709D1" w:rsidP="00C709D1">
      <w:pPr>
        <w:pStyle w:val="Heading2"/>
      </w:pPr>
      <w:r>
        <w:t xml:space="preserve">Metric Alert Settings </w:t>
      </w:r>
    </w:p>
    <w:p w14:paraId="2014F819" w14:textId="77777777" w:rsidR="00C709D1" w:rsidRDefault="00C709D1" w:rsidP="00C709D1">
      <w:pPr>
        <w:pStyle w:val="Heading3"/>
        <w:numPr>
          <w:ilvl w:val="2"/>
          <w:numId w:val="7"/>
        </w:numPr>
        <w:tabs>
          <w:tab w:val="left" w:pos="3065"/>
        </w:tabs>
        <w:jc w:val="both"/>
      </w:pPr>
      <w:r w:rsidRPr="001B33B4">
        <w:t>Azure Application Gateway</w:t>
      </w:r>
    </w:p>
    <w:p w14:paraId="5F7EA634" w14:textId="77777777" w:rsidR="00C709D1" w:rsidRDefault="00C709D1" w:rsidP="00C709D1">
      <w:pPr>
        <w:pStyle w:val="BodyText"/>
        <w:tabs>
          <w:tab w:val="clear" w:pos="4536"/>
          <w:tab w:val="clear" w:pos="6804"/>
          <w:tab w:val="clear" w:pos="9638"/>
          <w:tab w:val="left" w:pos="3065"/>
        </w:tabs>
        <w:jc w:val="both"/>
      </w:pPr>
      <w:r>
        <w:t xml:space="preserve">The following alerts should be configured for the Application Gateway to alert for unhealthy backends and failed responses: </w:t>
      </w:r>
    </w:p>
    <w:tbl>
      <w:tblPr>
        <w:tblStyle w:val="AVTable1"/>
        <w:tblW w:w="0" w:type="auto"/>
        <w:tblLook w:val="04A0" w:firstRow="1" w:lastRow="0" w:firstColumn="1" w:lastColumn="0" w:noHBand="0" w:noVBand="1"/>
      </w:tblPr>
      <w:tblGrid>
        <w:gridCol w:w="4513"/>
        <w:gridCol w:w="4514"/>
      </w:tblGrid>
      <w:tr w:rsidR="00C709D1" w:rsidRPr="00C22CA8" w14:paraId="38C24337"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18BB11E7"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Setting</w:t>
            </w:r>
          </w:p>
        </w:tc>
        <w:tc>
          <w:tcPr>
            <w:tcW w:w="4514" w:type="dxa"/>
          </w:tcPr>
          <w:p w14:paraId="5BAA8BCE"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28F6B935" w14:textId="77777777" w:rsidTr="00257A7B">
        <w:tc>
          <w:tcPr>
            <w:tcW w:w="4513" w:type="dxa"/>
          </w:tcPr>
          <w:p w14:paraId="0F99659B"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 xml:space="preserve">Unhealthy Host Count Alert </w:t>
            </w:r>
            <w:r w:rsidRPr="00D4758F">
              <w:rPr>
                <w:b/>
                <w:bCs/>
              </w:rPr>
              <w:t>Settings</w:t>
            </w:r>
          </w:p>
        </w:tc>
        <w:tc>
          <w:tcPr>
            <w:tcW w:w="4514" w:type="dxa"/>
          </w:tcPr>
          <w:p w14:paraId="0ADBAFDF" w14:textId="77777777" w:rsidR="00C709D1" w:rsidRDefault="00C709D1" w:rsidP="00257A7B">
            <w:pPr>
              <w:pStyle w:val="BodyText"/>
              <w:tabs>
                <w:tab w:val="clear" w:pos="4536"/>
                <w:tab w:val="clear" w:pos="6804"/>
                <w:tab w:val="clear" w:pos="9638"/>
                <w:tab w:val="left" w:pos="3065"/>
              </w:tabs>
              <w:jc w:val="both"/>
            </w:pPr>
          </w:p>
        </w:tc>
      </w:tr>
      <w:tr w:rsidR="00C709D1" w14:paraId="57639FED" w14:textId="77777777" w:rsidTr="00257A7B">
        <w:tc>
          <w:tcPr>
            <w:tcW w:w="4513" w:type="dxa"/>
          </w:tcPr>
          <w:p w14:paraId="1C2BECC4" w14:textId="77777777" w:rsidR="00C709D1" w:rsidRDefault="00C709D1" w:rsidP="00257A7B">
            <w:pPr>
              <w:pStyle w:val="BodyText"/>
              <w:tabs>
                <w:tab w:val="clear" w:pos="4536"/>
                <w:tab w:val="clear" w:pos="6804"/>
                <w:tab w:val="clear" w:pos="9638"/>
                <w:tab w:val="left" w:pos="3065"/>
              </w:tabs>
              <w:jc w:val="both"/>
            </w:pPr>
            <w:r>
              <w:t>Signal name</w:t>
            </w:r>
          </w:p>
        </w:tc>
        <w:tc>
          <w:tcPr>
            <w:tcW w:w="4514" w:type="dxa"/>
          </w:tcPr>
          <w:p w14:paraId="5C26CBC1" w14:textId="77777777" w:rsidR="00C709D1" w:rsidRDefault="00C709D1" w:rsidP="00257A7B">
            <w:pPr>
              <w:pStyle w:val="BodyText"/>
              <w:tabs>
                <w:tab w:val="clear" w:pos="4536"/>
                <w:tab w:val="clear" w:pos="6804"/>
                <w:tab w:val="clear" w:pos="9638"/>
                <w:tab w:val="left" w:pos="3065"/>
              </w:tabs>
              <w:jc w:val="both"/>
            </w:pPr>
            <w:r>
              <w:t>Unhealthy Host Count</w:t>
            </w:r>
          </w:p>
        </w:tc>
      </w:tr>
      <w:tr w:rsidR="00C709D1" w14:paraId="736A3D5C" w14:textId="77777777" w:rsidTr="00257A7B">
        <w:tc>
          <w:tcPr>
            <w:tcW w:w="4513" w:type="dxa"/>
          </w:tcPr>
          <w:p w14:paraId="23FB27C2" w14:textId="77777777" w:rsidR="00C709D1" w:rsidRDefault="00C709D1" w:rsidP="00257A7B">
            <w:pPr>
              <w:pStyle w:val="BodyText"/>
              <w:tabs>
                <w:tab w:val="clear" w:pos="4536"/>
                <w:tab w:val="clear" w:pos="6804"/>
                <w:tab w:val="clear" w:pos="9638"/>
                <w:tab w:val="left" w:pos="3065"/>
              </w:tabs>
              <w:jc w:val="both"/>
            </w:pPr>
            <w:r>
              <w:t>Threshold</w:t>
            </w:r>
          </w:p>
        </w:tc>
        <w:tc>
          <w:tcPr>
            <w:tcW w:w="4514" w:type="dxa"/>
          </w:tcPr>
          <w:p w14:paraId="7530FD16" w14:textId="77777777" w:rsidR="00C709D1" w:rsidRDefault="00C709D1" w:rsidP="00257A7B">
            <w:pPr>
              <w:pStyle w:val="BodyText"/>
              <w:tabs>
                <w:tab w:val="clear" w:pos="4536"/>
                <w:tab w:val="clear" w:pos="6804"/>
                <w:tab w:val="clear" w:pos="9638"/>
                <w:tab w:val="left" w:pos="3065"/>
              </w:tabs>
              <w:jc w:val="both"/>
            </w:pPr>
            <w:r>
              <w:t>Static</w:t>
            </w:r>
          </w:p>
        </w:tc>
      </w:tr>
      <w:tr w:rsidR="00C709D1" w14:paraId="28865B8D" w14:textId="77777777" w:rsidTr="00257A7B">
        <w:tc>
          <w:tcPr>
            <w:tcW w:w="4513" w:type="dxa"/>
          </w:tcPr>
          <w:p w14:paraId="4DC0E2BD"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7BC75149"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0268561E" w14:textId="77777777" w:rsidTr="00257A7B">
        <w:tc>
          <w:tcPr>
            <w:tcW w:w="4513" w:type="dxa"/>
          </w:tcPr>
          <w:p w14:paraId="4572F7C7"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6698790A" w14:textId="77777777" w:rsidR="00C709D1" w:rsidRDefault="00C709D1" w:rsidP="00257A7B">
            <w:pPr>
              <w:pStyle w:val="BodyText"/>
              <w:tabs>
                <w:tab w:val="clear" w:pos="4536"/>
                <w:tab w:val="clear" w:pos="6804"/>
                <w:tab w:val="clear" w:pos="9638"/>
                <w:tab w:val="left" w:pos="3065"/>
              </w:tabs>
              <w:jc w:val="both"/>
            </w:pPr>
            <w:r>
              <w:t>Count</w:t>
            </w:r>
          </w:p>
        </w:tc>
      </w:tr>
      <w:tr w:rsidR="00C709D1" w14:paraId="09A857A7" w14:textId="77777777" w:rsidTr="00257A7B">
        <w:tc>
          <w:tcPr>
            <w:tcW w:w="4513" w:type="dxa"/>
          </w:tcPr>
          <w:p w14:paraId="77BC7C6F"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14FEAFBB" w14:textId="77777777" w:rsidR="00C709D1" w:rsidRDefault="00C709D1" w:rsidP="00257A7B">
            <w:pPr>
              <w:pStyle w:val="BodyText"/>
              <w:tabs>
                <w:tab w:val="clear" w:pos="4536"/>
                <w:tab w:val="clear" w:pos="6804"/>
                <w:tab w:val="clear" w:pos="9638"/>
                <w:tab w:val="left" w:pos="3065"/>
              </w:tabs>
              <w:ind w:left="0"/>
              <w:jc w:val="both"/>
            </w:pPr>
            <w:r>
              <w:t>0</w:t>
            </w:r>
          </w:p>
        </w:tc>
      </w:tr>
      <w:tr w:rsidR="00C709D1" w14:paraId="355720C5" w14:textId="77777777" w:rsidTr="00257A7B">
        <w:tc>
          <w:tcPr>
            <w:tcW w:w="4513" w:type="dxa"/>
          </w:tcPr>
          <w:p w14:paraId="1A37566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57FB1BEA" w14:textId="77777777" w:rsidR="00C709D1" w:rsidRPr="0022449F" w:rsidRDefault="00C709D1" w:rsidP="00257A7B">
            <w:pPr>
              <w:pStyle w:val="BodyText"/>
              <w:tabs>
                <w:tab w:val="clear" w:pos="4536"/>
                <w:tab w:val="clear" w:pos="6804"/>
                <w:tab w:val="clear" w:pos="9638"/>
                <w:tab w:val="left" w:pos="3065"/>
              </w:tabs>
              <w:jc w:val="both"/>
            </w:pPr>
            <w:r>
              <w:t>ag-network-01</w:t>
            </w:r>
          </w:p>
          <w:p w14:paraId="576AC011" w14:textId="77777777" w:rsidR="00C709D1" w:rsidRDefault="00C709D1" w:rsidP="00257A7B">
            <w:pPr>
              <w:pStyle w:val="BodyText"/>
              <w:tabs>
                <w:tab w:val="clear" w:pos="4536"/>
                <w:tab w:val="clear" w:pos="6804"/>
                <w:tab w:val="clear" w:pos="9638"/>
                <w:tab w:val="left" w:pos="3065"/>
              </w:tabs>
              <w:jc w:val="both"/>
            </w:pPr>
            <w:r w:rsidRPr="0022449F">
              <w:t>ag-infrastructure-01</w:t>
            </w:r>
          </w:p>
        </w:tc>
      </w:tr>
      <w:tr w:rsidR="00C709D1" w:rsidRPr="0022449F" w14:paraId="15022B7D" w14:textId="77777777" w:rsidTr="00257A7B">
        <w:tc>
          <w:tcPr>
            <w:tcW w:w="4513" w:type="dxa"/>
          </w:tcPr>
          <w:p w14:paraId="6A91022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80D65AB" w14:textId="77777777" w:rsidR="00C709D1" w:rsidRPr="0022449F" w:rsidRDefault="00C709D1" w:rsidP="00257A7B">
            <w:pPr>
              <w:pStyle w:val="BodyText"/>
              <w:tabs>
                <w:tab w:val="clear" w:pos="4536"/>
                <w:tab w:val="clear" w:pos="6804"/>
                <w:tab w:val="clear" w:pos="9638"/>
                <w:tab w:val="left" w:pos="3065"/>
              </w:tabs>
              <w:jc w:val="both"/>
            </w:pPr>
            <w:r>
              <w:t>1 – Error</w:t>
            </w:r>
          </w:p>
        </w:tc>
      </w:tr>
      <w:tr w:rsidR="00C709D1" w14:paraId="78A073D2" w14:textId="77777777" w:rsidTr="00257A7B">
        <w:tc>
          <w:tcPr>
            <w:tcW w:w="4513" w:type="dxa"/>
          </w:tcPr>
          <w:p w14:paraId="0F4B1023"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4DB6CB42" w14:textId="77777777" w:rsidR="00C709D1" w:rsidRDefault="00C709D1" w:rsidP="00257A7B">
            <w:pPr>
              <w:pStyle w:val="BodyText"/>
              <w:tabs>
                <w:tab w:val="clear" w:pos="4536"/>
                <w:tab w:val="clear" w:pos="6804"/>
                <w:tab w:val="clear" w:pos="9638"/>
                <w:tab w:val="left" w:pos="3065"/>
              </w:tabs>
              <w:jc w:val="both"/>
            </w:pPr>
            <w:r>
              <w:t>Alerts the associated action groups when the Unhealthy Host value is greater than 0</w:t>
            </w:r>
          </w:p>
        </w:tc>
      </w:tr>
      <w:tr w:rsidR="00C709D1" w14:paraId="33561B18" w14:textId="77777777" w:rsidTr="00257A7B">
        <w:tc>
          <w:tcPr>
            <w:tcW w:w="4513" w:type="dxa"/>
          </w:tcPr>
          <w:p w14:paraId="3E883F1E" w14:textId="77777777" w:rsidR="00C709D1" w:rsidRDefault="00C709D1" w:rsidP="00257A7B">
            <w:pPr>
              <w:pStyle w:val="BodyText"/>
              <w:tabs>
                <w:tab w:val="clear" w:pos="4536"/>
                <w:tab w:val="clear" w:pos="6804"/>
                <w:tab w:val="clear" w:pos="9638"/>
                <w:tab w:val="left" w:pos="3065"/>
              </w:tabs>
              <w:jc w:val="both"/>
            </w:pPr>
            <w:r>
              <w:rPr>
                <w:b/>
                <w:bCs/>
              </w:rPr>
              <w:t xml:space="preserve">Failed Request Alert </w:t>
            </w:r>
            <w:r w:rsidRPr="00D4758F">
              <w:rPr>
                <w:b/>
                <w:bCs/>
              </w:rPr>
              <w:t>Settings</w:t>
            </w:r>
          </w:p>
        </w:tc>
        <w:tc>
          <w:tcPr>
            <w:tcW w:w="4514" w:type="dxa"/>
          </w:tcPr>
          <w:p w14:paraId="0BEA373F" w14:textId="77777777" w:rsidR="00C709D1" w:rsidRDefault="00C709D1" w:rsidP="00257A7B">
            <w:pPr>
              <w:pStyle w:val="BodyText"/>
              <w:tabs>
                <w:tab w:val="clear" w:pos="4536"/>
                <w:tab w:val="clear" w:pos="6804"/>
                <w:tab w:val="clear" w:pos="9638"/>
                <w:tab w:val="left" w:pos="3065"/>
              </w:tabs>
              <w:jc w:val="both"/>
            </w:pPr>
          </w:p>
        </w:tc>
      </w:tr>
      <w:tr w:rsidR="00C709D1" w14:paraId="1905A4DD" w14:textId="77777777" w:rsidTr="00257A7B">
        <w:tc>
          <w:tcPr>
            <w:tcW w:w="4513" w:type="dxa"/>
          </w:tcPr>
          <w:p w14:paraId="095A2BD5" w14:textId="77777777" w:rsidR="00C709D1" w:rsidRDefault="00C709D1" w:rsidP="00257A7B">
            <w:pPr>
              <w:pStyle w:val="BodyText"/>
              <w:tabs>
                <w:tab w:val="clear" w:pos="4536"/>
                <w:tab w:val="clear" w:pos="6804"/>
                <w:tab w:val="clear" w:pos="9638"/>
                <w:tab w:val="left" w:pos="3065"/>
              </w:tabs>
              <w:jc w:val="both"/>
            </w:pPr>
            <w:r>
              <w:t>Signal name</w:t>
            </w:r>
          </w:p>
        </w:tc>
        <w:tc>
          <w:tcPr>
            <w:tcW w:w="4514" w:type="dxa"/>
          </w:tcPr>
          <w:p w14:paraId="63504220" w14:textId="77777777" w:rsidR="00C709D1" w:rsidRDefault="00C709D1" w:rsidP="00257A7B">
            <w:pPr>
              <w:pStyle w:val="BodyText"/>
              <w:tabs>
                <w:tab w:val="clear" w:pos="4536"/>
                <w:tab w:val="clear" w:pos="6804"/>
                <w:tab w:val="clear" w:pos="9638"/>
                <w:tab w:val="left" w:pos="3065"/>
              </w:tabs>
              <w:jc w:val="both"/>
            </w:pPr>
            <w:r>
              <w:t>Failed Request</w:t>
            </w:r>
          </w:p>
        </w:tc>
      </w:tr>
      <w:tr w:rsidR="00C709D1" w14:paraId="2869DF86" w14:textId="77777777" w:rsidTr="00257A7B">
        <w:tc>
          <w:tcPr>
            <w:tcW w:w="4513" w:type="dxa"/>
          </w:tcPr>
          <w:p w14:paraId="08926098" w14:textId="77777777" w:rsidR="00C709D1" w:rsidRDefault="00C709D1" w:rsidP="00257A7B">
            <w:pPr>
              <w:pStyle w:val="BodyText"/>
              <w:tabs>
                <w:tab w:val="clear" w:pos="4536"/>
                <w:tab w:val="clear" w:pos="6804"/>
                <w:tab w:val="clear" w:pos="9638"/>
                <w:tab w:val="left" w:pos="3065"/>
              </w:tabs>
              <w:jc w:val="both"/>
            </w:pPr>
            <w:r>
              <w:lastRenderedPageBreak/>
              <w:t>Threshold</w:t>
            </w:r>
          </w:p>
        </w:tc>
        <w:tc>
          <w:tcPr>
            <w:tcW w:w="4514" w:type="dxa"/>
          </w:tcPr>
          <w:p w14:paraId="7290646F" w14:textId="77777777" w:rsidR="00C709D1" w:rsidRDefault="00C709D1" w:rsidP="00257A7B">
            <w:pPr>
              <w:pStyle w:val="BodyText"/>
              <w:tabs>
                <w:tab w:val="clear" w:pos="4536"/>
                <w:tab w:val="clear" w:pos="6804"/>
                <w:tab w:val="clear" w:pos="9638"/>
                <w:tab w:val="left" w:pos="3065"/>
              </w:tabs>
              <w:jc w:val="both"/>
            </w:pPr>
            <w:r>
              <w:t>Static</w:t>
            </w:r>
          </w:p>
        </w:tc>
      </w:tr>
      <w:tr w:rsidR="00C709D1" w14:paraId="799955FC" w14:textId="77777777" w:rsidTr="00257A7B">
        <w:tc>
          <w:tcPr>
            <w:tcW w:w="4513" w:type="dxa"/>
          </w:tcPr>
          <w:p w14:paraId="00B0F26C" w14:textId="77777777" w:rsidR="00C709D1" w:rsidRDefault="00C709D1" w:rsidP="00257A7B">
            <w:pPr>
              <w:pStyle w:val="BodyText"/>
              <w:tabs>
                <w:tab w:val="clear" w:pos="4536"/>
                <w:tab w:val="clear" w:pos="6804"/>
                <w:tab w:val="clear" w:pos="9638"/>
                <w:tab w:val="left" w:pos="3065"/>
              </w:tabs>
              <w:jc w:val="both"/>
            </w:pPr>
            <w:r>
              <w:t>Operator</w:t>
            </w:r>
          </w:p>
        </w:tc>
        <w:tc>
          <w:tcPr>
            <w:tcW w:w="4514" w:type="dxa"/>
          </w:tcPr>
          <w:p w14:paraId="1F50CB70" w14:textId="77777777" w:rsidR="00C709D1" w:rsidRDefault="00C709D1" w:rsidP="00257A7B">
            <w:pPr>
              <w:pStyle w:val="BodyText"/>
              <w:tabs>
                <w:tab w:val="clear" w:pos="4536"/>
                <w:tab w:val="clear" w:pos="6804"/>
                <w:tab w:val="clear" w:pos="9638"/>
                <w:tab w:val="left" w:pos="3065"/>
              </w:tabs>
              <w:jc w:val="both"/>
            </w:pPr>
            <w:r>
              <w:t>Greater Than</w:t>
            </w:r>
          </w:p>
        </w:tc>
      </w:tr>
      <w:tr w:rsidR="00C709D1" w14:paraId="63F44A29" w14:textId="77777777" w:rsidTr="00257A7B">
        <w:tc>
          <w:tcPr>
            <w:tcW w:w="4513" w:type="dxa"/>
          </w:tcPr>
          <w:p w14:paraId="0A84A923" w14:textId="77777777" w:rsidR="00C709D1" w:rsidRDefault="00C709D1" w:rsidP="00257A7B">
            <w:pPr>
              <w:pStyle w:val="BodyText"/>
              <w:tabs>
                <w:tab w:val="clear" w:pos="4536"/>
                <w:tab w:val="clear" w:pos="6804"/>
                <w:tab w:val="clear" w:pos="9638"/>
                <w:tab w:val="left" w:pos="3065"/>
              </w:tabs>
              <w:jc w:val="both"/>
            </w:pPr>
            <w:r>
              <w:t>Unit</w:t>
            </w:r>
          </w:p>
        </w:tc>
        <w:tc>
          <w:tcPr>
            <w:tcW w:w="4514" w:type="dxa"/>
          </w:tcPr>
          <w:p w14:paraId="1E5953E5" w14:textId="77777777" w:rsidR="00C709D1" w:rsidRDefault="00C709D1" w:rsidP="00257A7B">
            <w:pPr>
              <w:pStyle w:val="BodyText"/>
              <w:tabs>
                <w:tab w:val="clear" w:pos="4536"/>
                <w:tab w:val="clear" w:pos="6804"/>
                <w:tab w:val="clear" w:pos="9638"/>
                <w:tab w:val="left" w:pos="3065"/>
              </w:tabs>
              <w:jc w:val="both"/>
            </w:pPr>
            <w:r>
              <w:t>Count</w:t>
            </w:r>
          </w:p>
        </w:tc>
      </w:tr>
      <w:tr w:rsidR="00C709D1" w14:paraId="4C543077" w14:textId="77777777" w:rsidTr="00257A7B">
        <w:tc>
          <w:tcPr>
            <w:tcW w:w="4513" w:type="dxa"/>
          </w:tcPr>
          <w:p w14:paraId="2DCDFC29" w14:textId="77777777" w:rsidR="00C709D1" w:rsidRDefault="00C709D1" w:rsidP="00257A7B">
            <w:pPr>
              <w:pStyle w:val="BodyText"/>
              <w:tabs>
                <w:tab w:val="clear" w:pos="4536"/>
                <w:tab w:val="clear" w:pos="6804"/>
                <w:tab w:val="clear" w:pos="9638"/>
                <w:tab w:val="left" w:pos="3065"/>
              </w:tabs>
              <w:jc w:val="both"/>
            </w:pPr>
            <w:r>
              <w:t>Threshold value</w:t>
            </w:r>
          </w:p>
        </w:tc>
        <w:tc>
          <w:tcPr>
            <w:tcW w:w="4514" w:type="dxa"/>
          </w:tcPr>
          <w:p w14:paraId="524F6EA2" w14:textId="77777777" w:rsidR="00C709D1" w:rsidRDefault="00C709D1" w:rsidP="00257A7B">
            <w:pPr>
              <w:pStyle w:val="BodyText"/>
              <w:tabs>
                <w:tab w:val="clear" w:pos="4536"/>
                <w:tab w:val="clear" w:pos="6804"/>
                <w:tab w:val="clear" w:pos="9638"/>
                <w:tab w:val="left" w:pos="3065"/>
              </w:tabs>
              <w:jc w:val="both"/>
            </w:pPr>
            <w:r>
              <w:t>0</w:t>
            </w:r>
          </w:p>
        </w:tc>
      </w:tr>
      <w:tr w:rsidR="00C709D1" w14:paraId="74DD7322" w14:textId="77777777" w:rsidTr="00257A7B">
        <w:tc>
          <w:tcPr>
            <w:tcW w:w="4513" w:type="dxa"/>
          </w:tcPr>
          <w:p w14:paraId="54D4297C" w14:textId="77777777" w:rsidR="00C709D1" w:rsidRDefault="00C709D1" w:rsidP="00257A7B">
            <w:pPr>
              <w:pStyle w:val="BodyText"/>
              <w:tabs>
                <w:tab w:val="clear" w:pos="4536"/>
                <w:tab w:val="clear" w:pos="6804"/>
                <w:tab w:val="clear" w:pos="9638"/>
                <w:tab w:val="left" w:pos="3065"/>
              </w:tabs>
              <w:jc w:val="both"/>
            </w:pPr>
            <w:r>
              <w:t>Action Group(s)</w:t>
            </w:r>
          </w:p>
        </w:tc>
        <w:tc>
          <w:tcPr>
            <w:tcW w:w="4514" w:type="dxa"/>
          </w:tcPr>
          <w:p w14:paraId="6A48553B" w14:textId="77777777" w:rsidR="00C709D1" w:rsidRPr="0022449F" w:rsidRDefault="00C709D1" w:rsidP="00257A7B">
            <w:pPr>
              <w:pStyle w:val="BodyText"/>
              <w:tabs>
                <w:tab w:val="clear" w:pos="4536"/>
                <w:tab w:val="clear" w:pos="6804"/>
                <w:tab w:val="clear" w:pos="9638"/>
                <w:tab w:val="left" w:pos="3065"/>
              </w:tabs>
              <w:jc w:val="both"/>
            </w:pPr>
            <w:r>
              <w:t>ag-network-01</w:t>
            </w:r>
          </w:p>
          <w:p w14:paraId="73FABACE" w14:textId="77777777" w:rsidR="00C709D1" w:rsidRDefault="00C709D1" w:rsidP="00257A7B">
            <w:pPr>
              <w:pStyle w:val="BodyText"/>
              <w:tabs>
                <w:tab w:val="clear" w:pos="4536"/>
                <w:tab w:val="clear" w:pos="6804"/>
                <w:tab w:val="clear" w:pos="9638"/>
                <w:tab w:val="left" w:pos="3065"/>
              </w:tabs>
              <w:jc w:val="both"/>
            </w:pPr>
            <w:r w:rsidRPr="0022449F">
              <w:t>ag-infrastructure-01</w:t>
            </w:r>
          </w:p>
        </w:tc>
      </w:tr>
      <w:tr w:rsidR="00C709D1" w14:paraId="0CB05050" w14:textId="77777777" w:rsidTr="00257A7B">
        <w:tc>
          <w:tcPr>
            <w:tcW w:w="4513" w:type="dxa"/>
          </w:tcPr>
          <w:p w14:paraId="6E96DAC2"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C53249C" w14:textId="77777777" w:rsidR="00C709D1" w:rsidRDefault="00C709D1" w:rsidP="00257A7B">
            <w:pPr>
              <w:pStyle w:val="BodyText"/>
              <w:tabs>
                <w:tab w:val="clear" w:pos="4536"/>
                <w:tab w:val="clear" w:pos="6804"/>
                <w:tab w:val="clear" w:pos="9638"/>
                <w:tab w:val="left" w:pos="3065"/>
              </w:tabs>
              <w:jc w:val="both"/>
            </w:pPr>
            <w:r>
              <w:t>2– Warning</w:t>
            </w:r>
          </w:p>
        </w:tc>
      </w:tr>
      <w:tr w:rsidR="00C709D1" w14:paraId="7C15A106" w14:textId="77777777" w:rsidTr="00257A7B">
        <w:tc>
          <w:tcPr>
            <w:tcW w:w="4513" w:type="dxa"/>
          </w:tcPr>
          <w:p w14:paraId="6305C628" w14:textId="77777777" w:rsidR="00C709D1" w:rsidRDefault="00C709D1" w:rsidP="00257A7B">
            <w:pPr>
              <w:pStyle w:val="BodyText"/>
              <w:tabs>
                <w:tab w:val="clear" w:pos="4536"/>
                <w:tab w:val="clear" w:pos="6804"/>
                <w:tab w:val="clear" w:pos="9638"/>
                <w:tab w:val="left" w:pos="3065"/>
              </w:tabs>
              <w:jc w:val="both"/>
            </w:pPr>
            <w:r>
              <w:t>mar-appgateway-unhealthyhost-01</w:t>
            </w:r>
          </w:p>
        </w:tc>
        <w:tc>
          <w:tcPr>
            <w:tcW w:w="4514" w:type="dxa"/>
          </w:tcPr>
          <w:p w14:paraId="6F8FD61A" w14:textId="77777777" w:rsidR="00C709D1" w:rsidRDefault="00C709D1" w:rsidP="00257A7B">
            <w:pPr>
              <w:pStyle w:val="BodyText"/>
              <w:tabs>
                <w:tab w:val="clear" w:pos="4536"/>
                <w:tab w:val="clear" w:pos="6804"/>
                <w:tab w:val="clear" w:pos="9638"/>
                <w:tab w:val="left" w:pos="3065"/>
              </w:tabs>
              <w:jc w:val="both"/>
            </w:pPr>
            <w:r>
              <w:t>Alerts the associated action groups when the failed request value is greater than 0</w:t>
            </w:r>
          </w:p>
        </w:tc>
      </w:tr>
    </w:tbl>
    <w:p w14:paraId="64CF4D80" w14:textId="77777777" w:rsidR="00C709D1" w:rsidRDefault="00C709D1" w:rsidP="00C709D1">
      <w:pPr>
        <w:pStyle w:val="BodyText"/>
        <w:tabs>
          <w:tab w:val="clear" w:pos="4536"/>
          <w:tab w:val="clear" w:pos="6804"/>
          <w:tab w:val="clear" w:pos="9638"/>
          <w:tab w:val="left" w:pos="3065"/>
        </w:tabs>
        <w:jc w:val="both"/>
      </w:pPr>
    </w:p>
    <w:p w14:paraId="7FDD1E1C" w14:textId="77777777" w:rsidR="00C709D1" w:rsidRDefault="00C709D1" w:rsidP="00C709D1">
      <w:pPr>
        <w:pStyle w:val="BodyText"/>
        <w:tabs>
          <w:tab w:val="clear" w:pos="4536"/>
          <w:tab w:val="clear" w:pos="6804"/>
          <w:tab w:val="clear" w:pos="9638"/>
          <w:tab w:val="left" w:pos="3065"/>
        </w:tabs>
        <w:jc w:val="both"/>
      </w:pPr>
    </w:p>
    <w:p w14:paraId="60D9069D" w14:textId="77777777" w:rsidR="00C709D1" w:rsidRDefault="00C709D1" w:rsidP="00C709D1">
      <w:pPr>
        <w:pStyle w:val="BodyText"/>
        <w:tabs>
          <w:tab w:val="clear" w:pos="4536"/>
          <w:tab w:val="clear" w:pos="6804"/>
          <w:tab w:val="clear" w:pos="9638"/>
          <w:tab w:val="left" w:pos="3065"/>
        </w:tabs>
        <w:jc w:val="both"/>
      </w:pPr>
    </w:p>
    <w:p w14:paraId="00DFAB5A" w14:textId="77777777" w:rsidR="00C709D1" w:rsidRDefault="00C709D1" w:rsidP="00C709D1">
      <w:pPr>
        <w:pStyle w:val="BodyText"/>
        <w:tabs>
          <w:tab w:val="clear" w:pos="4536"/>
          <w:tab w:val="clear" w:pos="6804"/>
          <w:tab w:val="clear" w:pos="9638"/>
          <w:tab w:val="left" w:pos="3065"/>
        </w:tabs>
        <w:jc w:val="both"/>
      </w:pPr>
    </w:p>
    <w:p w14:paraId="1FBD47E8" w14:textId="77777777" w:rsidR="00C709D1" w:rsidRDefault="00C709D1" w:rsidP="00C709D1">
      <w:pPr>
        <w:pStyle w:val="BodyText"/>
        <w:tabs>
          <w:tab w:val="clear" w:pos="4536"/>
          <w:tab w:val="clear" w:pos="6804"/>
          <w:tab w:val="clear" w:pos="9638"/>
          <w:tab w:val="left" w:pos="3065"/>
        </w:tabs>
        <w:jc w:val="both"/>
      </w:pPr>
    </w:p>
    <w:p w14:paraId="3B7C4934" w14:textId="77777777" w:rsidR="00C709D1" w:rsidRDefault="00C709D1" w:rsidP="00C709D1">
      <w:pPr>
        <w:pStyle w:val="BodyText"/>
        <w:tabs>
          <w:tab w:val="clear" w:pos="4536"/>
          <w:tab w:val="clear" w:pos="6804"/>
          <w:tab w:val="clear" w:pos="9638"/>
          <w:tab w:val="left" w:pos="3065"/>
        </w:tabs>
        <w:jc w:val="both"/>
      </w:pPr>
    </w:p>
    <w:p w14:paraId="2A111E88" w14:textId="77777777" w:rsidR="00C709D1" w:rsidRDefault="00C709D1" w:rsidP="00C709D1">
      <w:pPr>
        <w:pStyle w:val="BodyText"/>
        <w:tabs>
          <w:tab w:val="clear" w:pos="4536"/>
          <w:tab w:val="clear" w:pos="6804"/>
          <w:tab w:val="clear" w:pos="9638"/>
          <w:tab w:val="left" w:pos="3065"/>
        </w:tabs>
        <w:jc w:val="both"/>
      </w:pPr>
    </w:p>
    <w:p w14:paraId="6DCCFFE6" w14:textId="77777777" w:rsidR="00C709D1" w:rsidRDefault="00C709D1" w:rsidP="00C709D1">
      <w:pPr>
        <w:pStyle w:val="Heading3"/>
        <w:numPr>
          <w:ilvl w:val="2"/>
          <w:numId w:val="7"/>
        </w:numPr>
        <w:tabs>
          <w:tab w:val="left" w:pos="3065"/>
        </w:tabs>
        <w:jc w:val="both"/>
      </w:pPr>
      <w:r w:rsidRPr="001B33B4">
        <w:t>Azure</w:t>
      </w:r>
      <w:r>
        <w:t xml:space="preserve"> Virtual Machines</w:t>
      </w:r>
    </w:p>
    <w:p w14:paraId="6C82191B" w14:textId="77777777" w:rsidR="00C709D1" w:rsidRDefault="00C709D1" w:rsidP="00C709D1">
      <w:pPr>
        <w:pStyle w:val="BodyText"/>
        <w:tabs>
          <w:tab w:val="clear" w:pos="4536"/>
          <w:tab w:val="clear" w:pos="6804"/>
          <w:tab w:val="clear" w:pos="9638"/>
          <w:tab w:val="left" w:pos="3065"/>
        </w:tabs>
        <w:jc w:val="both"/>
      </w:pPr>
      <w:r>
        <w:t xml:space="preserve">The out of the box settings will be configured for Virtual Machines which include: </w:t>
      </w:r>
    </w:p>
    <w:p w14:paraId="560A1911" w14:textId="77777777" w:rsidR="00C709D1" w:rsidRDefault="00C709D1" w:rsidP="00C709D1">
      <w:pPr>
        <w:pStyle w:val="BodyText"/>
        <w:numPr>
          <w:ilvl w:val="0"/>
          <w:numId w:val="45"/>
        </w:numPr>
        <w:tabs>
          <w:tab w:val="clear" w:pos="4536"/>
          <w:tab w:val="clear" w:pos="6804"/>
          <w:tab w:val="clear" w:pos="9638"/>
          <w:tab w:val="left" w:pos="3065"/>
        </w:tabs>
        <w:jc w:val="both"/>
      </w:pPr>
      <w:r>
        <w:t>CPU %</w:t>
      </w:r>
    </w:p>
    <w:p w14:paraId="5C708F8B" w14:textId="77777777" w:rsidR="00C709D1" w:rsidRDefault="00C709D1" w:rsidP="00C709D1">
      <w:pPr>
        <w:pStyle w:val="BodyText"/>
        <w:numPr>
          <w:ilvl w:val="0"/>
          <w:numId w:val="45"/>
        </w:numPr>
        <w:tabs>
          <w:tab w:val="clear" w:pos="4536"/>
          <w:tab w:val="clear" w:pos="6804"/>
          <w:tab w:val="clear" w:pos="9638"/>
          <w:tab w:val="left" w:pos="3065"/>
        </w:tabs>
        <w:jc w:val="both"/>
      </w:pPr>
      <w:r>
        <w:t>Available memory</w:t>
      </w:r>
    </w:p>
    <w:p w14:paraId="653FB6B0" w14:textId="77777777" w:rsidR="00C709D1" w:rsidRDefault="00C709D1" w:rsidP="00C709D1">
      <w:pPr>
        <w:pStyle w:val="BodyText"/>
        <w:numPr>
          <w:ilvl w:val="0"/>
          <w:numId w:val="45"/>
        </w:numPr>
        <w:tabs>
          <w:tab w:val="clear" w:pos="4536"/>
          <w:tab w:val="clear" w:pos="6804"/>
          <w:tab w:val="clear" w:pos="9638"/>
          <w:tab w:val="left" w:pos="3065"/>
        </w:tabs>
        <w:jc w:val="both"/>
      </w:pPr>
      <w:r>
        <w:t>Data Disk IOPS</w:t>
      </w:r>
    </w:p>
    <w:p w14:paraId="58506D0E" w14:textId="77777777" w:rsidR="00C709D1" w:rsidRDefault="00C709D1" w:rsidP="00C709D1">
      <w:pPr>
        <w:pStyle w:val="BodyText"/>
        <w:numPr>
          <w:ilvl w:val="0"/>
          <w:numId w:val="45"/>
        </w:numPr>
        <w:tabs>
          <w:tab w:val="clear" w:pos="4536"/>
          <w:tab w:val="clear" w:pos="6804"/>
          <w:tab w:val="clear" w:pos="9638"/>
          <w:tab w:val="left" w:pos="3065"/>
        </w:tabs>
        <w:jc w:val="both"/>
      </w:pPr>
      <w:r>
        <w:t>OS Disk IOPS</w:t>
      </w:r>
    </w:p>
    <w:p w14:paraId="20749A3D" w14:textId="77777777" w:rsidR="00C709D1" w:rsidRDefault="00C709D1" w:rsidP="00C709D1">
      <w:pPr>
        <w:pStyle w:val="BodyText"/>
        <w:numPr>
          <w:ilvl w:val="0"/>
          <w:numId w:val="45"/>
        </w:numPr>
        <w:tabs>
          <w:tab w:val="clear" w:pos="4536"/>
          <w:tab w:val="clear" w:pos="6804"/>
          <w:tab w:val="clear" w:pos="9638"/>
          <w:tab w:val="left" w:pos="3065"/>
        </w:tabs>
        <w:jc w:val="both"/>
      </w:pPr>
      <w:r>
        <w:t>Network In Total</w:t>
      </w:r>
    </w:p>
    <w:p w14:paraId="344DDC12" w14:textId="77777777" w:rsidR="00C709D1" w:rsidRDefault="00C709D1" w:rsidP="00C709D1">
      <w:pPr>
        <w:pStyle w:val="BodyText"/>
        <w:numPr>
          <w:ilvl w:val="0"/>
          <w:numId w:val="45"/>
        </w:numPr>
        <w:tabs>
          <w:tab w:val="clear" w:pos="4536"/>
          <w:tab w:val="clear" w:pos="6804"/>
          <w:tab w:val="clear" w:pos="9638"/>
          <w:tab w:val="left" w:pos="3065"/>
        </w:tabs>
        <w:jc w:val="both"/>
      </w:pPr>
      <w:r>
        <w:t>Network Out Total</w:t>
      </w:r>
    </w:p>
    <w:p w14:paraId="2A006413" w14:textId="77777777" w:rsidR="00C709D1" w:rsidRDefault="00C709D1" w:rsidP="00C709D1">
      <w:pPr>
        <w:pStyle w:val="BodyText"/>
        <w:numPr>
          <w:ilvl w:val="0"/>
          <w:numId w:val="45"/>
        </w:numPr>
        <w:tabs>
          <w:tab w:val="clear" w:pos="4536"/>
          <w:tab w:val="clear" w:pos="6804"/>
          <w:tab w:val="clear" w:pos="9638"/>
          <w:tab w:val="left" w:pos="3065"/>
        </w:tabs>
        <w:jc w:val="both"/>
      </w:pPr>
      <w:r>
        <w:t>VmAvailability</w:t>
      </w:r>
    </w:p>
    <w:p w14:paraId="6C0BF5F4" w14:textId="77777777" w:rsidR="00C709D1" w:rsidRDefault="00C709D1" w:rsidP="00C709D1">
      <w:pPr>
        <w:pStyle w:val="BodyText"/>
        <w:tabs>
          <w:tab w:val="clear" w:pos="4536"/>
          <w:tab w:val="clear" w:pos="6804"/>
          <w:tab w:val="clear" w:pos="9638"/>
          <w:tab w:val="left" w:pos="3065"/>
        </w:tabs>
        <w:ind w:left="780"/>
        <w:jc w:val="both"/>
      </w:pPr>
    </w:p>
    <w:tbl>
      <w:tblPr>
        <w:tblStyle w:val="AVTable1"/>
        <w:tblW w:w="0" w:type="auto"/>
        <w:tblLook w:val="04A0" w:firstRow="1" w:lastRow="0" w:firstColumn="1" w:lastColumn="0" w:noHBand="0" w:noVBand="1"/>
      </w:tblPr>
      <w:tblGrid>
        <w:gridCol w:w="4513"/>
        <w:gridCol w:w="4514"/>
      </w:tblGrid>
      <w:tr w:rsidR="00C709D1" w:rsidRPr="00C22CA8" w14:paraId="6B875FA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21E795AB"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4C6576B2"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424C7CD0" w14:textId="77777777" w:rsidTr="00257A7B">
        <w:tc>
          <w:tcPr>
            <w:tcW w:w="4513" w:type="dxa"/>
          </w:tcPr>
          <w:p w14:paraId="436CA2F1"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CPU % Alert 1 Settings</w:t>
            </w:r>
          </w:p>
        </w:tc>
        <w:tc>
          <w:tcPr>
            <w:tcW w:w="4514" w:type="dxa"/>
          </w:tcPr>
          <w:p w14:paraId="39B3D057" w14:textId="77777777" w:rsidR="00C709D1" w:rsidRDefault="00C709D1" w:rsidP="00257A7B">
            <w:pPr>
              <w:pStyle w:val="BodyText"/>
              <w:tabs>
                <w:tab w:val="clear" w:pos="4536"/>
                <w:tab w:val="clear" w:pos="6804"/>
                <w:tab w:val="clear" w:pos="9638"/>
                <w:tab w:val="left" w:pos="3065"/>
              </w:tabs>
              <w:jc w:val="both"/>
            </w:pPr>
          </w:p>
        </w:tc>
      </w:tr>
      <w:tr w:rsidR="00C709D1" w14:paraId="7715B62B" w14:textId="77777777" w:rsidTr="00257A7B">
        <w:tc>
          <w:tcPr>
            <w:tcW w:w="4513" w:type="dxa"/>
          </w:tcPr>
          <w:p w14:paraId="0B5CFDEC"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9860FB8" w14:textId="77777777" w:rsidR="00C709D1" w:rsidRDefault="00C709D1" w:rsidP="00257A7B">
            <w:pPr>
              <w:pStyle w:val="BodyText"/>
              <w:tabs>
                <w:tab w:val="clear" w:pos="4536"/>
                <w:tab w:val="clear" w:pos="6804"/>
                <w:tab w:val="clear" w:pos="9638"/>
                <w:tab w:val="left" w:pos="3065"/>
              </w:tabs>
              <w:jc w:val="both"/>
            </w:pPr>
            <w:r>
              <w:t>mar-vm-cpupercentage-01</w:t>
            </w:r>
          </w:p>
        </w:tc>
      </w:tr>
      <w:tr w:rsidR="00C709D1" w14:paraId="2E72C1B0" w14:textId="77777777" w:rsidTr="00257A7B">
        <w:tc>
          <w:tcPr>
            <w:tcW w:w="4513" w:type="dxa"/>
          </w:tcPr>
          <w:p w14:paraId="16FA95E5"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65538DA"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1B73AC4" w14:textId="77777777" w:rsidTr="00257A7B">
        <w:tc>
          <w:tcPr>
            <w:tcW w:w="4513" w:type="dxa"/>
          </w:tcPr>
          <w:p w14:paraId="037D432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785C3D8" w14:textId="77777777" w:rsidR="00C709D1" w:rsidRDefault="00C709D1" w:rsidP="00257A7B">
            <w:pPr>
              <w:pStyle w:val="BodyText"/>
              <w:tabs>
                <w:tab w:val="clear" w:pos="4536"/>
                <w:tab w:val="clear" w:pos="6804"/>
                <w:tab w:val="clear" w:pos="9638"/>
                <w:tab w:val="left" w:pos="3065"/>
              </w:tabs>
              <w:jc w:val="both"/>
            </w:pPr>
            <w:r>
              <w:t>Static</w:t>
            </w:r>
          </w:p>
        </w:tc>
      </w:tr>
      <w:tr w:rsidR="00C709D1" w14:paraId="7BFF5FA3" w14:textId="77777777" w:rsidTr="00257A7B">
        <w:tc>
          <w:tcPr>
            <w:tcW w:w="4513" w:type="dxa"/>
          </w:tcPr>
          <w:p w14:paraId="4D565070"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0358AD5C" w14:textId="77777777" w:rsidR="00C709D1" w:rsidRDefault="00C709D1" w:rsidP="00257A7B">
            <w:pPr>
              <w:pStyle w:val="BodyText"/>
              <w:tabs>
                <w:tab w:val="clear" w:pos="4536"/>
                <w:tab w:val="clear" w:pos="6804"/>
                <w:tab w:val="clear" w:pos="9638"/>
                <w:tab w:val="left" w:pos="3065"/>
              </w:tabs>
              <w:jc w:val="both"/>
            </w:pPr>
            <w:r>
              <w:t>80%</w:t>
            </w:r>
          </w:p>
        </w:tc>
      </w:tr>
      <w:tr w:rsidR="00C709D1" w14:paraId="7E985373" w14:textId="77777777" w:rsidTr="00257A7B">
        <w:tc>
          <w:tcPr>
            <w:tcW w:w="4513" w:type="dxa"/>
          </w:tcPr>
          <w:p w14:paraId="0F04D96B" w14:textId="77777777" w:rsidR="00C709D1" w:rsidRDefault="00C709D1" w:rsidP="00257A7B">
            <w:pPr>
              <w:pStyle w:val="BodyText"/>
              <w:tabs>
                <w:tab w:val="clear" w:pos="4536"/>
                <w:tab w:val="clear" w:pos="6804"/>
                <w:tab w:val="clear" w:pos="9638"/>
                <w:tab w:val="left" w:pos="3065"/>
              </w:tabs>
              <w:jc w:val="both"/>
            </w:pPr>
            <w:r>
              <w:rPr>
                <w:b/>
                <w:bCs/>
              </w:rPr>
              <w:t>CPU % Alert 2 Settings</w:t>
            </w:r>
          </w:p>
        </w:tc>
        <w:tc>
          <w:tcPr>
            <w:tcW w:w="4514" w:type="dxa"/>
          </w:tcPr>
          <w:p w14:paraId="4815923F" w14:textId="77777777" w:rsidR="00C709D1" w:rsidRDefault="00C709D1" w:rsidP="00257A7B">
            <w:pPr>
              <w:pStyle w:val="BodyText"/>
              <w:tabs>
                <w:tab w:val="clear" w:pos="4536"/>
                <w:tab w:val="clear" w:pos="6804"/>
                <w:tab w:val="clear" w:pos="9638"/>
                <w:tab w:val="left" w:pos="3065"/>
              </w:tabs>
              <w:jc w:val="both"/>
            </w:pPr>
          </w:p>
        </w:tc>
      </w:tr>
      <w:tr w:rsidR="00C709D1" w14:paraId="2697BFA9" w14:textId="77777777" w:rsidTr="00257A7B">
        <w:tc>
          <w:tcPr>
            <w:tcW w:w="4513" w:type="dxa"/>
          </w:tcPr>
          <w:p w14:paraId="34C6577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8155CD9" w14:textId="77777777" w:rsidR="00C709D1" w:rsidRDefault="00C709D1" w:rsidP="00257A7B">
            <w:pPr>
              <w:pStyle w:val="BodyText"/>
              <w:tabs>
                <w:tab w:val="clear" w:pos="4536"/>
                <w:tab w:val="clear" w:pos="6804"/>
                <w:tab w:val="clear" w:pos="9638"/>
                <w:tab w:val="left" w:pos="3065"/>
              </w:tabs>
              <w:jc w:val="both"/>
            </w:pPr>
            <w:r>
              <w:t>mar-vm-cpupercentage-02</w:t>
            </w:r>
          </w:p>
        </w:tc>
      </w:tr>
      <w:tr w:rsidR="00C709D1" w14:paraId="646C8327" w14:textId="77777777" w:rsidTr="00257A7B">
        <w:tc>
          <w:tcPr>
            <w:tcW w:w="4513" w:type="dxa"/>
          </w:tcPr>
          <w:p w14:paraId="26A06D2B" w14:textId="77777777" w:rsidR="00C709D1" w:rsidRDefault="00C709D1" w:rsidP="00257A7B">
            <w:pPr>
              <w:pStyle w:val="BodyText"/>
              <w:tabs>
                <w:tab w:val="clear" w:pos="4536"/>
                <w:tab w:val="clear" w:pos="6804"/>
                <w:tab w:val="clear" w:pos="9638"/>
                <w:tab w:val="left" w:pos="3065"/>
              </w:tabs>
              <w:jc w:val="both"/>
            </w:pPr>
            <w:r>
              <w:lastRenderedPageBreak/>
              <w:t>Severity</w:t>
            </w:r>
          </w:p>
        </w:tc>
        <w:tc>
          <w:tcPr>
            <w:tcW w:w="4514" w:type="dxa"/>
          </w:tcPr>
          <w:p w14:paraId="7388DBFE" w14:textId="77777777" w:rsidR="00C709D1" w:rsidRDefault="00C709D1" w:rsidP="00257A7B">
            <w:pPr>
              <w:pStyle w:val="BodyText"/>
              <w:tabs>
                <w:tab w:val="clear" w:pos="4536"/>
                <w:tab w:val="clear" w:pos="6804"/>
                <w:tab w:val="clear" w:pos="9638"/>
                <w:tab w:val="left" w:pos="3065"/>
              </w:tabs>
              <w:jc w:val="both"/>
            </w:pPr>
            <w:r>
              <w:t>0 – Critical</w:t>
            </w:r>
          </w:p>
        </w:tc>
      </w:tr>
      <w:tr w:rsidR="00C709D1" w14:paraId="6209A63A" w14:textId="77777777" w:rsidTr="00257A7B">
        <w:tc>
          <w:tcPr>
            <w:tcW w:w="4513" w:type="dxa"/>
          </w:tcPr>
          <w:p w14:paraId="31F04DF4"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AEB5AD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6CAD92" w14:textId="77777777" w:rsidTr="00257A7B">
        <w:tc>
          <w:tcPr>
            <w:tcW w:w="4513" w:type="dxa"/>
          </w:tcPr>
          <w:p w14:paraId="273AE619" w14:textId="77777777" w:rsidR="00C709D1" w:rsidRDefault="00C709D1" w:rsidP="00257A7B">
            <w:pPr>
              <w:pStyle w:val="BodyText"/>
              <w:tabs>
                <w:tab w:val="clear" w:pos="4536"/>
                <w:tab w:val="clear" w:pos="6804"/>
                <w:tab w:val="clear" w:pos="9638"/>
                <w:tab w:val="left" w:pos="3065"/>
              </w:tabs>
              <w:jc w:val="both"/>
            </w:pPr>
            <w:r>
              <w:t>Value greater than</w:t>
            </w:r>
          </w:p>
        </w:tc>
        <w:tc>
          <w:tcPr>
            <w:tcW w:w="4514" w:type="dxa"/>
          </w:tcPr>
          <w:p w14:paraId="199A1D8F" w14:textId="77777777" w:rsidR="00C709D1" w:rsidRDefault="00C709D1" w:rsidP="00257A7B">
            <w:pPr>
              <w:pStyle w:val="BodyText"/>
              <w:tabs>
                <w:tab w:val="clear" w:pos="4536"/>
                <w:tab w:val="clear" w:pos="6804"/>
                <w:tab w:val="clear" w:pos="9638"/>
                <w:tab w:val="left" w:pos="3065"/>
              </w:tabs>
              <w:jc w:val="both"/>
            </w:pPr>
            <w:r>
              <w:t>90%</w:t>
            </w:r>
          </w:p>
        </w:tc>
      </w:tr>
      <w:tr w:rsidR="00C709D1" w14:paraId="43CDE03F" w14:textId="77777777" w:rsidTr="00257A7B">
        <w:tc>
          <w:tcPr>
            <w:tcW w:w="4513" w:type="dxa"/>
          </w:tcPr>
          <w:p w14:paraId="0C4BA3D7" w14:textId="77777777" w:rsidR="00C709D1" w:rsidRPr="004D7079" w:rsidRDefault="00C709D1" w:rsidP="00257A7B">
            <w:pPr>
              <w:pStyle w:val="BodyText"/>
              <w:tabs>
                <w:tab w:val="clear" w:pos="4536"/>
                <w:tab w:val="clear" w:pos="6804"/>
                <w:tab w:val="clear" w:pos="9638"/>
                <w:tab w:val="left" w:pos="3065"/>
              </w:tabs>
              <w:jc w:val="both"/>
              <w:rPr>
                <w:b/>
                <w:bCs/>
              </w:rPr>
            </w:pPr>
            <w:r>
              <w:rPr>
                <w:b/>
                <w:bCs/>
              </w:rPr>
              <w:t xml:space="preserve">Available Memory </w:t>
            </w:r>
            <w:r w:rsidRPr="004D7079">
              <w:rPr>
                <w:b/>
                <w:bCs/>
              </w:rPr>
              <w:t>Alert</w:t>
            </w:r>
            <w:r>
              <w:rPr>
                <w:b/>
                <w:bCs/>
              </w:rPr>
              <w:t xml:space="preserve"> Settings</w:t>
            </w:r>
          </w:p>
        </w:tc>
        <w:tc>
          <w:tcPr>
            <w:tcW w:w="4514" w:type="dxa"/>
          </w:tcPr>
          <w:p w14:paraId="4CD934DD" w14:textId="77777777" w:rsidR="00C709D1" w:rsidRDefault="00C709D1" w:rsidP="00257A7B">
            <w:pPr>
              <w:pStyle w:val="BodyText"/>
              <w:tabs>
                <w:tab w:val="clear" w:pos="4536"/>
                <w:tab w:val="clear" w:pos="6804"/>
                <w:tab w:val="clear" w:pos="9638"/>
                <w:tab w:val="left" w:pos="3065"/>
              </w:tabs>
              <w:jc w:val="both"/>
            </w:pPr>
          </w:p>
        </w:tc>
      </w:tr>
      <w:tr w:rsidR="00C709D1" w:rsidRPr="0022449F" w14:paraId="20F0C361" w14:textId="77777777" w:rsidTr="00257A7B">
        <w:tc>
          <w:tcPr>
            <w:tcW w:w="4513" w:type="dxa"/>
          </w:tcPr>
          <w:p w14:paraId="4C20A22F"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AFAC1FD" w14:textId="77777777" w:rsidR="00C709D1" w:rsidRPr="0022449F" w:rsidRDefault="00C709D1" w:rsidP="00257A7B">
            <w:pPr>
              <w:pStyle w:val="BodyText"/>
              <w:tabs>
                <w:tab w:val="clear" w:pos="4536"/>
                <w:tab w:val="clear" w:pos="6804"/>
                <w:tab w:val="clear" w:pos="9638"/>
                <w:tab w:val="left" w:pos="3065"/>
              </w:tabs>
              <w:jc w:val="both"/>
            </w:pPr>
            <w:r>
              <w:t>mar-vm-availablememory-01</w:t>
            </w:r>
          </w:p>
        </w:tc>
      </w:tr>
      <w:tr w:rsidR="00C709D1" w14:paraId="5BDCCFDD" w14:textId="77777777" w:rsidTr="00257A7B">
        <w:tc>
          <w:tcPr>
            <w:tcW w:w="4513" w:type="dxa"/>
          </w:tcPr>
          <w:p w14:paraId="4F842A1E"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509E7D"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65EEBE72" w14:textId="77777777" w:rsidTr="00257A7B">
        <w:tc>
          <w:tcPr>
            <w:tcW w:w="4513" w:type="dxa"/>
          </w:tcPr>
          <w:p w14:paraId="411F42CD"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752936E" w14:textId="77777777" w:rsidR="00C709D1" w:rsidRDefault="00C709D1" w:rsidP="00257A7B">
            <w:pPr>
              <w:pStyle w:val="BodyText"/>
              <w:tabs>
                <w:tab w:val="clear" w:pos="4536"/>
                <w:tab w:val="clear" w:pos="6804"/>
                <w:tab w:val="clear" w:pos="9638"/>
                <w:tab w:val="left" w:pos="3065"/>
              </w:tabs>
              <w:jc w:val="both"/>
            </w:pPr>
            <w:r>
              <w:t>Static</w:t>
            </w:r>
          </w:p>
        </w:tc>
      </w:tr>
      <w:tr w:rsidR="00C709D1" w14:paraId="58DCF810" w14:textId="77777777" w:rsidTr="00257A7B">
        <w:tc>
          <w:tcPr>
            <w:tcW w:w="4513" w:type="dxa"/>
          </w:tcPr>
          <w:p w14:paraId="130D134D" w14:textId="77777777" w:rsidR="00C709D1" w:rsidRDefault="00C709D1" w:rsidP="00257A7B">
            <w:pPr>
              <w:pStyle w:val="BodyText"/>
              <w:tabs>
                <w:tab w:val="clear" w:pos="4536"/>
                <w:tab w:val="clear" w:pos="6804"/>
                <w:tab w:val="clear" w:pos="9638"/>
                <w:tab w:val="left" w:pos="3065"/>
              </w:tabs>
              <w:jc w:val="both"/>
            </w:pPr>
            <w:r>
              <w:t>Value less than</w:t>
            </w:r>
          </w:p>
        </w:tc>
        <w:tc>
          <w:tcPr>
            <w:tcW w:w="4514" w:type="dxa"/>
          </w:tcPr>
          <w:p w14:paraId="77AA3C6C" w14:textId="77777777" w:rsidR="00C709D1" w:rsidRDefault="00C709D1" w:rsidP="00257A7B">
            <w:pPr>
              <w:pStyle w:val="BodyText"/>
              <w:tabs>
                <w:tab w:val="clear" w:pos="4536"/>
                <w:tab w:val="clear" w:pos="6804"/>
                <w:tab w:val="clear" w:pos="9638"/>
                <w:tab w:val="left" w:pos="3065"/>
              </w:tabs>
              <w:jc w:val="both"/>
            </w:pPr>
            <w:r>
              <w:t>1 GB</w:t>
            </w:r>
          </w:p>
        </w:tc>
      </w:tr>
      <w:tr w:rsidR="00C709D1" w14:paraId="7C605F71" w14:textId="77777777" w:rsidTr="00257A7B">
        <w:tc>
          <w:tcPr>
            <w:tcW w:w="4513" w:type="dxa"/>
          </w:tcPr>
          <w:p w14:paraId="30256F55" w14:textId="77777777" w:rsidR="00C709D1" w:rsidRPr="00667859" w:rsidRDefault="00C709D1" w:rsidP="00257A7B">
            <w:pPr>
              <w:pStyle w:val="BodyText"/>
              <w:tabs>
                <w:tab w:val="clear" w:pos="4536"/>
                <w:tab w:val="clear" w:pos="6804"/>
                <w:tab w:val="clear" w:pos="9638"/>
                <w:tab w:val="left" w:pos="3065"/>
              </w:tabs>
              <w:jc w:val="both"/>
              <w:rPr>
                <w:b/>
                <w:bCs/>
              </w:rPr>
            </w:pPr>
            <w:r w:rsidRPr="00667859">
              <w:rPr>
                <w:b/>
                <w:bCs/>
              </w:rPr>
              <w:t>Data Disk IOPS Alert Settings</w:t>
            </w:r>
          </w:p>
        </w:tc>
        <w:tc>
          <w:tcPr>
            <w:tcW w:w="4514" w:type="dxa"/>
          </w:tcPr>
          <w:p w14:paraId="272CCA7A" w14:textId="77777777" w:rsidR="00C709D1" w:rsidRDefault="00C709D1" w:rsidP="00257A7B">
            <w:pPr>
              <w:pStyle w:val="BodyText"/>
              <w:tabs>
                <w:tab w:val="clear" w:pos="4536"/>
                <w:tab w:val="clear" w:pos="6804"/>
                <w:tab w:val="clear" w:pos="9638"/>
                <w:tab w:val="left" w:pos="3065"/>
              </w:tabs>
              <w:jc w:val="both"/>
            </w:pPr>
          </w:p>
        </w:tc>
      </w:tr>
      <w:tr w:rsidR="00C709D1" w14:paraId="3509550C" w14:textId="77777777" w:rsidTr="00257A7B">
        <w:tc>
          <w:tcPr>
            <w:tcW w:w="4513" w:type="dxa"/>
          </w:tcPr>
          <w:p w14:paraId="183A69F0"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13FEE7A5" w14:textId="77777777" w:rsidR="00C709D1" w:rsidRDefault="00C709D1" w:rsidP="00257A7B">
            <w:pPr>
              <w:pStyle w:val="BodyText"/>
              <w:tabs>
                <w:tab w:val="clear" w:pos="4536"/>
                <w:tab w:val="clear" w:pos="6804"/>
                <w:tab w:val="clear" w:pos="9638"/>
                <w:tab w:val="left" w:pos="3065"/>
              </w:tabs>
              <w:jc w:val="both"/>
            </w:pPr>
            <w:r>
              <w:t>mar-vm-datadiskiops-01</w:t>
            </w:r>
          </w:p>
        </w:tc>
      </w:tr>
      <w:tr w:rsidR="00C709D1" w14:paraId="7C367490" w14:textId="77777777" w:rsidTr="00257A7B">
        <w:tc>
          <w:tcPr>
            <w:tcW w:w="4513" w:type="dxa"/>
          </w:tcPr>
          <w:p w14:paraId="4210785D"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0CE65ACF"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28A937D" w14:textId="77777777" w:rsidTr="00257A7B">
        <w:tc>
          <w:tcPr>
            <w:tcW w:w="4513" w:type="dxa"/>
          </w:tcPr>
          <w:p w14:paraId="5022AF7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DB1A16C" w14:textId="77777777" w:rsidR="00C709D1" w:rsidRDefault="00C709D1" w:rsidP="00257A7B">
            <w:pPr>
              <w:pStyle w:val="BodyText"/>
              <w:tabs>
                <w:tab w:val="clear" w:pos="4536"/>
                <w:tab w:val="clear" w:pos="6804"/>
                <w:tab w:val="clear" w:pos="9638"/>
                <w:tab w:val="left" w:pos="3065"/>
              </w:tabs>
              <w:jc w:val="both"/>
            </w:pPr>
            <w:r>
              <w:t>Static</w:t>
            </w:r>
          </w:p>
        </w:tc>
      </w:tr>
      <w:tr w:rsidR="00C709D1" w14:paraId="4FA5DD45" w14:textId="77777777" w:rsidTr="00257A7B">
        <w:tc>
          <w:tcPr>
            <w:tcW w:w="4513" w:type="dxa"/>
          </w:tcPr>
          <w:p w14:paraId="1948E16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1BFCE33A" w14:textId="77777777" w:rsidR="00C709D1" w:rsidRDefault="00C709D1" w:rsidP="00257A7B">
            <w:pPr>
              <w:pStyle w:val="BodyText"/>
              <w:tabs>
                <w:tab w:val="clear" w:pos="4536"/>
                <w:tab w:val="clear" w:pos="6804"/>
                <w:tab w:val="clear" w:pos="9638"/>
                <w:tab w:val="left" w:pos="3065"/>
              </w:tabs>
              <w:jc w:val="both"/>
            </w:pPr>
            <w:r>
              <w:t>90%</w:t>
            </w:r>
          </w:p>
        </w:tc>
      </w:tr>
      <w:tr w:rsidR="00C709D1" w14:paraId="482F19FF" w14:textId="77777777" w:rsidTr="00257A7B">
        <w:tc>
          <w:tcPr>
            <w:tcW w:w="4513" w:type="dxa"/>
          </w:tcPr>
          <w:p w14:paraId="2926788F" w14:textId="77777777" w:rsidR="00C709D1" w:rsidRDefault="00C709D1" w:rsidP="00257A7B">
            <w:pPr>
              <w:pStyle w:val="BodyText"/>
              <w:tabs>
                <w:tab w:val="clear" w:pos="4536"/>
                <w:tab w:val="clear" w:pos="6804"/>
                <w:tab w:val="clear" w:pos="9638"/>
                <w:tab w:val="left" w:pos="3065"/>
              </w:tabs>
              <w:jc w:val="both"/>
            </w:pPr>
            <w:r>
              <w:rPr>
                <w:b/>
                <w:bCs/>
              </w:rPr>
              <w:t xml:space="preserve">OS Disk </w:t>
            </w:r>
            <w:r w:rsidRPr="00667859">
              <w:rPr>
                <w:b/>
                <w:bCs/>
              </w:rPr>
              <w:t>IOPS Alert Settings</w:t>
            </w:r>
          </w:p>
        </w:tc>
        <w:tc>
          <w:tcPr>
            <w:tcW w:w="4514" w:type="dxa"/>
          </w:tcPr>
          <w:p w14:paraId="43EBCD48" w14:textId="77777777" w:rsidR="00C709D1" w:rsidRDefault="00C709D1" w:rsidP="00257A7B">
            <w:pPr>
              <w:pStyle w:val="BodyText"/>
              <w:tabs>
                <w:tab w:val="clear" w:pos="4536"/>
                <w:tab w:val="clear" w:pos="6804"/>
                <w:tab w:val="clear" w:pos="9638"/>
                <w:tab w:val="left" w:pos="3065"/>
              </w:tabs>
              <w:jc w:val="both"/>
            </w:pPr>
          </w:p>
        </w:tc>
      </w:tr>
      <w:tr w:rsidR="00C709D1" w14:paraId="64007C78" w14:textId="77777777" w:rsidTr="00257A7B">
        <w:tc>
          <w:tcPr>
            <w:tcW w:w="4513" w:type="dxa"/>
          </w:tcPr>
          <w:p w14:paraId="5205397B"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D7B0877" w14:textId="77777777" w:rsidR="00C709D1" w:rsidRDefault="00C709D1" w:rsidP="00257A7B">
            <w:pPr>
              <w:pStyle w:val="BodyText"/>
              <w:tabs>
                <w:tab w:val="clear" w:pos="4536"/>
                <w:tab w:val="clear" w:pos="6804"/>
                <w:tab w:val="clear" w:pos="9638"/>
                <w:tab w:val="left" w:pos="3065"/>
              </w:tabs>
              <w:jc w:val="both"/>
            </w:pPr>
            <w:r>
              <w:t>mar-vm-osdiskiops-01</w:t>
            </w:r>
          </w:p>
        </w:tc>
      </w:tr>
      <w:tr w:rsidR="00C709D1" w14:paraId="093906FA" w14:textId="77777777" w:rsidTr="00257A7B">
        <w:tc>
          <w:tcPr>
            <w:tcW w:w="4513" w:type="dxa"/>
          </w:tcPr>
          <w:p w14:paraId="01B3ED20"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E9C9CD2"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4FA4EEC1" w14:textId="77777777" w:rsidTr="00257A7B">
        <w:tc>
          <w:tcPr>
            <w:tcW w:w="4513" w:type="dxa"/>
          </w:tcPr>
          <w:p w14:paraId="6BCD5166"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3EB8B92E" w14:textId="77777777" w:rsidR="00C709D1" w:rsidRDefault="00C709D1" w:rsidP="00257A7B">
            <w:pPr>
              <w:pStyle w:val="BodyText"/>
              <w:tabs>
                <w:tab w:val="clear" w:pos="4536"/>
                <w:tab w:val="clear" w:pos="6804"/>
                <w:tab w:val="clear" w:pos="9638"/>
                <w:tab w:val="left" w:pos="3065"/>
              </w:tabs>
              <w:jc w:val="both"/>
            </w:pPr>
            <w:r>
              <w:t>Static</w:t>
            </w:r>
          </w:p>
        </w:tc>
      </w:tr>
      <w:tr w:rsidR="00C709D1" w14:paraId="48CF1860" w14:textId="77777777" w:rsidTr="00257A7B">
        <w:tc>
          <w:tcPr>
            <w:tcW w:w="4513" w:type="dxa"/>
          </w:tcPr>
          <w:p w14:paraId="0568422D" w14:textId="77777777" w:rsidR="00C709D1" w:rsidRDefault="00C709D1" w:rsidP="00257A7B">
            <w:pPr>
              <w:pStyle w:val="BodyText"/>
              <w:tabs>
                <w:tab w:val="clear" w:pos="4536"/>
                <w:tab w:val="clear" w:pos="6804"/>
                <w:tab w:val="clear" w:pos="9638"/>
                <w:tab w:val="left" w:pos="3065"/>
              </w:tabs>
              <w:jc w:val="both"/>
            </w:pPr>
            <w:r>
              <w:t>Value consumed greater than</w:t>
            </w:r>
          </w:p>
        </w:tc>
        <w:tc>
          <w:tcPr>
            <w:tcW w:w="4514" w:type="dxa"/>
          </w:tcPr>
          <w:p w14:paraId="0BBF6695" w14:textId="77777777" w:rsidR="00C709D1" w:rsidRDefault="00C709D1" w:rsidP="00257A7B">
            <w:pPr>
              <w:pStyle w:val="BodyText"/>
              <w:tabs>
                <w:tab w:val="clear" w:pos="4536"/>
                <w:tab w:val="clear" w:pos="6804"/>
                <w:tab w:val="clear" w:pos="9638"/>
                <w:tab w:val="left" w:pos="3065"/>
              </w:tabs>
              <w:jc w:val="both"/>
            </w:pPr>
            <w:r>
              <w:t>90%</w:t>
            </w:r>
          </w:p>
        </w:tc>
      </w:tr>
      <w:tr w:rsidR="00C709D1" w14:paraId="17E25722" w14:textId="77777777" w:rsidTr="00257A7B">
        <w:tc>
          <w:tcPr>
            <w:tcW w:w="4513" w:type="dxa"/>
          </w:tcPr>
          <w:p w14:paraId="4BE70832" w14:textId="77777777" w:rsidR="00C709D1" w:rsidRDefault="00C709D1" w:rsidP="00257A7B">
            <w:pPr>
              <w:pStyle w:val="BodyText"/>
              <w:tabs>
                <w:tab w:val="clear" w:pos="4536"/>
                <w:tab w:val="clear" w:pos="6804"/>
                <w:tab w:val="clear" w:pos="9638"/>
                <w:tab w:val="left" w:pos="3065"/>
              </w:tabs>
              <w:jc w:val="both"/>
            </w:pPr>
            <w:r>
              <w:rPr>
                <w:b/>
                <w:bCs/>
              </w:rPr>
              <w:t xml:space="preserve">Network In Total </w:t>
            </w:r>
            <w:r w:rsidRPr="00667859">
              <w:rPr>
                <w:b/>
                <w:bCs/>
              </w:rPr>
              <w:t>Alert Settings</w:t>
            </w:r>
          </w:p>
        </w:tc>
        <w:tc>
          <w:tcPr>
            <w:tcW w:w="4514" w:type="dxa"/>
          </w:tcPr>
          <w:p w14:paraId="79324086" w14:textId="77777777" w:rsidR="00C709D1" w:rsidRDefault="00C709D1" w:rsidP="00257A7B">
            <w:pPr>
              <w:pStyle w:val="BodyText"/>
              <w:tabs>
                <w:tab w:val="clear" w:pos="4536"/>
                <w:tab w:val="clear" w:pos="6804"/>
                <w:tab w:val="clear" w:pos="9638"/>
                <w:tab w:val="left" w:pos="3065"/>
              </w:tabs>
              <w:jc w:val="both"/>
            </w:pPr>
          </w:p>
        </w:tc>
      </w:tr>
      <w:tr w:rsidR="00C709D1" w14:paraId="7F6743FC" w14:textId="77777777" w:rsidTr="00257A7B">
        <w:tc>
          <w:tcPr>
            <w:tcW w:w="4513" w:type="dxa"/>
          </w:tcPr>
          <w:p w14:paraId="61356FF8"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5A1554E9" w14:textId="77777777" w:rsidR="00C709D1" w:rsidRDefault="00C709D1" w:rsidP="00257A7B">
            <w:pPr>
              <w:pStyle w:val="BodyText"/>
              <w:tabs>
                <w:tab w:val="clear" w:pos="4536"/>
                <w:tab w:val="clear" w:pos="6804"/>
                <w:tab w:val="clear" w:pos="9638"/>
                <w:tab w:val="left" w:pos="3065"/>
              </w:tabs>
              <w:jc w:val="both"/>
            </w:pPr>
            <w:r>
              <w:t>mar-vm-networkintotal-01</w:t>
            </w:r>
          </w:p>
        </w:tc>
      </w:tr>
      <w:tr w:rsidR="00C709D1" w14:paraId="4C297999" w14:textId="77777777" w:rsidTr="00257A7B">
        <w:tc>
          <w:tcPr>
            <w:tcW w:w="4513" w:type="dxa"/>
          </w:tcPr>
          <w:p w14:paraId="37A816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67330F1"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9E81D4" w14:textId="77777777" w:rsidTr="00257A7B">
        <w:tc>
          <w:tcPr>
            <w:tcW w:w="4513" w:type="dxa"/>
          </w:tcPr>
          <w:p w14:paraId="6E2AB992"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781E11D1" w14:textId="77777777" w:rsidR="00C709D1" w:rsidRDefault="00C709D1" w:rsidP="00257A7B">
            <w:pPr>
              <w:pStyle w:val="BodyText"/>
              <w:tabs>
                <w:tab w:val="clear" w:pos="4536"/>
                <w:tab w:val="clear" w:pos="6804"/>
                <w:tab w:val="clear" w:pos="9638"/>
                <w:tab w:val="left" w:pos="3065"/>
              </w:tabs>
              <w:jc w:val="both"/>
            </w:pPr>
            <w:r>
              <w:t>Static</w:t>
            </w:r>
          </w:p>
        </w:tc>
      </w:tr>
      <w:tr w:rsidR="00C709D1" w14:paraId="69CC306F" w14:textId="77777777" w:rsidTr="00257A7B">
        <w:tc>
          <w:tcPr>
            <w:tcW w:w="4513" w:type="dxa"/>
          </w:tcPr>
          <w:p w14:paraId="3FE76214"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2AAA7EB8"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Will vary depending on machine. Select a value 10% higher than average Network In values over time.</w:t>
            </w:r>
            <w:r>
              <w:t xml:space="preserve">  </w:t>
            </w:r>
          </w:p>
        </w:tc>
      </w:tr>
      <w:tr w:rsidR="00C709D1" w14:paraId="060E8AF0" w14:textId="77777777" w:rsidTr="00257A7B">
        <w:tc>
          <w:tcPr>
            <w:tcW w:w="4513" w:type="dxa"/>
          </w:tcPr>
          <w:p w14:paraId="596AF920" w14:textId="77777777" w:rsidR="00C709D1" w:rsidRDefault="00C709D1" w:rsidP="00257A7B">
            <w:pPr>
              <w:pStyle w:val="BodyText"/>
              <w:tabs>
                <w:tab w:val="clear" w:pos="4536"/>
                <w:tab w:val="clear" w:pos="6804"/>
                <w:tab w:val="clear" w:pos="9638"/>
                <w:tab w:val="left" w:pos="3065"/>
              </w:tabs>
              <w:jc w:val="both"/>
            </w:pPr>
            <w:r>
              <w:rPr>
                <w:b/>
                <w:bCs/>
              </w:rPr>
              <w:t xml:space="preserve">Network Out Total </w:t>
            </w:r>
            <w:r w:rsidRPr="00667859">
              <w:rPr>
                <w:b/>
                <w:bCs/>
              </w:rPr>
              <w:t>Alert Settings</w:t>
            </w:r>
          </w:p>
        </w:tc>
        <w:tc>
          <w:tcPr>
            <w:tcW w:w="4514" w:type="dxa"/>
          </w:tcPr>
          <w:p w14:paraId="77E4228E" w14:textId="77777777" w:rsidR="00C709D1" w:rsidRDefault="00C709D1" w:rsidP="00257A7B">
            <w:pPr>
              <w:pStyle w:val="BodyText"/>
              <w:tabs>
                <w:tab w:val="clear" w:pos="4536"/>
                <w:tab w:val="clear" w:pos="6804"/>
                <w:tab w:val="clear" w:pos="9638"/>
                <w:tab w:val="left" w:pos="3065"/>
              </w:tabs>
              <w:jc w:val="both"/>
            </w:pPr>
          </w:p>
        </w:tc>
      </w:tr>
      <w:tr w:rsidR="00C709D1" w14:paraId="22FB7AA3" w14:textId="77777777" w:rsidTr="00257A7B">
        <w:tc>
          <w:tcPr>
            <w:tcW w:w="4513" w:type="dxa"/>
          </w:tcPr>
          <w:p w14:paraId="76F4DBA5"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2A9B4D91" w14:textId="77777777" w:rsidR="00C709D1" w:rsidRDefault="00C709D1" w:rsidP="00257A7B">
            <w:pPr>
              <w:pStyle w:val="BodyText"/>
              <w:tabs>
                <w:tab w:val="clear" w:pos="4536"/>
                <w:tab w:val="clear" w:pos="6804"/>
                <w:tab w:val="clear" w:pos="9638"/>
                <w:tab w:val="left" w:pos="3065"/>
              </w:tabs>
              <w:jc w:val="both"/>
            </w:pPr>
            <w:r>
              <w:t>mar-vm-networkouttotal-01</w:t>
            </w:r>
          </w:p>
        </w:tc>
      </w:tr>
      <w:tr w:rsidR="00C709D1" w14:paraId="20532C15" w14:textId="77777777" w:rsidTr="00257A7B">
        <w:tc>
          <w:tcPr>
            <w:tcW w:w="4513" w:type="dxa"/>
          </w:tcPr>
          <w:p w14:paraId="249C7338"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0FCE112"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0685F338" w14:textId="77777777" w:rsidTr="00257A7B">
        <w:tc>
          <w:tcPr>
            <w:tcW w:w="4513" w:type="dxa"/>
          </w:tcPr>
          <w:p w14:paraId="31CEF27A"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B390BC8" w14:textId="77777777" w:rsidR="00C709D1" w:rsidRDefault="00C709D1" w:rsidP="00257A7B">
            <w:pPr>
              <w:pStyle w:val="BodyText"/>
              <w:tabs>
                <w:tab w:val="clear" w:pos="4536"/>
                <w:tab w:val="clear" w:pos="6804"/>
                <w:tab w:val="clear" w:pos="9638"/>
                <w:tab w:val="left" w:pos="3065"/>
              </w:tabs>
              <w:jc w:val="both"/>
            </w:pPr>
            <w:r>
              <w:t>Static</w:t>
            </w:r>
          </w:p>
        </w:tc>
      </w:tr>
      <w:tr w:rsidR="00C709D1" w14:paraId="5C8DF037" w14:textId="77777777" w:rsidTr="00257A7B">
        <w:tc>
          <w:tcPr>
            <w:tcW w:w="4513" w:type="dxa"/>
          </w:tcPr>
          <w:p w14:paraId="5BD04CAF" w14:textId="77777777" w:rsidR="00C709D1" w:rsidRDefault="00C709D1" w:rsidP="00257A7B">
            <w:pPr>
              <w:pStyle w:val="BodyText"/>
              <w:tabs>
                <w:tab w:val="clear" w:pos="4536"/>
                <w:tab w:val="clear" w:pos="6804"/>
                <w:tab w:val="clear" w:pos="9638"/>
                <w:tab w:val="left" w:pos="3065"/>
              </w:tabs>
              <w:jc w:val="both"/>
            </w:pPr>
            <w:r>
              <w:t>Value in greater than</w:t>
            </w:r>
          </w:p>
        </w:tc>
        <w:tc>
          <w:tcPr>
            <w:tcW w:w="4514" w:type="dxa"/>
          </w:tcPr>
          <w:p w14:paraId="611ACF42" w14:textId="77777777" w:rsidR="00C709D1" w:rsidRDefault="00C709D1" w:rsidP="00257A7B">
            <w:pPr>
              <w:pStyle w:val="BodyText"/>
              <w:tabs>
                <w:tab w:val="clear" w:pos="4536"/>
                <w:tab w:val="clear" w:pos="6804"/>
                <w:tab w:val="clear" w:pos="9638"/>
                <w:tab w:val="left" w:pos="3065"/>
              </w:tabs>
              <w:ind w:left="0"/>
              <w:jc w:val="both"/>
            </w:pPr>
            <w:r w:rsidRPr="00316C1A">
              <w:rPr>
                <w:highlight w:val="yellow"/>
              </w:rPr>
              <w:t xml:space="preserve">Will vary depending on machine. Select a value 10% higher than average Network </w:t>
            </w:r>
            <w:r>
              <w:rPr>
                <w:highlight w:val="yellow"/>
              </w:rPr>
              <w:t>Out</w:t>
            </w:r>
            <w:r w:rsidRPr="00316C1A">
              <w:rPr>
                <w:highlight w:val="yellow"/>
              </w:rPr>
              <w:t xml:space="preserve"> values over time.</w:t>
            </w:r>
            <w:r>
              <w:t xml:space="preserve">  </w:t>
            </w:r>
          </w:p>
        </w:tc>
      </w:tr>
      <w:tr w:rsidR="00C709D1" w14:paraId="36F6B610" w14:textId="77777777" w:rsidTr="00257A7B">
        <w:tc>
          <w:tcPr>
            <w:tcW w:w="4513" w:type="dxa"/>
          </w:tcPr>
          <w:p w14:paraId="4C4554A2" w14:textId="77777777" w:rsidR="00C709D1" w:rsidRPr="001D0033" w:rsidRDefault="00C709D1" w:rsidP="00257A7B">
            <w:pPr>
              <w:pStyle w:val="BodyText"/>
              <w:tabs>
                <w:tab w:val="clear" w:pos="4536"/>
                <w:tab w:val="clear" w:pos="6804"/>
                <w:tab w:val="clear" w:pos="9638"/>
                <w:tab w:val="left" w:pos="3065"/>
              </w:tabs>
              <w:jc w:val="both"/>
              <w:rPr>
                <w:b/>
                <w:bCs/>
              </w:rPr>
            </w:pPr>
            <w:r w:rsidRPr="001D0033">
              <w:rPr>
                <w:b/>
                <w:bCs/>
              </w:rPr>
              <w:t>V</w:t>
            </w:r>
            <w:r>
              <w:rPr>
                <w:b/>
                <w:bCs/>
              </w:rPr>
              <w:t>M</w:t>
            </w:r>
            <w:r w:rsidRPr="001D0033">
              <w:rPr>
                <w:b/>
                <w:bCs/>
              </w:rPr>
              <w:t xml:space="preserve"> Availability</w:t>
            </w:r>
          </w:p>
        </w:tc>
        <w:tc>
          <w:tcPr>
            <w:tcW w:w="4514" w:type="dxa"/>
          </w:tcPr>
          <w:p w14:paraId="1ACC9ED9" w14:textId="77777777" w:rsidR="00C709D1" w:rsidRPr="00316C1A" w:rsidRDefault="00C709D1" w:rsidP="00257A7B">
            <w:pPr>
              <w:pStyle w:val="BodyText"/>
              <w:tabs>
                <w:tab w:val="clear" w:pos="4536"/>
                <w:tab w:val="clear" w:pos="6804"/>
                <w:tab w:val="clear" w:pos="9638"/>
                <w:tab w:val="left" w:pos="3065"/>
              </w:tabs>
              <w:jc w:val="both"/>
              <w:rPr>
                <w:highlight w:val="yellow"/>
              </w:rPr>
            </w:pPr>
          </w:p>
        </w:tc>
      </w:tr>
      <w:tr w:rsidR="00C709D1" w14:paraId="59485B6B" w14:textId="77777777" w:rsidTr="00257A7B">
        <w:tc>
          <w:tcPr>
            <w:tcW w:w="4513" w:type="dxa"/>
          </w:tcPr>
          <w:p w14:paraId="31B34560" w14:textId="77777777" w:rsidR="00C709D1" w:rsidRDefault="00C709D1" w:rsidP="00257A7B">
            <w:pPr>
              <w:pStyle w:val="BodyText"/>
              <w:tabs>
                <w:tab w:val="clear" w:pos="4536"/>
                <w:tab w:val="clear" w:pos="6804"/>
                <w:tab w:val="clear" w:pos="9638"/>
                <w:tab w:val="left" w:pos="3065"/>
              </w:tabs>
              <w:jc w:val="both"/>
            </w:pPr>
            <w:r>
              <w:lastRenderedPageBreak/>
              <w:t>Alert Rule Name</w:t>
            </w:r>
          </w:p>
        </w:tc>
        <w:tc>
          <w:tcPr>
            <w:tcW w:w="4514" w:type="dxa"/>
          </w:tcPr>
          <w:p w14:paraId="45794B3E" w14:textId="77777777" w:rsidR="00C709D1" w:rsidRPr="00316C1A" w:rsidRDefault="00C709D1" w:rsidP="00257A7B">
            <w:pPr>
              <w:pStyle w:val="BodyText"/>
              <w:tabs>
                <w:tab w:val="clear" w:pos="4536"/>
                <w:tab w:val="clear" w:pos="6804"/>
                <w:tab w:val="clear" w:pos="9638"/>
                <w:tab w:val="left" w:pos="3065"/>
              </w:tabs>
              <w:jc w:val="both"/>
              <w:rPr>
                <w:highlight w:val="yellow"/>
              </w:rPr>
            </w:pPr>
            <w:r>
              <w:t>mar-vm-availability-01</w:t>
            </w:r>
          </w:p>
        </w:tc>
      </w:tr>
      <w:tr w:rsidR="00C709D1" w14:paraId="06459EED" w14:textId="77777777" w:rsidTr="00257A7B">
        <w:tc>
          <w:tcPr>
            <w:tcW w:w="4513" w:type="dxa"/>
          </w:tcPr>
          <w:p w14:paraId="47E8062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2B41617C" w14:textId="77777777" w:rsidR="00C709D1" w:rsidRPr="00316C1A" w:rsidRDefault="00C709D1" w:rsidP="00257A7B">
            <w:pPr>
              <w:pStyle w:val="BodyText"/>
              <w:tabs>
                <w:tab w:val="clear" w:pos="4536"/>
                <w:tab w:val="clear" w:pos="6804"/>
                <w:tab w:val="clear" w:pos="9638"/>
                <w:tab w:val="left" w:pos="3065"/>
              </w:tabs>
              <w:jc w:val="both"/>
              <w:rPr>
                <w:highlight w:val="yellow"/>
              </w:rPr>
            </w:pPr>
            <w:r>
              <w:t>0 – Critical</w:t>
            </w:r>
          </w:p>
        </w:tc>
      </w:tr>
      <w:tr w:rsidR="00C709D1" w14:paraId="7959BBF4" w14:textId="77777777" w:rsidTr="00257A7B">
        <w:tc>
          <w:tcPr>
            <w:tcW w:w="4513" w:type="dxa"/>
          </w:tcPr>
          <w:p w14:paraId="37EEAB83"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5A368A05" w14:textId="77777777" w:rsidR="00C709D1" w:rsidRPr="00316C1A" w:rsidRDefault="00C709D1" w:rsidP="00257A7B">
            <w:pPr>
              <w:pStyle w:val="BodyText"/>
              <w:tabs>
                <w:tab w:val="clear" w:pos="4536"/>
                <w:tab w:val="clear" w:pos="6804"/>
                <w:tab w:val="clear" w:pos="9638"/>
                <w:tab w:val="left" w:pos="3065"/>
              </w:tabs>
              <w:jc w:val="both"/>
              <w:rPr>
                <w:highlight w:val="yellow"/>
              </w:rPr>
            </w:pPr>
            <w:r>
              <w:t>Static</w:t>
            </w:r>
          </w:p>
        </w:tc>
      </w:tr>
      <w:tr w:rsidR="00C709D1" w14:paraId="6838266F" w14:textId="77777777" w:rsidTr="00257A7B">
        <w:tc>
          <w:tcPr>
            <w:tcW w:w="4513" w:type="dxa"/>
          </w:tcPr>
          <w:p w14:paraId="028C6D31" w14:textId="77777777" w:rsidR="00C709D1" w:rsidRDefault="00C709D1" w:rsidP="00257A7B">
            <w:pPr>
              <w:pStyle w:val="BodyText"/>
              <w:tabs>
                <w:tab w:val="clear" w:pos="4536"/>
                <w:tab w:val="clear" w:pos="6804"/>
                <w:tab w:val="clear" w:pos="9638"/>
                <w:tab w:val="left" w:pos="3065"/>
              </w:tabs>
              <w:jc w:val="both"/>
            </w:pPr>
            <w:r>
              <w:t>Value is less than</w:t>
            </w:r>
          </w:p>
        </w:tc>
        <w:tc>
          <w:tcPr>
            <w:tcW w:w="4514" w:type="dxa"/>
          </w:tcPr>
          <w:p w14:paraId="6045937E" w14:textId="77777777" w:rsidR="00C709D1" w:rsidRDefault="00C709D1" w:rsidP="00257A7B">
            <w:pPr>
              <w:pStyle w:val="BodyText"/>
              <w:tabs>
                <w:tab w:val="clear" w:pos="4536"/>
                <w:tab w:val="clear" w:pos="6804"/>
                <w:tab w:val="clear" w:pos="9638"/>
                <w:tab w:val="left" w:pos="3065"/>
              </w:tabs>
              <w:jc w:val="both"/>
            </w:pPr>
            <w:r>
              <w:t>1</w:t>
            </w:r>
          </w:p>
        </w:tc>
      </w:tr>
      <w:tr w:rsidR="00C709D1" w14:paraId="045C8772" w14:textId="77777777" w:rsidTr="00257A7B">
        <w:tc>
          <w:tcPr>
            <w:tcW w:w="4513" w:type="dxa"/>
          </w:tcPr>
          <w:p w14:paraId="4D27631D" w14:textId="77777777" w:rsidR="00C709D1" w:rsidRPr="00937CA0" w:rsidRDefault="00C709D1" w:rsidP="00257A7B">
            <w:pPr>
              <w:pStyle w:val="BodyText"/>
              <w:tabs>
                <w:tab w:val="clear" w:pos="4536"/>
                <w:tab w:val="clear" w:pos="6804"/>
                <w:tab w:val="clear" w:pos="9638"/>
                <w:tab w:val="left" w:pos="3065"/>
              </w:tabs>
              <w:jc w:val="both"/>
              <w:rPr>
                <w:b/>
                <w:bCs/>
              </w:rPr>
            </w:pPr>
            <w:r w:rsidRPr="00937CA0">
              <w:rPr>
                <w:b/>
                <w:bCs/>
              </w:rPr>
              <w:t>Action Group</w:t>
            </w:r>
            <w:r>
              <w:rPr>
                <w:b/>
                <w:bCs/>
              </w:rPr>
              <w:t xml:space="preserve"> For All Alerts</w:t>
            </w:r>
          </w:p>
        </w:tc>
        <w:tc>
          <w:tcPr>
            <w:tcW w:w="4514" w:type="dxa"/>
          </w:tcPr>
          <w:p w14:paraId="7B1233DC" w14:textId="77777777" w:rsidR="00C709D1" w:rsidRDefault="00C709D1" w:rsidP="00257A7B">
            <w:pPr>
              <w:pStyle w:val="BodyText"/>
              <w:tabs>
                <w:tab w:val="clear" w:pos="4536"/>
                <w:tab w:val="clear" w:pos="6804"/>
                <w:tab w:val="clear" w:pos="9638"/>
                <w:tab w:val="left" w:pos="3065"/>
              </w:tabs>
              <w:jc w:val="both"/>
            </w:pPr>
            <w:r>
              <w:t>ag-infrastucture-01</w:t>
            </w:r>
          </w:p>
        </w:tc>
      </w:tr>
    </w:tbl>
    <w:p w14:paraId="6CC4D217"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2B5F192F"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A55F20B"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4E338542"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298C1928" w14:textId="77777777" w:rsidR="00C709D1" w:rsidRDefault="00C709D1" w:rsidP="00C709D1">
      <w:pPr>
        <w:pStyle w:val="BodyText"/>
        <w:tabs>
          <w:tab w:val="clear" w:pos="2268"/>
          <w:tab w:val="clear" w:pos="4536"/>
          <w:tab w:val="clear" w:pos="6804"/>
          <w:tab w:val="clear" w:pos="9638"/>
          <w:tab w:val="left" w:pos="1725"/>
          <w:tab w:val="left" w:pos="5805"/>
        </w:tabs>
        <w:jc w:val="both"/>
      </w:pPr>
    </w:p>
    <w:p w14:paraId="7EADE7BF" w14:textId="77777777" w:rsidR="00C709D1" w:rsidRDefault="00C709D1" w:rsidP="00C709D1">
      <w:pPr>
        <w:pStyle w:val="Heading3"/>
        <w:numPr>
          <w:ilvl w:val="2"/>
          <w:numId w:val="7"/>
        </w:numPr>
        <w:tabs>
          <w:tab w:val="left" w:pos="3065"/>
        </w:tabs>
        <w:jc w:val="both"/>
      </w:pPr>
      <w:r>
        <w:t>Storage Accounts</w:t>
      </w:r>
    </w:p>
    <w:tbl>
      <w:tblPr>
        <w:tblStyle w:val="AVTable1"/>
        <w:tblW w:w="0" w:type="auto"/>
        <w:tblLook w:val="04A0" w:firstRow="1" w:lastRow="0" w:firstColumn="1" w:lastColumn="0" w:noHBand="0" w:noVBand="1"/>
      </w:tblPr>
      <w:tblGrid>
        <w:gridCol w:w="4513"/>
        <w:gridCol w:w="4514"/>
      </w:tblGrid>
      <w:tr w:rsidR="00C709D1" w14:paraId="52F97731"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70A090E1"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Threshold Type</w:t>
            </w:r>
          </w:p>
        </w:tc>
        <w:tc>
          <w:tcPr>
            <w:tcW w:w="4514" w:type="dxa"/>
          </w:tcPr>
          <w:p w14:paraId="5AE309BD" w14:textId="77777777" w:rsidR="00C709D1" w:rsidRPr="00BF0CB9" w:rsidRDefault="00C709D1" w:rsidP="00257A7B">
            <w:pPr>
              <w:pStyle w:val="BodyText"/>
              <w:tabs>
                <w:tab w:val="clear" w:pos="4536"/>
                <w:tab w:val="clear" w:pos="6804"/>
                <w:tab w:val="clear" w:pos="9638"/>
                <w:tab w:val="left" w:pos="3065"/>
              </w:tabs>
              <w:jc w:val="both"/>
              <w:rPr>
                <w:color w:val="FFFFFF" w:themeColor="background1"/>
              </w:rPr>
            </w:pPr>
            <w:r w:rsidRPr="00BF0CB9">
              <w:rPr>
                <w:color w:val="FFFFFF" w:themeColor="background1"/>
              </w:rPr>
              <w:t>Static</w:t>
            </w:r>
          </w:p>
        </w:tc>
      </w:tr>
      <w:tr w:rsidR="00C709D1" w14:paraId="5CE04282" w14:textId="77777777" w:rsidTr="00257A7B">
        <w:tc>
          <w:tcPr>
            <w:tcW w:w="4513" w:type="dxa"/>
          </w:tcPr>
          <w:p w14:paraId="475E8358" w14:textId="77777777" w:rsidR="00C709D1" w:rsidRDefault="00C709D1" w:rsidP="00257A7B">
            <w:pPr>
              <w:pStyle w:val="BodyText"/>
              <w:tabs>
                <w:tab w:val="clear" w:pos="4536"/>
                <w:tab w:val="clear" w:pos="6804"/>
                <w:tab w:val="clear" w:pos="9638"/>
                <w:tab w:val="left" w:pos="3065"/>
              </w:tabs>
              <w:jc w:val="both"/>
            </w:pPr>
            <w:r>
              <w:rPr>
                <w:b/>
                <w:bCs/>
              </w:rPr>
              <w:t xml:space="preserve">Availability </w:t>
            </w:r>
            <w:r w:rsidRPr="00667859">
              <w:rPr>
                <w:b/>
                <w:bCs/>
              </w:rPr>
              <w:t>Alert Settings</w:t>
            </w:r>
          </w:p>
        </w:tc>
        <w:tc>
          <w:tcPr>
            <w:tcW w:w="4514" w:type="dxa"/>
          </w:tcPr>
          <w:p w14:paraId="0FE19A11" w14:textId="77777777" w:rsidR="00C709D1" w:rsidRDefault="00C709D1" w:rsidP="00257A7B">
            <w:pPr>
              <w:pStyle w:val="BodyText"/>
              <w:tabs>
                <w:tab w:val="clear" w:pos="4536"/>
                <w:tab w:val="clear" w:pos="6804"/>
                <w:tab w:val="clear" w:pos="9638"/>
                <w:tab w:val="left" w:pos="3065"/>
              </w:tabs>
              <w:jc w:val="both"/>
            </w:pPr>
          </w:p>
        </w:tc>
      </w:tr>
      <w:tr w:rsidR="00C709D1" w14:paraId="7410297B" w14:textId="77777777" w:rsidTr="00257A7B">
        <w:tc>
          <w:tcPr>
            <w:tcW w:w="4513" w:type="dxa"/>
          </w:tcPr>
          <w:p w14:paraId="2264683E"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00FFE566" w14:textId="77777777" w:rsidR="00C709D1" w:rsidRDefault="00C709D1" w:rsidP="00257A7B">
            <w:pPr>
              <w:pStyle w:val="BodyText"/>
              <w:tabs>
                <w:tab w:val="clear" w:pos="4536"/>
                <w:tab w:val="clear" w:pos="6804"/>
                <w:tab w:val="clear" w:pos="9638"/>
                <w:tab w:val="left" w:pos="3065"/>
              </w:tabs>
              <w:jc w:val="both"/>
            </w:pPr>
            <w:r>
              <w:t>mar-storageaccount-availability-01</w:t>
            </w:r>
          </w:p>
        </w:tc>
      </w:tr>
      <w:tr w:rsidR="00C709D1" w14:paraId="74CA2063" w14:textId="77777777" w:rsidTr="00257A7B">
        <w:tc>
          <w:tcPr>
            <w:tcW w:w="4513" w:type="dxa"/>
          </w:tcPr>
          <w:p w14:paraId="2B145311"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45C36A19"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3471E0E2" w14:textId="77777777" w:rsidTr="00257A7B">
        <w:tc>
          <w:tcPr>
            <w:tcW w:w="4513" w:type="dxa"/>
          </w:tcPr>
          <w:p w14:paraId="094977F8" w14:textId="77777777" w:rsidR="00C709D1" w:rsidRDefault="00C709D1" w:rsidP="00257A7B">
            <w:pPr>
              <w:pStyle w:val="BodyText"/>
              <w:tabs>
                <w:tab w:val="clear" w:pos="4536"/>
                <w:tab w:val="clear" w:pos="6804"/>
                <w:tab w:val="clear" w:pos="9638"/>
                <w:tab w:val="left" w:pos="3065"/>
              </w:tabs>
              <w:jc w:val="both"/>
            </w:pPr>
            <w:r>
              <w:t>Threshold Type</w:t>
            </w:r>
          </w:p>
        </w:tc>
        <w:tc>
          <w:tcPr>
            <w:tcW w:w="4514" w:type="dxa"/>
          </w:tcPr>
          <w:p w14:paraId="628C1E43" w14:textId="77777777" w:rsidR="00C709D1" w:rsidRDefault="00C709D1" w:rsidP="00257A7B">
            <w:pPr>
              <w:pStyle w:val="BodyText"/>
              <w:tabs>
                <w:tab w:val="clear" w:pos="4536"/>
                <w:tab w:val="clear" w:pos="6804"/>
                <w:tab w:val="clear" w:pos="9638"/>
                <w:tab w:val="left" w:pos="3065"/>
              </w:tabs>
              <w:jc w:val="both"/>
            </w:pPr>
            <w:r>
              <w:t>Static</w:t>
            </w:r>
          </w:p>
        </w:tc>
      </w:tr>
      <w:tr w:rsidR="00C709D1" w14:paraId="75970BEF" w14:textId="77777777" w:rsidTr="00257A7B">
        <w:tc>
          <w:tcPr>
            <w:tcW w:w="4513" w:type="dxa"/>
          </w:tcPr>
          <w:p w14:paraId="0FCD1133" w14:textId="77777777" w:rsidR="00C709D1" w:rsidRDefault="00C709D1" w:rsidP="00257A7B">
            <w:pPr>
              <w:pStyle w:val="BodyText"/>
              <w:tabs>
                <w:tab w:val="clear" w:pos="4536"/>
                <w:tab w:val="clear" w:pos="6804"/>
                <w:tab w:val="clear" w:pos="9638"/>
                <w:tab w:val="left" w:pos="3065"/>
              </w:tabs>
              <w:jc w:val="both"/>
            </w:pPr>
            <w:r>
              <w:t>Aggregation Type</w:t>
            </w:r>
          </w:p>
        </w:tc>
        <w:tc>
          <w:tcPr>
            <w:tcW w:w="4514" w:type="dxa"/>
          </w:tcPr>
          <w:p w14:paraId="491995DD" w14:textId="77777777" w:rsidR="00C709D1" w:rsidRDefault="00C709D1" w:rsidP="00257A7B">
            <w:pPr>
              <w:pStyle w:val="BodyText"/>
              <w:tabs>
                <w:tab w:val="clear" w:pos="4536"/>
                <w:tab w:val="clear" w:pos="6804"/>
                <w:tab w:val="clear" w:pos="9638"/>
                <w:tab w:val="left" w:pos="3065"/>
              </w:tabs>
              <w:jc w:val="both"/>
            </w:pPr>
            <w:r>
              <w:t>Average</w:t>
            </w:r>
          </w:p>
        </w:tc>
      </w:tr>
      <w:tr w:rsidR="00C709D1" w14:paraId="1EB05548" w14:textId="77777777" w:rsidTr="00257A7B">
        <w:tc>
          <w:tcPr>
            <w:tcW w:w="4513" w:type="dxa"/>
          </w:tcPr>
          <w:p w14:paraId="3EB1C90F" w14:textId="77777777" w:rsidR="00C709D1" w:rsidRDefault="00C709D1" w:rsidP="00257A7B">
            <w:pPr>
              <w:pStyle w:val="BodyText"/>
              <w:tabs>
                <w:tab w:val="clear" w:pos="4536"/>
                <w:tab w:val="clear" w:pos="6804"/>
                <w:tab w:val="clear" w:pos="9638"/>
                <w:tab w:val="left" w:pos="3065"/>
              </w:tabs>
              <w:jc w:val="both"/>
            </w:pPr>
            <w:r>
              <w:t>Value in less than</w:t>
            </w:r>
          </w:p>
        </w:tc>
        <w:tc>
          <w:tcPr>
            <w:tcW w:w="4514" w:type="dxa"/>
          </w:tcPr>
          <w:p w14:paraId="457B1A64" w14:textId="77777777" w:rsidR="00C709D1" w:rsidRDefault="00C709D1" w:rsidP="00257A7B">
            <w:pPr>
              <w:pStyle w:val="BodyText"/>
              <w:tabs>
                <w:tab w:val="clear" w:pos="4536"/>
                <w:tab w:val="clear" w:pos="6804"/>
                <w:tab w:val="clear" w:pos="9638"/>
                <w:tab w:val="left" w:pos="3065"/>
              </w:tabs>
              <w:ind w:left="0"/>
              <w:jc w:val="both"/>
            </w:pPr>
            <w:r>
              <w:t>100%</w:t>
            </w:r>
          </w:p>
        </w:tc>
      </w:tr>
      <w:tr w:rsidR="00C709D1" w14:paraId="689C0FEC" w14:textId="77777777" w:rsidTr="00257A7B">
        <w:tc>
          <w:tcPr>
            <w:tcW w:w="4513" w:type="dxa"/>
          </w:tcPr>
          <w:p w14:paraId="6DC474A9" w14:textId="77777777" w:rsidR="00C709D1" w:rsidRDefault="00C709D1" w:rsidP="00257A7B">
            <w:pPr>
              <w:pStyle w:val="BodyText"/>
              <w:tabs>
                <w:tab w:val="clear" w:pos="4536"/>
                <w:tab w:val="clear" w:pos="6804"/>
                <w:tab w:val="clear" w:pos="9638"/>
                <w:tab w:val="left" w:pos="3065"/>
              </w:tabs>
              <w:jc w:val="both"/>
            </w:pPr>
            <w:r>
              <w:rPr>
                <w:b/>
                <w:bCs/>
              </w:rPr>
              <w:t>Used Capacity Alert Settings</w:t>
            </w:r>
          </w:p>
        </w:tc>
        <w:tc>
          <w:tcPr>
            <w:tcW w:w="4514" w:type="dxa"/>
          </w:tcPr>
          <w:p w14:paraId="24BC5881" w14:textId="77777777" w:rsidR="00C709D1" w:rsidRDefault="00C709D1" w:rsidP="00257A7B">
            <w:pPr>
              <w:pStyle w:val="BodyText"/>
              <w:tabs>
                <w:tab w:val="clear" w:pos="4536"/>
                <w:tab w:val="clear" w:pos="6804"/>
                <w:tab w:val="clear" w:pos="9638"/>
                <w:tab w:val="left" w:pos="3065"/>
              </w:tabs>
              <w:jc w:val="both"/>
            </w:pPr>
          </w:p>
        </w:tc>
      </w:tr>
      <w:tr w:rsidR="00C709D1" w14:paraId="4B335F79" w14:textId="77777777" w:rsidTr="00257A7B">
        <w:tc>
          <w:tcPr>
            <w:tcW w:w="4513" w:type="dxa"/>
          </w:tcPr>
          <w:p w14:paraId="461BC061" w14:textId="77777777" w:rsidR="00C709D1" w:rsidRDefault="00C709D1" w:rsidP="00257A7B">
            <w:pPr>
              <w:pStyle w:val="BodyText"/>
              <w:tabs>
                <w:tab w:val="clear" w:pos="4536"/>
                <w:tab w:val="clear" w:pos="6804"/>
                <w:tab w:val="clear" w:pos="9638"/>
                <w:tab w:val="left" w:pos="3065"/>
              </w:tabs>
              <w:jc w:val="both"/>
            </w:pPr>
            <w:r>
              <w:t>Alert Rule Name</w:t>
            </w:r>
          </w:p>
        </w:tc>
        <w:tc>
          <w:tcPr>
            <w:tcW w:w="4514" w:type="dxa"/>
          </w:tcPr>
          <w:p w14:paraId="31B01571" w14:textId="77777777" w:rsidR="00C709D1" w:rsidRDefault="00C709D1" w:rsidP="00257A7B">
            <w:pPr>
              <w:pStyle w:val="BodyText"/>
              <w:tabs>
                <w:tab w:val="clear" w:pos="4536"/>
                <w:tab w:val="clear" w:pos="6804"/>
                <w:tab w:val="clear" w:pos="9638"/>
                <w:tab w:val="left" w:pos="3065"/>
              </w:tabs>
              <w:jc w:val="both"/>
            </w:pPr>
            <w:r>
              <w:t>mar-storageaccount-usedcapacity-01</w:t>
            </w:r>
          </w:p>
        </w:tc>
      </w:tr>
      <w:tr w:rsidR="00C709D1" w14:paraId="2564E0DF" w14:textId="77777777" w:rsidTr="00257A7B">
        <w:tc>
          <w:tcPr>
            <w:tcW w:w="4513" w:type="dxa"/>
          </w:tcPr>
          <w:p w14:paraId="0CE2937B"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6B408616" w14:textId="77777777" w:rsidR="00C709D1" w:rsidRDefault="00C709D1" w:rsidP="00257A7B">
            <w:pPr>
              <w:pStyle w:val="BodyText"/>
              <w:tabs>
                <w:tab w:val="clear" w:pos="4536"/>
                <w:tab w:val="clear" w:pos="6804"/>
                <w:tab w:val="clear" w:pos="9638"/>
                <w:tab w:val="left" w:pos="3065"/>
              </w:tabs>
              <w:jc w:val="both"/>
            </w:pPr>
            <w:r>
              <w:t>1 – Error</w:t>
            </w:r>
          </w:p>
        </w:tc>
      </w:tr>
      <w:tr w:rsidR="00C709D1" w14:paraId="1757B3EF" w14:textId="77777777" w:rsidTr="00257A7B">
        <w:tc>
          <w:tcPr>
            <w:tcW w:w="4513" w:type="dxa"/>
          </w:tcPr>
          <w:p w14:paraId="2A138DA0" w14:textId="77777777" w:rsidR="00C709D1" w:rsidRPr="003504DE" w:rsidRDefault="00C709D1" w:rsidP="00257A7B">
            <w:pPr>
              <w:pStyle w:val="BodyText"/>
              <w:tabs>
                <w:tab w:val="clear" w:pos="4536"/>
                <w:tab w:val="clear" w:pos="6804"/>
                <w:tab w:val="clear" w:pos="9638"/>
                <w:tab w:val="left" w:pos="3065"/>
              </w:tabs>
              <w:jc w:val="both"/>
            </w:pPr>
            <w:r w:rsidRPr="003504DE">
              <w:t>Threshold Type</w:t>
            </w:r>
          </w:p>
        </w:tc>
        <w:tc>
          <w:tcPr>
            <w:tcW w:w="4514" w:type="dxa"/>
          </w:tcPr>
          <w:p w14:paraId="4B2CF8F5" w14:textId="77777777" w:rsidR="00C709D1" w:rsidRDefault="00C709D1" w:rsidP="00257A7B">
            <w:pPr>
              <w:pStyle w:val="BodyText"/>
              <w:tabs>
                <w:tab w:val="clear" w:pos="4536"/>
                <w:tab w:val="clear" w:pos="6804"/>
                <w:tab w:val="clear" w:pos="9638"/>
                <w:tab w:val="left" w:pos="3065"/>
              </w:tabs>
              <w:jc w:val="both"/>
            </w:pPr>
            <w:r>
              <w:t>Static</w:t>
            </w:r>
          </w:p>
        </w:tc>
      </w:tr>
      <w:tr w:rsidR="00C709D1" w14:paraId="78F2A5D3" w14:textId="77777777" w:rsidTr="00257A7B">
        <w:tc>
          <w:tcPr>
            <w:tcW w:w="4513" w:type="dxa"/>
          </w:tcPr>
          <w:p w14:paraId="1A9EA501" w14:textId="77777777" w:rsidR="00C709D1" w:rsidRPr="003504DE" w:rsidRDefault="00C709D1" w:rsidP="00257A7B">
            <w:pPr>
              <w:pStyle w:val="BodyText"/>
              <w:tabs>
                <w:tab w:val="clear" w:pos="4536"/>
                <w:tab w:val="clear" w:pos="6804"/>
                <w:tab w:val="clear" w:pos="9638"/>
                <w:tab w:val="left" w:pos="3065"/>
              </w:tabs>
              <w:jc w:val="both"/>
            </w:pPr>
            <w:r w:rsidRPr="003504DE">
              <w:t>Value in greater than</w:t>
            </w:r>
          </w:p>
        </w:tc>
        <w:tc>
          <w:tcPr>
            <w:tcW w:w="4514" w:type="dxa"/>
          </w:tcPr>
          <w:p w14:paraId="532CCE49" w14:textId="77777777" w:rsidR="00C709D1" w:rsidRPr="003504DE" w:rsidRDefault="00C709D1" w:rsidP="00257A7B">
            <w:pPr>
              <w:pStyle w:val="BodyText"/>
              <w:tabs>
                <w:tab w:val="clear" w:pos="4536"/>
                <w:tab w:val="clear" w:pos="6804"/>
                <w:tab w:val="clear" w:pos="9638"/>
                <w:tab w:val="left" w:pos="3065"/>
              </w:tabs>
              <w:ind w:left="0"/>
              <w:jc w:val="both"/>
              <w:rPr>
                <w:highlight w:val="yellow"/>
              </w:rPr>
            </w:pPr>
            <w:r w:rsidRPr="003504DE">
              <w:rPr>
                <w:highlight w:val="yellow"/>
              </w:rPr>
              <w:t>[Select value based on storage account expected use] in GB</w:t>
            </w:r>
          </w:p>
        </w:tc>
      </w:tr>
    </w:tbl>
    <w:p w14:paraId="0FD091A8" w14:textId="77777777" w:rsidR="00C709D1" w:rsidRDefault="00C709D1" w:rsidP="00C709D1">
      <w:pPr>
        <w:pStyle w:val="BodyText"/>
        <w:tabs>
          <w:tab w:val="clear" w:pos="2268"/>
          <w:tab w:val="clear" w:pos="4536"/>
          <w:tab w:val="clear" w:pos="6804"/>
          <w:tab w:val="clear" w:pos="9638"/>
          <w:tab w:val="left" w:pos="1725"/>
          <w:tab w:val="left" w:pos="5805"/>
        </w:tabs>
        <w:jc w:val="both"/>
      </w:pPr>
      <w:r>
        <w:tab/>
      </w:r>
    </w:p>
    <w:p w14:paraId="4F709333" w14:textId="77777777" w:rsidR="00C709D1" w:rsidRDefault="00C709D1" w:rsidP="00C709D1">
      <w:pPr>
        <w:pStyle w:val="Heading3"/>
        <w:numPr>
          <w:ilvl w:val="2"/>
          <w:numId w:val="7"/>
        </w:numPr>
        <w:tabs>
          <w:tab w:val="left" w:pos="3065"/>
        </w:tabs>
        <w:jc w:val="both"/>
      </w:pPr>
      <w:r>
        <w:t>Log Analytics</w:t>
      </w:r>
    </w:p>
    <w:p w14:paraId="2CCBFC12" w14:textId="77777777" w:rsidR="00C709D1" w:rsidRPr="00B06FE2" w:rsidRDefault="00C709D1" w:rsidP="00C709D1">
      <w:pPr>
        <w:pStyle w:val="BodyText"/>
      </w:pPr>
      <w:r>
        <w:t xml:space="preserve">There are several out of the box alerts available for log analytics:  </w:t>
      </w:r>
    </w:p>
    <w:p w14:paraId="289211A3" w14:textId="77777777" w:rsidR="00C709D1" w:rsidRDefault="00C709D1" w:rsidP="00C709D1">
      <w:pPr>
        <w:pStyle w:val="BodyText"/>
        <w:numPr>
          <w:ilvl w:val="0"/>
          <w:numId w:val="43"/>
        </w:numPr>
        <w:tabs>
          <w:tab w:val="clear" w:pos="4536"/>
          <w:tab w:val="clear" w:pos="6804"/>
          <w:tab w:val="clear" w:pos="9638"/>
          <w:tab w:val="left" w:pos="3065"/>
        </w:tabs>
        <w:jc w:val="both"/>
      </w:pPr>
      <w:r>
        <w:t>When the daily cap limit is reached</w:t>
      </w:r>
    </w:p>
    <w:p w14:paraId="06BB5E8E" w14:textId="77777777" w:rsidR="00C709D1" w:rsidRDefault="00C709D1" w:rsidP="00C709D1">
      <w:pPr>
        <w:pStyle w:val="BodyText"/>
        <w:numPr>
          <w:ilvl w:val="0"/>
          <w:numId w:val="43"/>
        </w:numPr>
        <w:tabs>
          <w:tab w:val="clear" w:pos="4536"/>
          <w:tab w:val="clear" w:pos="6804"/>
          <w:tab w:val="clear" w:pos="9638"/>
          <w:tab w:val="left" w:pos="3065"/>
        </w:tabs>
        <w:jc w:val="both"/>
      </w:pPr>
      <w:r>
        <w:t>Ingestion rate limit</w:t>
      </w:r>
    </w:p>
    <w:p w14:paraId="5D2713DF" w14:textId="77777777" w:rsidR="00C709D1" w:rsidRDefault="00C709D1" w:rsidP="00C709D1">
      <w:pPr>
        <w:pStyle w:val="BodyText"/>
        <w:numPr>
          <w:ilvl w:val="0"/>
          <w:numId w:val="43"/>
        </w:numPr>
        <w:tabs>
          <w:tab w:val="clear" w:pos="4536"/>
          <w:tab w:val="clear" w:pos="6804"/>
          <w:tab w:val="clear" w:pos="9638"/>
          <w:tab w:val="left" w:pos="3065"/>
        </w:tabs>
        <w:jc w:val="both"/>
      </w:pPr>
      <w:r>
        <w:t>Operational issues in the workspace</w:t>
      </w:r>
    </w:p>
    <w:p w14:paraId="3F324B3F" w14:textId="77777777" w:rsidR="00C709D1" w:rsidRDefault="00C709D1" w:rsidP="00C709D1">
      <w:pPr>
        <w:pStyle w:val="BodyText"/>
        <w:tabs>
          <w:tab w:val="clear" w:pos="4536"/>
          <w:tab w:val="clear" w:pos="6804"/>
          <w:tab w:val="clear" w:pos="9638"/>
          <w:tab w:val="left" w:pos="3065"/>
        </w:tabs>
        <w:jc w:val="both"/>
      </w:pPr>
      <w:r>
        <w:t xml:space="preserve">In the Log Analytics workspace the daily cap has not been set so cannot be configured: </w:t>
      </w:r>
    </w:p>
    <w:tbl>
      <w:tblPr>
        <w:tblStyle w:val="AVTable1"/>
        <w:tblW w:w="0" w:type="auto"/>
        <w:tblLook w:val="04A0" w:firstRow="1" w:lastRow="0" w:firstColumn="1" w:lastColumn="0" w:noHBand="0" w:noVBand="1"/>
      </w:tblPr>
      <w:tblGrid>
        <w:gridCol w:w="4513"/>
        <w:gridCol w:w="4514"/>
      </w:tblGrid>
      <w:tr w:rsidR="00C709D1" w14:paraId="06FFABD2"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077D85AF" w14:textId="77777777" w:rsidR="00C709D1" w:rsidRPr="00C22CA8" w:rsidRDefault="00C709D1" w:rsidP="00257A7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757E3D39" w14:textId="77777777" w:rsidR="00C709D1" w:rsidRPr="00C22CA8" w:rsidRDefault="00C709D1" w:rsidP="00257A7B">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C709D1" w14:paraId="7CD95B24" w14:textId="77777777" w:rsidTr="00257A7B">
        <w:tc>
          <w:tcPr>
            <w:tcW w:w="4513" w:type="dxa"/>
          </w:tcPr>
          <w:p w14:paraId="196F515C" w14:textId="77777777" w:rsidR="00C709D1" w:rsidRPr="00D4758F" w:rsidRDefault="00C709D1" w:rsidP="00257A7B">
            <w:pPr>
              <w:pStyle w:val="BodyText"/>
              <w:tabs>
                <w:tab w:val="clear" w:pos="4536"/>
                <w:tab w:val="clear" w:pos="6804"/>
                <w:tab w:val="clear" w:pos="9638"/>
                <w:tab w:val="left" w:pos="3065"/>
              </w:tabs>
              <w:jc w:val="both"/>
              <w:rPr>
                <w:b/>
                <w:bCs/>
              </w:rPr>
            </w:pPr>
            <w:r>
              <w:rPr>
                <w:b/>
                <w:bCs/>
              </w:rPr>
              <w:t>Rate Limit Alert</w:t>
            </w:r>
          </w:p>
        </w:tc>
        <w:tc>
          <w:tcPr>
            <w:tcW w:w="4514" w:type="dxa"/>
          </w:tcPr>
          <w:p w14:paraId="5E91077E" w14:textId="77777777" w:rsidR="00C709D1" w:rsidRDefault="00C709D1" w:rsidP="00257A7B">
            <w:pPr>
              <w:pStyle w:val="BodyText"/>
              <w:tabs>
                <w:tab w:val="clear" w:pos="4536"/>
                <w:tab w:val="clear" w:pos="6804"/>
                <w:tab w:val="clear" w:pos="9638"/>
                <w:tab w:val="left" w:pos="3065"/>
              </w:tabs>
              <w:jc w:val="both"/>
            </w:pPr>
          </w:p>
        </w:tc>
      </w:tr>
      <w:tr w:rsidR="00C709D1" w14:paraId="1CAB1C3A" w14:textId="77777777" w:rsidTr="00257A7B">
        <w:tc>
          <w:tcPr>
            <w:tcW w:w="4513" w:type="dxa"/>
          </w:tcPr>
          <w:p w14:paraId="398A6346" w14:textId="77777777" w:rsidR="00C709D1" w:rsidRDefault="00C709D1" w:rsidP="00257A7B">
            <w:pPr>
              <w:pStyle w:val="BodyText"/>
              <w:tabs>
                <w:tab w:val="clear" w:pos="4536"/>
                <w:tab w:val="clear" w:pos="6804"/>
                <w:tab w:val="clear" w:pos="9638"/>
                <w:tab w:val="left" w:pos="3065"/>
              </w:tabs>
              <w:jc w:val="both"/>
            </w:pPr>
            <w:r>
              <w:lastRenderedPageBreak/>
              <w:t>Alert Rule Name</w:t>
            </w:r>
          </w:p>
        </w:tc>
        <w:tc>
          <w:tcPr>
            <w:tcW w:w="4514" w:type="dxa"/>
          </w:tcPr>
          <w:p w14:paraId="0D0F3D30" w14:textId="77777777" w:rsidR="00C709D1" w:rsidRDefault="00C709D1" w:rsidP="00257A7B">
            <w:pPr>
              <w:pStyle w:val="BodyText"/>
              <w:tabs>
                <w:tab w:val="clear" w:pos="4536"/>
                <w:tab w:val="clear" w:pos="6804"/>
                <w:tab w:val="clear" w:pos="9638"/>
                <w:tab w:val="left" w:pos="3065"/>
              </w:tabs>
              <w:jc w:val="both"/>
            </w:pPr>
            <w:r>
              <w:t>mar-loganalytics-ratelimit-01</w:t>
            </w:r>
          </w:p>
        </w:tc>
      </w:tr>
      <w:tr w:rsidR="00C709D1" w14:paraId="6E3127E5" w14:textId="77777777" w:rsidTr="00257A7B">
        <w:tc>
          <w:tcPr>
            <w:tcW w:w="4513" w:type="dxa"/>
          </w:tcPr>
          <w:p w14:paraId="6B66A2FA"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5B873CB7" w14:textId="77777777" w:rsidR="00C709D1" w:rsidRDefault="00C709D1" w:rsidP="00257A7B">
            <w:pPr>
              <w:pStyle w:val="BodyText"/>
              <w:tabs>
                <w:tab w:val="clear" w:pos="4536"/>
                <w:tab w:val="clear" w:pos="6804"/>
                <w:tab w:val="clear" w:pos="9638"/>
                <w:tab w:val="left" w:pos="3065"/>
              </w:tabs>
              <w:jc w:val="both"/>
            </w:pPr>
            <w:r>
              <w:t>2 – Warning</w:t>
            </w:r>
          </w:p>
        </w:tc>
      </w:tr>
      <w:tr w:rsidR="00C709D1" w14:paraId="7AE8A169" w14:textId="77777777" w:rsidTr="00257A7B">
        <w:tc>
          <w:tcPr>
            <w:tcW w:w="4513" w:type="dxa"/>
          </w:tcPr>
          <w:p w14:paraId="6ED48036" w14:textId="77777777" w:rsidR="00C709D1" w:rsidRPr="004D7079" w:rsidRDefault="00C709D1" w:rsidP="00257A7B">
            <w:pPr>
              <w:pStyle w:val="BodyText"/>
              <w:tabs>
                <w:tab w:val="clear" w:pos="4536"/>
                <w:tab w:val="clear" w:pos="6804"/>
                <w:tab w:val="clear" w:pos="9638"/>
                <w:tab w:val="left" w:pos="3065"/>
              </w:tabs>
              <w:jc w:val="both"/>
              <w:rPr>
                <w:b/>
                <w:bCs/>
              </w:rPr>
            </w:pPr>
            <w:r w:rsidRPr="004D7079">
              <w:rPr>
                <w:b/>
                <w:bCs/>
              </w:rPr>
              <w:t>Operational Issues Alert</w:t>
            </w:r>
          </w:p>
        </w:tc>
        <w:tc>
          <w:tcPr>
            <w:tcW w:w="4514" w:type="dxa"/>
          </w:tcPr>
          <w:p w14:paraId="694799EA" w14:textId="77777777" w:rsidR="00C709D1" w:rsidRDefault="00C709D1" w:rsidP="00257A7B">
            <w:pPr>
              <w:pStyle w:val="BodyText"/>
              <w:tabs>
                <w:tab w:val="clear" w:pos="4536"/>
                <w:tab w:val="clear" w:pos="6804"/>
                <w:tab w:val="clear" w:pos="9638"/>
                <w:tab w:val="left" w:pos="3065"/>
              </w:tabs>
              <w:jc w:val="both"/>
            </w:pPr>
          </w:p>
        </w:tc>
      </w:tr>
      <w:tr w:rsidR="00C709D1" w14:paraId="32065D6C" w14:textId="77777777" w:rsidTr="00257A7B">
        <w:tc>
          <w:tcPr>
            <w:tcW w:w="4513" w:type="dxa"/>
          </w:tcPr>
          <w:p w14:paraId="49853F91" w14:textId="77777777" w:rsidR="00C709D1" w:rsidRDefault="00C709D1" w:rsidP="00257A7B">
            <w:pPr>
              <w:pStyle w:val="BodyText"/>
              <w:tabs>
                <w:tab w:val="clear" w:pos="4536"/>
                <w:tab w:val="clear" w:pos="6804"/>
                <w:tab w:val="clear" w:pos="9638"/>
                <w:tab w:val="left" w:pos="3065"/>
              </w:tabs>
              <w:jc w:val="both"/>
            </w:pPr>
            <w:r>
              <w:t>Alert Rule</w:t>
            </w:r>
          </w:p>
        </w:tc>
        <w:tc>
          <w:tcPr>
            <w:tcW w:w="4514" w:type="dxa"/>
          </w:tcPr>
          <w:p w14:paraId="17E4726C" w14:textId="77777777" w:rsidR="00C709D1" w:rsidRPr="0022449F" w:rsidRDefault="00C709D1" w:rsidP="00257A7B">
            <w:pPr>
              <w:pStyle w:val="BodyText"/>
              <w:tabs>
                <w:tab w:val="clear" w:pos="4536"/>
                <w:tab w:val="clear" w:pos="6804"/>
                <w:tab w:val="clear" w:pos="9638"/>
                <w:tab w:val="left" w:pos="3065"/>
              </w:tabs>
              <w:jc w:val="both"/>
            </w:pPr>
            <w:r>
              <w:t>mar-loganalytics-operationalissues-01</w:t>
            </w:r>
          </w:p>
        </w:tc>
      </w:tr>
      <w:tr w:rsidR="00C709D1" w14:paraId="5DB6C85F" w14:textId="77777777" w:rsidTr="00257A7B">
        <w:tc>
          <w:tcPr>
            <w:tcW w:w="4513" w:type="dxa"/>
          </w:tcPr>
          <w:p w14:paraId="393AB6F3" w14:textId="77777777" w:rsidR="00C709D1" w:rsidRDefault="00C709D1" w:rsidP="00257A7B">
            <w:pPr>
              <w:pStyle w:val="BodyText"/>
              <w:tabs>
                <w:tab w:val="clear" w:pos="4536"/>
                <w:tab w:val="clear" w:pos="6804"/>
                <w:tab w:val="clear" w:pos="9638"/>
                <w:tab w:val="left" w:pos="3065"/>
              </w:tabs>
              <w:jc w:val="both"/>
            </w:pPr>
            <w:r>
              <w:t>Severity</w:t>
            </w:r>
          </w:p>
        </w:tc>
        <w:tc>
          <w:tcPr>
            <w:tcW w:w="4514" w:type="dxa"/>
          </w:tcPr>
          <w:p w14:paraId="1C896365" w14:textId="77777777" w:rsidR="00C709D1" w:rsidRDefault="00C709D1" w:rsidP="00257A7B">
            <w:pPr>
              <w:pStyle w:val="BodyText"/>
              <w:tabs>
                <w:tab w:val="clear" w:pos="4536"/>
                <w:tab w:val="clear" w:pos="6804"/>
                <w:tab w:val="clear" w:pos="9638"/>
                <w:tab w:val="left" w:pos="3065"/>
              </w:tabs>
              <w:jc w:val="both"/>
            </w:pPr>
            <w:r>
              <w:t>2 - Warning</w:t>
            </w:r>
          </w:p>
        </w:tc>
      </w:tr>
    </w:tbl>
    <w:p w14:paraId="51EE1E40" w14:textId="77777777" w:rsidR="00C709D1" w:rsidRDefault="00C709D1" w:rsidP="008451F7">
      <w:pPr>
        <w:pStyle w:val="BodyText"/>
      </w:pPr>
    </w:p>
    <w:p w14:paraId="0C22B71C" w14:textId="77777777" w:rsidR="00443C3B" w:rsidRDefault="00443C3B" w:rsidP="008451F7">
      <w:pPr>
        <w:pStyle w:val="BodyText"/>
      </w:pPr>
    </w:p>
    <w:p w14:paraId="2FBD1EE4" w14:textId="42017EC8" w:rsidR="00770CF0" w:rsidRDefault="00770CF0" w:rsidP="00770CF0">
      <w:pPr>
        <w:pStyle w:val="Heading1"/>
        <w:numPr>
          <w:ilvl w:val="0"/>
          <w:numId w:val="0"/>
        </w:numPr>
        <w:ind w:left="510" w:hanging="510"/>
        <w:jc w:val="both"/>
        <w:rPr>
          <w:rFonts w:cs="Arial"/>
        </w:rPr>
      </w:pPr>
      <w:bookmarkStart w:id="21" w:name="_Toc157090460"/>
      <w:r>
        <w:rPr>
          <w:rFonts w:cs="Arial"/>
        </w:rPr>
        <w:t>Configuration Templates</w:t>
      </w:r>
      <w:bookmarkEnd w:id="21"/>
      <w:r>
        <w:rPr>
          <w:rFonts w:cs="Arial"/>
        </w:rPr>
        <w:t xml:space="preserve"> for </w:t>
      </w:r>
      <w:r w:rsidRPr="00770CF0">
        <w:rPr>
          <w:rFonts w:cs="Arial"/>
          <w:highlight w:val="yellow"/>
        </w:rPr>
        <w:t>LAW</w:t>
      </w:r>
      <w:r>
        <w:rPr>
          <w:rFonts w:cs="Arial"/>
        </w:rPr>
        <w:t>:-</w:t>
      </w:r>
    </w:p>
    <w:p w14:paraId="2F998BF8" w14:textId="77777777" w:rsidR="00443C3B" w:rsidRDefault="00443C3B" w:rsidP="008451F7">
      <w:pPr>
        <w:pStyle w:val="BodyText"/>
      </w:pPr>
    </w:p>
    <w:p w14:paraId="46A24C62" w14:textId="77777777" w:rsidR="00443C3B" w:rsidRPr="00A2213C" w:rsidRDefault="00443C3B" w:rsidP="00443C3B">
      <w:pPr>
        <w:pStyle w:val="Heading2"/>
      </w:pPr>
      <w:bookmarkStart w:id="22" w:name="_Toc157090461"/>
      <w:r>
        <w:t>Primary Region Central Log Analytics Workspace</w:t>
      </w:r>
      <w:bookmarkEnd w:id="22"/>
    </w:p>
    <w:tbl>
      <w:tblPr>
        <w:tblStyle w:val="AVTable1"/>
        <w:tblW w:w="0" w:type="auto"/>
        <w:tblLook w:val="04A0" w:firstRow="1" w:lastRow="0" w:firstColumn="1" w:lastColumn="0" w:noHBand="0" w:noVBand="1"/>
      </w:tblPr>
      <w:tblGrid>
        <w:gridCol w:w="4513"/>
        <w:gridCol w:w="4514"/>
      </w:tblGrid>
      <w:tr w:rsidR="00443C3B" w14:paraId="569284D8"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5B5921D8" w14:textId="77777777" w:rsidR="00443C3B" w:rsidRPr="00FE5304" w:rsidRDefault="00443C3B" w:rsidP="00257A7B">
            <w:pPr>
              <w:pStyle w:val="BodyText"/>
              <w:rPr>
                <w:color w:val="FFFFFF" w:themeColor="background1"/>
              </w:rPr>
            </w:pPr>
            <w:r w:rsidRPr="00FE5304">
              <w:rPr>
                <w:color w:val="FFFFFF" w:themeColor="background1"/>
              </w:rPr>
              <w:t>Configuration Item</w:t>
            </w:r>
          </w:p>
        </w:tc>
        <w:tc>
          <w:tcPr>
            <w:tcW w:w="4514" w:type="dxa"/>
          </w:tcPr>
          <w:p w14:paraId="057437EF" w14:textId="77777777" w:rsidR="00443C3B" w:rsidRPr="00FE5304" w:rsidRDefault="00443C3B" w:rsidP="00257A7B">
            <w:pPr>
              <w:pStyle w:val="BodyText"/>
              <w:rPr>
                <w:color w:val="FFFFFF" w:themeColor="background1"/>
              </w:rPr>
            </w:pPr>
            <w:r w:rsidRPr="00FE5304">
              <w:rPr>
                <w:color w:val="FFFFFF" w:themeColor="background1"/>
              </w:rPr>
              <w:t>Configuration Value</w:t>
            </w:r>
          </w:p>
        </w:tc>
      </w:tr>
      <w:tr w:rsidR="00443C3B" w14:paraId="77040F1B" w14:textId="77777777" w:rsidTr="00257A7B">
        <w:tc>
          <w:tcPr>
            <w:tcW w:w="4513" w:type="dxa"/>
          </w:tcPr>
          <w:p w14:paraId="4DFF3513" w14:textId="77777777" w:rsidR="00443C3B" w:rsidRPr="00FE5304" w:rsidRDefault="00443C3B" w:rsidP="00257A7B">
            <w:pPr>
              <w:pStyle w:val="BodyText"/>
            </w:pPr>
            <w:r w:rsidRPr="00FE5304">
              <w:t>Name</w:t>
            </w:r>
          </w:p>
        </w:tc>
        <w:tc>
          <w:tcPr>
            <w:tcW w:w="4514" w:type="dxa"/>
          </w:tcPr>
          <w:p w14:paraId="52A3F53D" w14:textId="77777777" w:rsidR="00443C3B" w:rsidRPr="00FE5304" w:rsidRDefault="00443C3B" w:rsidP="00257A7B">
            <w:pPr>
              <w:pStyle w:val="BodyText"/>
            </w:pPr>
            <w:r w:rsidRPr="00FE5304">
              <w:t>log-prd-ause-mgmt-01</w:t>
            </w:r>
          </w:p>
        </w:tc>
      </w:tr>
      <w:tr w:rsidR="00443C3B" w14:paraId="3A937224" w14:textId="77777777" w:rsidTr="00257A7B">
        <w:tc>
          <w:tcPr>
            <w:tcW w:w="4513" w:type="dxa"/>
          </w:tcPr>
          <w:p w14:paraId="71C478DD" w14:textId="77777777" w:rsidR="00443C3B" w:rsidRPr="00FE5304" w:rsidRDefault="00443C3B" w:rsidP="00257A7B">
            <w:pPr>
              <w:pStyle w:val="BodyText"/>
            </w:pPr>
            <w:r w:rsidRPr="00FE5304">
              <w:t>Subscription</w:t>
            </w:r>
          </w:p>
        </w:tc>
        <w:tc>
          <w:tcPr>
            <w:tcW w:w="4514" w:type="dxa"/>
          </w:tcPr>
          <w:p w14:paraId="195DB272" w14:textId="77777777" w:rsidR="00443C3B" w:rsidRPr="00FE5304" w:rsidRDefault="00443C3B" w:rsidP="00257A7B">
            <w:pPr>
              <w:pStyle w:val="BodyText"/>
            </w:pPr>
            <w:r w:rsidRPr="00FE5304">
              <w:t>AV ALZ Management</w:t>
            </w:r>
          </w:p>
        </w:tc>
      </w:tr>
      <w:tr w:rsidR="00443C3B" w14:paraId="6DC17806" w14:textId="77777777" w:rsidTr="00257A7B">
        <w:tc>
          <w:tcPr>
            <w:tcW w:w="4513" w:type="dxa"/>
          </w:tcPr>
          <w:p w14:paraId="458EA7CB" w14:textId="77777777" w:rsidR="00443C3B" w:rsidRPr="00FE5304" w:rsidRDefault="00443C3B" w:rsidP="00257A7B">
            <w:pPr>
              <w:pStyle w:val="BodyText"/>
            </w:pPr>
            <w:r w:rsidRPr="00FE5304">
              <w:t>Resource Group</w:t>
            </w:r>
          </w:p>
        </w:tc>
        <w:tc>
          <w:tcPr>
            <w:tcW w:w="4514" w:type="dxa"/>
          </w:tcPr>
          <w:p w14:paraId="0CC7F2FC" w14:textId="77777777" w:rsidR="00443C3B" w:rsidRPr="00FE5304" w:rsidRDefault="00443C3B" w:rsidP="00257A7B">
            <w:pPr>
              <w:pStyle w:val="BodyText"/>
            </w:pPr>
            <w:r w:rsidRPr="00FE5304">
              <w:t>rg-prd-ause-management-01</w:t>
            </w:r>
          </w:p>
        </w:tc>
      </w:tr>
      <w:tr w:rsidR="00443C3B" w14:paraId="4339DED6" w14:textId="77777777" w:rsidTr="00257A7B">
        <w:tc>
          <w:tcPr>
            <w:tcW w:w="4513" w:type="dxa"/>
          </w:tcPr>
          <w:p w14:paraId="32266D26" w14:textId="77777777" w:rsidR="00443C3B" w:rsidRPr="00FE5304" w:rsidRDefault="00443C3B" w:rsidP="00257A7B">
            <w:pPr>
              <w:pStyle w:val="BodyText"/>
            </w:pPr>
            <w:r w:rsidRPr="00FE5304">
              <w:t>Pricing Tier</w:t>
            </w:r>
          </w:p>
        </w:tc>
        <w:tc>
          <w:tcPr>
            <w:tcW w:w="4514" w:type="dxa"/>
          </w:tcPr>
          <w:p w14:paraId="07362519" w14:textId="77777777" w:rsidR="00443C3B" w:rsidRPr="00FE5304" w:rsidRDefault="00443C3B" w:rsidP="00257A7B">
            <w:pPr>
              <w:pStyle w:val="BodyText"/>
            </w:pPr>
            <w:r w:rsidRPr="00FE5304">
              <w:t>Pay-as-you-go</w:t>
            </w:r>
          </w:p>
        </w:tc>
      </w:tr>
      <w:tr w:rsidR="00443C3B" w14:paraId="532BA89E" w14:textId="77777777" w:rsidTr="00257A7B">
        <w:tc>
          <w:tcPr>
            <w:tcW w:w="4513" w:type="dxa"/>
          </w:tcPr>
          <w:p w14:paraId="1E269EC5" w14:textId="77777777" w:rsidR="00443C3B" w:rsidRPr="00FE5304" w:rsidRDefault="00443C3B" w:rsidP="00257A7B">
            <w:pPr>
              <w:pStyle w:val="BodyText"/>
            </w:pPr>
            <w:r w:rsidRPr="00FE5304">
              <w:t>Data Retention</w:t>
            </w:r>
          </w:p>
        </w:tc>
        <w:tc>
          <w:tcPr>
            <w:tcW w:w="4514" w:type="dxa"/>
          </w:tcPr>
          <w:p w14:paraId="4AA5BC0A" w14:textId="0C22B63F" w:rsidR="00443C3B" w:rsidRPr="00FE5304" w:rsidRDefault="00443C3B" w:rsidP="00257A7B">
            <w:pPr>
              <w:pStyle w:val="BodyText"/>
            </w:pPr>
            <w:r>
              <w:t>90 Days</w:t>
            </w:r>
          </w:p>
        </w:tc>
      </w:tr>
      <w:tr w:rsidR="00443C3B" w14:paraId="708D6AFA" w14:textId="77777777" w:rsidTr="00257A7B">
        <w:tc>
          <w:tcPr>
            <w:tcW w:w="4513" w:type="dxa"/>
          </w:tcPr>
          <w:p w14:paraId="4CF09F32" w14:textId="77777777" w:rsidR="00443C3B" w:rsidRPr="00FE5304" w:rsidRDefault="00443C3B" w:rsidP="00257A7B">
            <w:pPr>
              <w:pStyle w:val="BodyText"/>
            </w:pPr>
            <w:r>
              <w:t>Diagnostic Settings to be captured</w:t>
            </w:r>
          </w:p>
        </w:tc>
        <w:tc>
          <w:tcPr>
            <w:tcW w:w="4514" w:type="dxa"/>
          </w:tcPr>
          <w:p w14:paraId="46182D49" w14:textId="77777777" w:rsidR="00443C3B" w:rsidRDefault="00443C3B" w:rsidP="00257A7B">
            <w:pPr>
              <w:pStyle w:val="BodyText"/>
            </w:pPr>
            <w:r>
              <w:t>allLogs</w:t>
            </w:r>
          </w:p>
          <w:p w14:paraId="288E277B" w14:textId="77777777" w:rsidR="00443C3B" w:rsidRPr="00FE5304" w:rsidRDefault="00443C3B" w:rsidP="00257A7B">
            <w:pPr>
              <w:pStyle w:val="BodyText"/>
            </w:pPr>
            <w:r>
              <w:t>AllMetrics</w:t>
            </w:r>
          </w:p>
        </w:tc>
      </w:tr>
      <w:tr w:rsidR="00443C3B" w14:paraId="12A7762E" w14:textId="77777777" w:rsidTr="00257A7B">
        <w:tc>
          <w:tcPr>
            <w:tcW w:w="4513" w:type="dxa"/>
          </w:tcPr>
          <w:p w14:paraId="7C4DFC17" w14:textId="77777777" w:rsidR="00443C3B" w:rsidRDefault="00443C3B" w:rsidP="00257A7B">
            <w:pPr>
              <w:pStyle w:val="BodyText"/>
            </w:pPr>
            <w:r>
              <w:t>Log Analytics Workspace for logs</w:t>
            </w:r>
          </w:p>
        </w:tc>
        <w:tc>
          <w:tcPr>
            <w:tcW w:w="4514" w:type="dxa"/>
          </w:tcPr>
          <w:p w14:paraId="56CD078C" w14:textId="77777777" w:rsidR="00443C3B" w:rsidRDefault="00443C3B" w:rsidP="00257A7B">
            <w:pPr>
              <w:pStyle w:val="BodyText"/>
            </w:pPr>
            <w:r w:rsidRPr="00FE5304">
              <w:t>log-prd-ause-mgmt-01</w:t>
            </w:r>
          </w:p>
        </w:tc>
      </w:tr>
    </w:tbl>
    <w:p w14:paraId="3D6D80E7" w14:textId="77777777" w:rsidR="00443C3B" w:rsidRPr="00A2213C" w:rsidRDefault="00443C3B" w:rsidP="00443C3B">
      <w:pPr>
        <w:pStyle w:val="Heading2"/>
      </w:pPr>
      <w:r>
        <w:rPr>
          <w:b/>
        </w:rPr>
        <w:tab/>
      </w:r>
      <w:bookmarkStart w:id="23" w:name="_Toc157090462"/>
      <w:r w:rsidRPr="00FE5304">
        <w:rPr>
          <w:bCs w:val="0"/>
        </w:rPr>
        <w:t>Secondary</w:t>
      </w:r>
      <w:r>
        <w:rPr>
          <w:b/>
        </w:rPr>
        <w:t xml:space="preserve"> </w:t>
      </w:r>
      <w:r>
        <w:t>Region Central Log Analytics Workspace</w:t>
      </w:r>
      <w:bookmarkEnd w:id="23"/>
    </w:p>
    <w:tbl>
      <w:tblPr>
        <w:tblStyle w:val="AVTable1"/>
        <w:tblW w:w="0" w:type="auto"/>
        <w:tblLook w:val="04A0" w:firstRow="1" w:lastRow="0" w:firstColumn="1" w:lastColumn="0" w:noHBand="0" w:noVBand="1"/>
      </w:tblPr>
      <w:tblGrid>
        <w:gridCol w:w="4513"/>
        <w:gridCol w:w="4514"/>
      </w:tblGrid>
      <w:tr w:rsidR="00443C3B" w14:paraId="0ED6D789"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2CF6EE9E" w14:textId="77777777" w:rsidR="00443C3B" w:rsidRPr="00FE5304" w:rsidRDefault="00443C3B" w:rsidP="00257A7B">
            <w:pPr>
              <w:pStyle w:val="BodyText"/>
              <w:rPr>
                <w:color w:val="FFFFFF" w:themeColor="background1"/>
              </w:rPr>
            </w:pPr>
            <w:r w:rsidRPr="00FE5304">
              <w:rPr>
                <w:color w:val="FFFFFF" w:themeColor="background1"/>
              </w:rPr>
              <w:t>Configuration Item</w:t>
            </w:r>
          </w:p>
        </w:tc>
        <w:tc>
          <w:tcPr>
            <w:tcW w:w="4514" w:type="dxa"/>
          </w:tcPr>
          <w:p w14:paraId="182CEEEE" w14:textId="77777777" w:rsidR="00443C3B" w:rsidRPr="00FE5304" w:rsidRDefault="00443C3B" w:rsidP="00257A7B">
            <w:pPr>
              <w:pStyle w:val="BodyText"/>
              <w:rPr>
                <w:color w:val="FFFFFF" w:themeColor="background1"/>
              </w:rPr>
            </w:pPr>
            <w:r w:rsidRPr="00FE5304">
              <w:rPr>
                <w:color w:val="FFFFFF" w:themeColor="background1"/>
              </w:rPr>
              <w:t>Configuration Value</w:t>
            </w:r>
          </w:p>
        </w:tc>
      </w:tr>
      <w:tr w:rsidR="00443C3B" w14:paraId="0311E906" w14:textId="77777777" w:rsidTr="00257A7B">
        <w:tc>
          <w:tcPr>
            <w:tcW w:w="4513" w:type="dxa"/>
          </w:tcPr>
          <w:p w14:paraId="631769A6" w14:textId="77777777" w:rsidR="00443C3B" w:rsidRPr="00FE5304" w:rsidRDefault="00443C3B" w:rsidP="00257A7B">
            <w:pPr>
              <w:pStyle w:val="BodyText"/>
            </w:pPr>
            <w:r w:rsidRPr="00FE5304">
              <w:t>Name</w:t>
            </w:r>
          </w:p>
        </w:tc>
        <w:tc>
          <w:tcPr>
            <w:tcW w:w="4514" w:type="dxa"/>
          </w:tcPr>
          <w:p w14:paraId="143CFF11" w14:textId="77777777" w:rsidR="00443C3B" w:rsidRPr="00FE5304" w:rsidRDefault="00443C3B" w:rsidP="00257A7B">
            <w:pPr>
              <w:pStyle w:val="BodyText"/>
            </w:pPr>
            <w:r w:rsidRPr="00FE5304">
              <w:t>log-prd-au</w:t>
            </w:r>
            <w:r>
              <w:t>ea</w:t>
            </w:r>
            <w:r w:rsidRPr="00FE5304">
              <w:t>-mgmt-01</w:t>
            </w:r>
          </w:p>
        </w:tc>
      </w:tr>
      <w:tr w:rsidR="00443C3B" w14:paraId="1A94D91A" w14:textId="77777777" w:rsidTr="00257A7B">
        <w:tc>
          <w:tcPr>
            <w:tcW w:w="4513" w:type="dxa"/>
          </w:tcPr>
          <w:p w14:paraId="61254758" w14:textId="77777777" w:rsidR="00443C3B" w:rsidRPr="00FE5304" w:rsidRDefault="00443C3B" w:rsidP="00257A7B">
            <w:pPr>
              <w:pStyle w:val="BodyText"/>
            </w:pPr>
            <w:r w:rsidRPr="00FE5304">
              <w:t>Subscription</w:t>
            </w:r>
          </w:p>
        </w:tc>
        <w:tc>
          <w:tcPr>
            <w:tcW w:w="4514" w:type="dxa"/>
          </w:tcPr>
          <w:p w14:paraId="6E2EF5B3" w14:textId="77777777" w:rsidR="00443C3B" w:rsidRPr="00FE5304" w:rsidRDefault="00443C3B" w:rsidP="00257A7B">
            <w:pPr>
              <w:pStyle w:val="BodyText"/>
            </w:pPr>
            <w:r w:rsidRPr="00FE5304">
              <w:t>AV ALZ Management</w:t>
            </w:r>
          </w:p>
        </w:tc>
      </w:tr>
      <w:tr w:rsidR="00443C3B" w14:paraId="27E4D5EF" w14:textId="77777777" w:rsidTr="00257A7B">
        <w:tc>
          <w:tcPr>
            <w:tcW w:w="4513" w:type="dxa"/>
          </w:tcPr>
          <w:p w14:paraId="5B5984B3" w14:textId="77777777" w:rsidR="00443C3B" w:rsidRPr="00FE5304" w:rsidRDefault="00443C3B" w:rsidP="00257A7B">
            <w:pPr>
              <w:pStyle w:val="BodyText"/>
            </w:pPr>
            <w:r w:rsidRPr="00FE5304">
              <w:t>Resource Group</w:t>
            </w:r>
          </w:p>
        </w:tc>
        <w:tc>
          <w:tcPr>
            <w:tcW w:w="4514" w:type="dxa"/>
          </w:tcPr>
          <w:p w14:paraId="1444A118" w14:textId="77777777" w:rsidR="00443C3B" w:rsidRPr="00FE5304" w:rsidRDefault="00443C3B" w:rsidP="00257A7B">
            <w:pPr>
              <w:pStyle w:val="BodyText"/>
            </w:pPr>
            <w:r w:rsidRPr="00FE5304">
              <w:t>rg-prd-au</w:t>
            </w:r>
            <w:r>
              <w:t>ea</w:t>
            </w:r>
            <w:r w:rsidRPr="00FE5304">
              <w:t>-management-01</w:t>
            </w:r>
          </w:p>
        </w:tc>
      </w:tr>
      <w:tr w:rsidR="00443C3B" w14:paraId="37B77C0C" w14:textId="77777777" w:rsidTr="00257A7B">
        <w:tc>
          <w:tcPr>
            <w:tcW w:w="4513" w:type="dxa"/>
          </w:tcPr>
          <w:p w14:paraId="10EFFEDB" w14:textId="77777777" w:rsidR="00443C3B" w:rsidRPr="00FE5304" w:rsidRDefault="00443C3B" w:rsidP="00257A7B">
            <w:pPr>
              <w:pStyle w:val="BodyText"/>
            </w:pPr>
            <w:r w:rsidRPr="00FE5304">
              <w:t>Pricing Tier</w:t>
            </w:r>
          </w:p>
        </w:tc>
        <w:tc>
          <w:tcPr>
            <w:tcW w:w="4514" w:type="dxa"/>
          </w:tcPr>
          <w:p w14:paraId="6210C08B" w14:textId="77777777" w:rsidR="00443C3B" w:rsidRPr="00FE5304" w:rsidRDefault="00443C3B" w:rsidP="00257A7B">
            <w:pPr>
              <w:pStyle w:val="BodyText"/>
            </w:pPr>
            <w:r w:rsidRPr="00FE5304">
              <w:t>Pay-as-you-go</w:t>
            </w:r>
          </w:p>
        </w:tc>
      </w:tr>
      <w:tr w:rsidR="00443C3B" w14:paraId="0F64E864" w14:textId="77777777" w:rsidTr="00257A7B">
        <w:tc>
          <w:tcPr>
            <w:tcW w:w="4513" w:type="dxa"/>
          </w:tcPr>
          <w:p w14:paraId="151EB340" w14:textId="77777777" w:rsidR="00443C3B" w:rsidRPr="00FE5304" w:rsidRDefault="00443C3B" w:rsidP="00257A7B">
            <w:pPr>
              <w:pStyle w:val="BodyText"/>
            </w:pPr>
            <w:r w:rsidRPr="00FE5304">
              <w:t>Data Retention</w:t>
            </w:r>
          </w:p>
        </w:tc>
        <w:tc>
          <w:tcPr>
            <w:tcW w:w="4514" w:type="dxa"/>
          </w:tcPr>
          <w:p w14:paraId="55CF5E63" w14:textId="77777777" w:rsidR="00443C3B" w:rsidRPr="00FE5304" w:rsidRDefault="00443C3B" w:rsidP="00257A7B">
            <w:pPr>
              <w:pStyle w:val="BodyText"/>
            </w:pPr>
            <w:r w:rsidRPr="00FE5304">
              <w:t>90 days</w:t>
            </w:r>
          </w:p>
        </w:tc>
      </w:tr>
      <w:tr w:rsidR="00443C3B" w14:paraId="203D6164" w14:textId="77777777" w:rsidTr="00257A7B">
        <w:tc>
          <w:tcPr>
            <w:tcW w:w="4513" w:type="dxa"/>
          </w:tcPr>
          <w:p w14:paraId="2D33F170" w14:textId="77777777" w:rsidR="00443C3B" w:rsidRPr="00FE5304" w:rsidRDefault="00443C3B" w:rsidP="00257A7B">
            <w:pPr>
              <w:pStyle w:val="BodyText"/>
            </w:pPr>
            <w:r>
              <w:t>Diagnostic Settings to be captured</w:t>
            </w:r>
          </w:p>
        </w:tc>
        <w:tc>
          <w:tcPr>
            <w:tcW w:w="4514" w:type="dxa"/>
          </w:tcPr>
          <w:p w14:paraId="3CC21680" w14:textId="77777777" w:rsidR="00443C3B" w:rsidRDefault="00443C3B" w:rsidP="00257A7B">
            <w:pPr>
              <w:pStyle w:val="BodyText"/>
            </w:pPr>
            <w:r>
              <w:t>allLogs</w:t>
            </w:r>
          </w:p>
          <w:p w14:paraId="7CE60AE8" w14:textId="77777777" w:rsidR="00443C3B" w:rsidRPr="00FE5304" w:rsidRDefault="00443C3B" w:rsidP="00257A7B">
            <w:pPr>
              <w:pStyle w:val="BodyText"/>
            </w:pPr>
            <w:r>
              <w:t>AllMetrics</w:t>
            </w:r>
          </w:p>
        </w:tc>
      </w:tr>
      <w:tr w:rsidR="00443C3B" w14:paraId="45A63846" w14:textId="77777777" w:rsidTr="00257A7B">
        <w:tc>
          <w:tcPr>
            <w:tcW w:w="4513" w:type="dxa"/>
          </w:tcPr>
          <w:p w14:paraId="6DCDFD96" w14:textId="77777777" w:rsidR="00443C3B" w:rsidRDefault="00443C3B" w:rsidP="00257A7B">
            <w:pPr>
              <w:pStyle w:val="BodyText"/>
            </w:pPr>
            <w:r>
              <w:t>Log Analytics Workspace for logs</w:t>
            </w:r>
          </w:p>
        </w:tc>
        <w:tc>
          <w:tcPr>
            <w:tcW w:w="4514" w:type="dxa"/>
          </w:tcPr>
          <w:p w14:paraId="12864F8B" w14:textId="77777777" w:rsidR="00443C3B" w:rsidRDefault="00443C3B" w:rsidP="00257A7B">
            <w:pPr>
              <w:pStyle w:val="BodyText"/>
            </w:pPr>
            <w:r w:rsidRPr="00FE5304">
              <w:t>log-prd-au</w:t>
            </w:r>
            <w:r>
              <w:t>ea</w:t>
            </w:r>
            <w:r w:rsidRPr="00FE5304">
              <w:t>-mgmt-01</w:t>
            </w:r>
          </w:p>
        </w:tc>
      </w:tr>
    </w:tbl>
    <w:p w14:paraId="14C9B8CA" w14:textId="77777777" w:rsidR="00443C3B" w:rsidRPr="00A2213C" w:rsidRDefault="00443C3B" w:rsidP="00443C3B">
      <w:pPr>
        <w:pStyle w:val="Heading2"/>
      </w:pPr>
      <w:bookmarkStart w:id="24" w:name="_Toc157090463"/>
      <w:r>
        <w:lastRenderedPageBreak/>
        <w:t>Generic Primary Region Central Log Analytics Workspace</w:t>
      </w:r>
      <w:bookmarkEnd w:id="24"/>
    </w:p>
    <w:tbl>
      <w:tblPr>
        <w:tblStyle w:val="AVTable1"/>
        <w:tblW w:w="0" w:type="auto"/>
        <w:tblLook w:val="04A0" w:firstRow="1" w:lastRow="0" w:firstColumn="1" w:lastColumn="0" w:noHBand="0" w:noVBand="1"/>
      </w:tblPr>
      <w:tblGrid>
        <w:gridCol w:w="4513"/>
        <w:gridCol w:w="4514"/>
      </w:tblGrid>
      <w:tr w:rsidR="00443C3B" w14:paraId="23C659B4"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19C2CB51" w14:textId="77777777" w:rsidR="00443C3B" w:rsidRPr="00FE5304" w:rsidRDefault="00443C3B" w:rsidP="00257A7B">
            <w:pPr>
              <w:pStyle w:val="BodyText"/>
              <w:rPr>
                <w:color w:val="FFFFFF" w:themeColor="background1"/>
              </w:rPr>
            </w:pPr>
            <w:r w:rsidRPr="00FE5304">
              <w:rPr>
                <w:color w:val="FFFFFF" w:themeColor="background1"/>
              </w:rPr>
              <w:t>Configuration Item</w:t>
            </w:r>
          </w:p>
        </w:tc>
        <w:tc>
          <w:tcPr>
            <w:tcW w:w="4514" w:type="dxa"/>
          </w:tcPr>
          <w:p w14:paraId="60FEA32A" w14:textId="77777777" w:rsidR="00443C3B" w:rsidRPr="00FE5304" w:rsidRDefault="00443C3B" w:rsidP="00257A7B">
            <w:pPr>
              <w:pStyle w:val="BodyText"/>
              <w:rPr>
                <w:color w:val="FFFFFF" w:themeColor="background1"/>
              </w:rPr>
            </w:pPr>
            <w:r w:rsidRPr="00FE5304">
              <w:rPr>
                <w:color w:val="FFFFFF" w:themeColor="background1"/>
              </w:rPr>
              <w:t>Configuration Value</w:t>
            </w:r>
          </w:p>
        </w:tc>
      </w:tr>
      <w:tr w:rsidR="00443C3B" w14:paraId="2C11899A" w14:textId="77777777" w:rsidTr="00257A7B">
        <w:tc>
          <w:tcPr>
            <w:tcW w:w="4513" w:type="dxa"/>
          </w:tcPr>
          <w:p w14:paraId="0B6C00E5" w14:textId="77777777" w:rsidR="00443C3B" w:rsidRPr="00FE5304" w:rsidRDefault="00443C3B" w:rsidP="00257A7B">
            <w:pPr>
              <w:pStyle w:val="BodyText"/>
            </w:pPr>
            <w:r w:rsidRPr="00FE5304">
              <w:t>Name</w:t>
            </w:r>
          </w:p>
        </w:tc>
        <w:tc>
          <w:tcPr>
            <w:tcW w:w="4514" w:type="dxa"/>
          </w:tcPr>
          <w:p w14:paraId="496B1500" w14:textId="77777777" w:rsidR="00443C3B" w:rsidRPr="00FE5304" w:rsidRDefault="00443C3B" w:rsidP="00257A7B">
            <w:pPr>
              <w:pStyle w:val="BodyText"/>
            </w:pPr>
            <w:r w:rsidRPr="00FE5304">
              <w:t>log-</w:t>
            </w:r>
            <w:r>
              <w:t>[env]</w:t>
            </w:r>
            <w:r w:rsidRPr="00FE5304">
              <w:t>-ause-</w:t>
            </w:r>
            <w:r>
              <w:t>[appname]</w:t>
            </w:r>
            <w:r w:rsidRPr="00FE5304">
              <w:t>-</w:t>
            </w:r>
            <w:r>
              <w:t>[workload]-</w:t>
            </w:r>
            <w:r w:rsidRPr="00FE5304">
              <w:t>01</w:t>
            </w:r>
          </w:p>
        </w:tc>
      </w:tr>
      <w:tr w:rsidR="00443C3B" w14:paraId="376B51BF" w14:textId="77777777" w:rsidTr="00257A7B">
        <w:tc>
          <w:tcPr>
            <w:tcW w:w="4513" w:type="dxa"/>
          </w:tcPr>
          <w:p w14:paraId="37D8A24D" w14:textId="77777777" w:rsidR="00443C3B" w:rsidRPr="00FE5304" w:rsidRDefault="00443C3B" w:rsidP="00257A7B">
            <w:pPr>
              <w:pStyle w:val="BodyText"/>
            </w:pPr>
            <w:r w:rsidRPr="00FE5304">
              <w:t>Subscription</w:t>
            </w:r>
          </w:p>
        </w:tc>
        <w:tc>
          <w:tcPr>
            <w:tcW w:w="4514" w:type="dxa"/>
          </w:tcPr>
          <w:p w14:paraId="0CD73726" w14:textId="77777777" w:rsidR="00443C3B" w:rsidRPr="00FE5304" w:rsidRDefault="00443C3B" w:rsidP="00257A7B">
            <w:pPr>
              <w:pStyle w:val="BodyText"/>
            </w:pPr>
            <w:r w:rsidRPr="00FE5304">
              <w:t xml:space="preserve">AV ALZ </w:t>
            </w:r>
            <w:r>
              <w:t>[Subscription Name]</w:t>
            </w:r>
          </w:p>
        </w:tc>
      </w:tr>
      <w:tr w:rsidR="00443C3B" w14:paraId="0A0195AC" w14:textId="77777777" w:rsidTr="00257A7B">
        <w:tc>
          <w:tcPr>
            <w:tcW w:w="4513" w:type="dxa"/>
          </w:tcPr>
          <w:p w14:paraId="2B2BD4EB" w14:textId="77777777" w:rsidR="00443C3B" w:rsidRPr="00FE5304" w:rsidRDefault="00443C3B" w:rsidP="00257A7B">
            <w:pPr>
              <w:pStyle w:val="BodyText"/>
            </w:pPr>
            <w:r w:rsidRPr="00FE5304">
              <w:t>Pricing Tier</w:t>
            </w:r>
          </w:p>
        </w:tc>
        <w:tc>
          <w:tcPr>
            <w:tcW w:w="4514" w:type="dxa"/>
          </w:tcPr>
          <w:p w14:paraId="4B940E9E" w14:textId="77777777" w:rsidR="00443C3B" w:rsidRPr="00FE5304" w:rsidRDefault="00443C3B" w:rsidP="00257A7B">
            <w:pPr>
              <w:pStyle w:val="BodyText"/>
            </w:pPr>
            <w:r w:rsidRPr="00FE5304">
              <w:t>Pay-as-you-go</w:t>
            </w:r>
          </w:p>
        </w:tc>
      </w:tr>
      <w:tr w:rsidR="00443C3B" w14:paraId="7338514F" w14:textId="77777777" w:rsidTr="00257A7B">
        <w:tc>
          <w:tcPr>
            <w:tcW w:w="4513" w:type="dxa"/>
          </w:tcPr>
          <w:p w14:paraId="79D7ABE4" w14:textId="77777777" w:rsidR="00443C3B" w:rsidRPr="00FE5304" w:rsidRDefault="00443C3B" w:rsidP="00257A7B">
            <w:pPr>
              <w:pStyle w:val="BodyText"/>
            </w:pPr>
            <w:r w:rsidRPr="00FE5304">
              <w:t>Data Retention</w:t>
            </w:r>
          </w:p>
        </w:tc>
        <w:tc>
          <w:tcPr>
            <w:tcW w:w="4514" w:type="dxa"/>
          </w:tcPr>
          <w:p w14:paraId="61EA43CF" w14:textId="77777777" w:rsidR="00443C3B" w:rsidRPr="00FE5304" w:rsidRDefault="00443C3B" w:rsidP="00257A7B">
            <w:pPr>
              <w:pStyle w:val="BodyText"/>
            </w:pPr>
            <w:r w:rsidRPr="00FE5304">
              <w:t>90 days</w:t>
            </w:r>
          </w:p>
        </w:tc>
      </w:tr>
      <w:tr w:rsidR="00443C3B" w14:paraId="4E7580F5" w14:textId="77777777" w:rsidTr="00257A7B">
        <w:tc>
          <w:tcPr>
            <w:tcW w:w="4513" w:type="dxa"/>
          </w:tcPr>
          <w:p w14:paraId="5294403B" w14:textId="77777777" w:rsidR="00443C3B" w:rsidRPr="00FE5304" w:rsidRDefault="00443C3B" w:rsidP="00257A7B">
            <w:pPr>
              <w:pStyle w:val="BodyText"/>
            </w:pPr>
            <w:r>
              <w:t>Diagnostic Settings to be captured</w:t>
            </w:r>
          </w:p>
        </w:tc>
        <w:tc>
          <w:tcPr>
            <w:tcW w:w="4514" w:type="dxa"/>
          </w:tcPr>
          <w:p w14:paraId="1C70ED14" w14:textId="77777777" w:rsidR="00443C3B" w:rsidRDefault="00443C3B" w:rsidP="00257A7B">
            <w:pPr>
              <w:pStyle w:val="BodyText"/>
            </w:pPr>
            <w:r>
              <w:t>allLogs</w:t>
            </w:r>
          </w:p>
          <w:p w14:paraId="3343E358" w14:textId="77777777" w:rsidR="00443C3B" w:rsidRPr="00FE5304" w:rsidRDefault="00443C3B" w:rsidP="00257A7B">
            <w:pPr>
              <w:pStyle w:val="BodyText"/>
            </w:pPr>
            <w:r>
              <w:t>AllMetrics</w:t>
            </w:r>
          </w:p>
        </w:tc>
      </w:tr>
      <w:tr w:rsidR="00443C3B" w14:paraId="1050180D" w14:textId="77777777" w:rsidTr="00257A7B">
        <w:tc>
          <w:tcPr>
            <w:tcW w:w="4513" w:type="dxa"/>
          </w:tcPr>
          <w:p w14:paraId="0CE1169E" w14:textId="77777777" w:rsidR="00443C3B" w:rsidRDefault="00443C3B" w:rsidP="00257A7B">
            <w:pPr>
              <w:pStyle w:val="BodyText"/>
            </w:pPr>
            <w:r>
              <w:t>Log Analytics Workspace for logs</w:t>
            </w:r>
          </w:p>
        </w:tc>
        <w:tc>
          <w:tcPr>
            <w:tcW w:w="4514" w:type="dxa"/>
          </w:tcPr>
          <w:p w14:paraId="322D562F" w14:textId="77777777" w:rsidR="00443C3B" w:rsidRDefault="00443C3B" w:rsidP="00257A7B">
            <w:pPr>
              <w:pStyle w:val="BodyText"/>
            </w:pPr>
            <w:r w:rsidRPr="00FE5304">
              <w:t>log-prd-ause-mgmt-01</w:t>
            </w:r>
          </w:p>
        </w:tc>
      </w:tr>
    </w:tbl>
    <w:p w14:paraId="6BB76F6E" w14:textId="77777777" w:rsidR="00443C3B" w:rsidRPr="00A2213C" w:rsidRDefault="00443C3B" w:rsidP="00443C3B">
      <w:pPr>
        <w:pStyle w:val="Heading2"/>
      </w:pPr>
      <w:bookmarkStart w:id="25" w:name="_Toc157090464"/>
      <w:r>
        <w:t>Generic DR Region Central Log Analytics Workspace</w:t>
      </w:r>
      <w:bookmarkEnd w:id="25"/>
    </w:p>
    <w:tbl>
      <w:tblPr>
        <w:tblStyle w:val="AVTable1"/>
        <w:tblW w:w="0" w:type="auto"/>
        <w:tblLook w:val="04A0" w:firstRow="1" w:lastRow="0" w:firstColumn="1" w:lastColumn="0" w:noHBand="0" w:noVBand="1"/>
      </w:tblPr>
      <w:tblGrid>
        <w:gridCol w:w="4513"/>
        <w:gridCol w:w="4514"/>
      </w:tblGrid>
      <w:tr w:rsidR="00443C3B" w14:paraId="30F2F94F" w14:textId="77777777" w:rsidTr="00257A7B">
        <w:trPr>
          <w:cnfStyle w:val="100000000000" w:firstRow="1" w:lastRow="0" w:firstColumn="0" w:lastColumn="0" w:oddVBand="0" w:evenVBand="0" w:oddHBand="0" w:evenHBand="0" w:firstRowFirstColumn="0" w:firstRowLastColumn="0" w:lastRowFirstColumn="0" w:lastRowLastColumn="0"/>
        </w:trPr>
        <w:tc>
          <w:tcPr>
            <w:tcW w:w="4513" w:type="dxa"/>
          </w:tcPr>
          <w:p w14:paraId="773ABE74" w14:textId="77777777" w:rsidR="00443C3B" w:rsidRPr="00FE5304" w:rsidRDefault="00443C3B" w:rsidP="00257A7B">
            <w:pPr>
              <w:pStyle w:val="BodyText"/>
              <w:rPr>
                <w:color w:val="FFFFFF" w:themeColor="background1"/>
              </w:rPr>
            </w:pPr>
            <w:r w:rsidRPr="00FE5304">
              <w:rPr>
                <w:color w:val="FFFFFF" w:themeColor="background1"/>
              </w:rPr>
              <w:t>Configuration Item</w:t>
            </w:r>
          </w:p>
        </w:tc>
        <w:tc>
          <w:tcPr>
            <w:tcW w:w="4514" w:type="dxa"/>
          </w:tcPr>
          <w:p w14:paraId="23A94CC5" w14:textId="77777777" w:rsidR="00443C3B" w:rsidRPr="00FE5304" w:rsidRDefault="00443C3B" w:rsidP="00257A7B">
            <w:pPr>
              <w:pStyle w:val="BodyText"/>
              <w:rPr>
                <w:color w:val="FFFFFF" w:themeColor="background1"/>
              </w:rPr>
            </w:pPr>
            <w:r w:rsidRPr="00FE5304">
              <w:rPr>
                <w:color w:val="FFFFFF" w:themeColor="background1"/>
              </w:rPr>
              <w:t>Configuration Value</w:t>
            </w:r>
          </w:p>
        </w:tc>
      </w:tr>
      <w:tr w:rsidR="00443C3B" w14:paraId="59B49F07" w14:textId="77777777" w:rsidTr="00257A7B">
        <w:tc>
          <w:tcPr>
            <w:tcW w:w="4513" w:type="dxa"/>
          </w:tcPr>
          <w:p w14:paraId="74531A12" w14:textId="77777777" w:rsidR="00443C3B" w:rsidRPr="00FE5304" w:rsidRDefault="00443C3B" w:rsidP="00257A7B">
            <w:pPr>
              <w:pStyle w:val="BodyText"/>
            </w:pPr>
            <w:r w:rsidRPr="00FE5304">
              <w:t>Name</w:t>
            </w:r>
          </w:p>
        </w:tc>
        <w:tc>
          <w:tcPr>
            <w:tcW w:w="4514" w:type="dxa"/>
          </w:tcPr>
          <w:p w14:paraId="331C2498" w14:textId="77777777" w:rsidR="00443C3B" w:rsidRPr="00FE5304" w:rsidRDefault="00443C3B" w:rsidP="00257A7B">
            <w:pPr>
              <w:pStyle w:val="BodyText"/>
            </w:pPr>
            <w:r w:rsidRPr="00FE5304">
              <w:t>log-</w:t>
            </w:r>
            <w:r>
              <w:t>[env]</w:t>
            </w:r>
            <w:r w:rsidRPr="00FE5304">
              <w:t>-au</w:t>
            </w:r>
            <w:r>
              <w:t>ea</w:t>
            </w:r>
            <w:r w:rsidRPr="00FE5304">
              <w:t>-</w:t>
            </w:r>
            <w:r>
              <w:t>[appname]</w:t>
            </w:r>
            <w:r w:rsidRPr="00FE5304">
              <w:t>-</w:t>
            </w:r>
            <w:r>
              <w:t>[workload]-</w:t>
            </w:r>
            <w:r w:rsidRPr="00FE5304">
              <w:t>01</w:t>
            </w:r>
          </w:p>
        </w:tc>
      </w:tr>
      <w:tr w:rsidR="00443C3B" w14:paraId="69E16147" w14:textId="77777777" w:rsidTr="00257A7B">
        <w:tc>
          <w:tcPr>
            <w:tcW w:w="4513" w:type="dxa"/>
          </w:tcPr>
          <w:p w14:paraId="0145B826" w14:textId="77777777" w:rsidR="00443C3B" w:rsidRPr="00FE5304" w:rsidRDefault="00443C3B" w:rsidP="00257A7B">
            <w:pPr>
              <w:pStyle w:val="BodyText"/>
            </w:pPr>
            <w:r w:rsidRPr="00FE5304">
              <w:t>Subscription</w:t>
            </w:r>
          </w:p>
        </w:tc>
        <w:tc>
          <w:tcPr>
            <w:tcW w:w="4514" w:type="dxa"/>
          </w:tcPr>
          <w:p w14:paraId="6AB62CCB" w14:textId="77777777" w:rsidR="00443C3B" w:rsidRPr="00FE5304" w:rsidRDefault="00443C3B" w:rsidP="00257A7B">
            <w:pPr>
              <w:pStyle w:val="BodyText"/>
            </w:pPr>
            <w:r w:rsidRPr="00FE5304">
              <w:t xml:space="preserve">AV ALZ </w:t>
            </w:r>
            <w:r>
              <w:t>[Subscription Name]</w:t>
            </w:r>
          </w:p>
        </w:tc>
      </w:tr>
      <w:tr w:rsidR="00443C3B" w14:paraId="54A08292" w14:textId="77777777" w:rsidTr="00257A7B">
        <w:tc>
          <w:tcPr>
            <w:tcW w:w="4513" w:type="dxa"/>
          </w:tcPr>
          <w:p w14:paraId="065DDDED" w14:textId="77777777" w:rsidR="00443C3B" w:rsidRPr="00FE5304" w:rsidRDefault="00443C3B" w:rsidP="00257A7B">
            <w:pPr>
              <w:pStyle w:val="BodyText"/>
            </w:pPr>
            <w:r w:rsidRPr="00FE5304">
              <w:t>Pricing Tier</w:t>
            </w:r>
          </w:p>
        </w:tc>
        <w:tc>
          <w:tcPr>
            <w:tcW w:w="4514" w:type="dxa"/>
          </w:tcPr>
          <w:p w14:paraId="5A178D9C" w14:textId="77777777" w:rsidR="00443C3B" w:rsidRPr="00FE5304" w:rsidRDefault="00443C3B" w:rsidP="00257A7B">
            <w:pPr>
              <w:pStyle w:val="BodyText"/>
            </w:pPr>
            <w:r w:rsidRPr="00FE5304">
              <w:t>Pay-as-you-go</w:t>
            </w:r>
          </w:p>
        </w:tc>
      </w:tr>
      <w:tr w:rsidR="00443C3B" w14:paraId="4771CDEA" w14:textId="77777777" w:rsidTr="00257A7B">
        <w:tc>
          <w:tcPr>
            <w:tcW w:w="4513" w:type="dxa"/>
          </w:tcPr>
          <w:p w14:paraId="2CBE0045" w14:textId="77777777" w:rsidR="00443C3B" w:rsidRPr="00FE5304" w:rsidRDefault="00443C3B" w:rsidP="00257A7B">
            <w:pPr>
              <w:pStyle w:val="BodyText"/>
            </w:pPr>
            <w:r w:rsidRPr="00FE5304">
              <w:t>Data Retention</w:t>
            </w:r>
          </w:p>
        </w:tc>
        <w:tc>
          <w:tcPr>
            <w:tcW w:w="4514" w:type="dxa"/>
          </w:tcPr>
          <w:p w14:paraId="101D19C1" w14:textId="77777777" w:rsidR="00443C3B" w:rsidRPr="00FE5304" w:rsidRDefault="00443C3B" w:rsidP="00257A7B">
            <w:pPr>
              <w:pStyle w:val="BodyText"/>
            </w:pPr>
            <w:r w:rsidRPr="00FE5304">
              <w:t>90 days</w:t>
            </w:r>
          </w:p>
        </w:tc>
      </w:tr>
      <w:tr w:rsidR="00443C3B" w14:paraId="7A90B990" w14:textId="77777777" w:rsidTr="00257A7B">
        <w:tc>
          <w:tcPr>
            <w:tcW w:w="4513" w:type="dxa"/>
          </w:tcPr>
          <w:p w14:paraId="73F56AD0" w14:textId="77777777" w:rsidR="00443C3B" w:rsidRPr="00FE5304" w:rsidRDefault="00443C3B" w:rsidP="00257A7B">
            <w:pPr>
              <w:pStyle w:val="BodyText"/>
            </w:pPr>
            <w:r>
              <w:t>Diagnostic Settings to be captured</w:t>
            </w:r>
          </w:p>
        </w:tc>
        <w:tc>
          <w:tcPr>
            <w:tcW w:w="4514" w:type="dxa"/>
          </w:tcPr>
          <w:p w14:paraId="290FA17A" w14:textId="77777777" w:rsidR="00443C3B" w:rsidRDefault="00443C3B" w:rsidP="00257A7B">
            <w:pPr>
              <w:pStyle w:val="BodyText"/>
            </w:pPr>
            <w:r>
              <w:t>allLogs</w:t>
            </w:r>
          </w:p>
          <w:p w14:paraId="57B29F29" w14:textId="77777777" w:rsidR="00443C3B" w:rsidRPr="00FE5304" w:rsidRDefault="00443C3B" w:rsidP="00257A7B">
            <w:pPr>
              <w:pStyle w:val="BodyText"/>
            </w:pPr>
            <w:r>
              <w:t>AllMetrics</w:t>
            </w:r>
          </w:p>
        </w:tc>
      </w:tr>
      <w:tr w:rsidR="00443C3B" w14:paraId="68D49E0A" w14:textId="77777777" w:rsidTr="00257A7B">
        <w:tc>
          <w:tcPr>
            <w:tcW w:w="4513" w:type="dxa"/>
          </w:tcPr>
          <w:p w14:paraId="1D2BC911" w14:textId="77777777" w:rsidR="00443C3B" w:rsidRDefault="00443C3B" w:rsidP="00257A7B">
            <w:pPr>
              <w:pStyle w:val="BodyText"/>
            </w:pPr>
            <w:r>
              <w:t>Log Analytics Workspace for logs</w:t>
            </w:r>
          </w:p>
        </w:tc>
        <w:tc>
          <w:tcPr>
            <w:tcW w:w="4514" w:type="dxa"/>
          </w:tcPr>
          <w:p w14:paraId="33CD5F7A" w14:textId="77777777" w:rsidR="00443C3B" w:rsidRDefault="00443C3B" w:rsidP="00257A7B">
            <w:pPr>
              <w:pStyle w:val="BodyText"/>
            </w:pPr>
            <w:r w:rsidRPr="00FE5304">
              <w:t>log-prd-au</w:t>
            </w:r>
            <w:r>
              <w:t>ea</w:t>
            </w:r>
            <w:r w:rsidRPr="00FE5304">
              <w:t>-mgmt-01</w:t>
            </w:r>
          </w:p>
        </w:tc>
      </w:tr>
    </w:tbl>
    <w:p w14:paraId="581206F8" w14:textId="77777777" w:rsidR="00443C3B" w:rsidRPr="008451F7" w:rsidRDefault="00443C3B" w:rsidP="008451F7">
      <w:pPr>
        <w:pStyle w:val="BodyText"/>
      </w:pPr>
    </w:p>
    <w:p w14:paraId="3013D503" w14:textId="015BF3EE" w:rsidR="008451F7" w:rsidRPr="00FE4090" w:rsidRDefault="008451F7" w:rsidP="00BE7CBD">
      <w:pPr>
        <w:pStyle w:val="BodyText"/>
        <w:jc w:val="both"/>
      </w:pPr>
    </w:p>
    <w:p w14:paraId="4D1DA2C6" w14:textId="4E19CDBB" w:rsidR="000932FC" w:rsidRPr="005F3C61" w:rsidRDefault="000932FC" w:rsidP="000932FC">
      <w:pPr>
        <w:pStyle w:val="Heading1"/>
        <w:numPr>
          <w:ilvl w:val="0"/>
          <w:numId w:val="0"/>
        </w:numPr>
        <w:ind w:left="510" w:hanging="510"/>
        <w:jc w:val="both"/>
        <w:rPr>
          <w:rFonts w:cs="Arial"/>
        </w:rPr>
      </w:pPr>
      <w:bookmarkStart w:id="26" w:name="_Toc158801767"/>
      <w:r>
        <w:rPr>
          <w:rFonts w:cs="Arial"/>
        </w:rPr>
        <w:t>Configuration Templates</w:t>
      </w:r>
      <w:bookmarkEnd w:id="26"/>
      <w:r w:rsidRPr="005F3C61">
        <w:rPr>
          <w:highlight w:val="yellow"/>
        </w:rPr>
        <w:t xml:space="preserve"> </w:t>
      </w:r>
      <w:r>
        <w:t xml:space="preserve">for </w:t>
      </w:r>
      <w:r w:rsidRPr="000932FC">
        <w:rPr>
          <w:highlight w:val="yellow"/>
        </w:rPr>
        <w:t>Azure Monitor and Insights</w:t>
      </w:r>
      <w:r>
        <w:t>:-</w:t>
      </w:r>
    </w:p>
    <w:p w14:paraId="04FA5F8C" w14:textId="77777777" w:rsidR="000932FC" w:rsidRDefault="000932FC" w:rsidP="000932FC">
      <w:pPr>
        <w:pStyle w:val="Heading2"/>
      </w:pPr>
      <w:bookmarkStart w:id="27" w:name="_Toc158801768"/>
      <w:r>
        <w:t>Primary Region Azure Application Insights (Platinum, Gold, Silver)</w:t>
      </w:r>
      <w:bookmarkEnd w:id="27"/>
    </w:p>
    <w:tbl>
      <w:tblPr>
        <w:tblStyle w:val="AVTable1"/>
        <w:tblW w:w="0" w:type="auto"/>
        <w:tblLook w:val="04A0" w:firstRow="1" w:lastRow="0" w:firstColumn="1" w:lastColumn="0" w:noHBand="0" w:noVBand="1"/>
      </w:tblPr>
      <w:tblGrid>
        <w:gridCol w:w="4111"/>
        <w:gridCol w:w="4916"/>
      </w:tblGrid>
      <w:tr w:rsidR="000932FC" w14:paraId="2B5D11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14303AA1"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1945F1E1"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62313205" w14:textId="77777777" w:rsidTr="00257A7B">
        <w:tc>
          <w:tcPr>
            <w:tcW w:w="4111" w:type="dxa"/>
          </w:tcPr>
          <w:p w14:paraId="2C823B6D" w14:textId="77777777" w:rsidR="000932FC" w:rsidRDefault="000932FC" w:rsidP="00257A7B">
            <w:pPr>
              <w:pStyle w:val="BodyText"/>
            </w:pPr>
            <w:r>
              <w:t>Name</w:t>
            </w:r>
          </w:p>
        </w:tc>
        <w:tc>
          <w:tcPr>
            <w:tcW w:w="4916" w:type="dxa"/>
          </w:tcPr>
          <w:p w14:paraId="1B2E81AB" w14:textId="77777777" w:rsidR="000932FC" w:rsidRDefault="000932FC" w:rsidP="00257A7B">
            <w:pPr>
              <w:pStyle w:val="BodyText"/>
            </w:pPr>
            <w:r>
              <w:t>appi-prd-ause-[appname]-01</w:t>
            </w:r>
          </w:p>
        </w:tc>
      </w:tr>
      <w:tr w:rsidR="000932FC" w14:paraId="27DFAA71" w14:textId="77777777" w:rsidTr="00257A7B">
        <w:tc>
          <w:tcPr>
            <w:tcW w:w="4111" w:type="dxa"/>
          </w:tcPr>
          <w:p w14:paraId="1458CCCD" w14:textId="77777777" w:rsidR="000932FC" w:rsidRDefault="000932FC" w:rsidP="00257A7B">
            <w:pPr>
              <w:pStyle w:val="BodyText"/>
            </w:pPr>
            <w:r>
              <w:t>Subscription</w:t>
            </w:r>
          </w:p>
        </w:tc>
        <w:tc>
          <w:tcPr>
            <w:tcW w:w="4916" w:type="dxa"/>
          </w:tcPr>
          <w:p w14:paraId="2DB585ED" w14:textId="77777777" w:rsidR="000932FC" w:rsidRDefault="000932FC" w:rsidP="00257A7B">
            <w:pPr>
              <w:pStyle w:val="BodyText"/>
            </w:pPr>
            <w:r>
              <w:t>AV ALZ [Subscription Name]</w:t>
            </w:r>
          </w:p>
        </w:tc>
      </w:tr>
      <w:tr w:rsidR="000932FC" w14:paraId="08245A20" w14:textId="77777777" w:rsidTr="00257A7B">
        <w:tc>
          <w:tcPr>
            <w:tcW w:w="4111" w:type="dxa"/>
          </w:tcPr>
          <w:p w14:paraId="4A9A869E" w14:textId="77777777" w:rsidR="000932FC" w:rsidRDefault="000932FC" w:rsidP="00257A7B">
            <w:pPr>
              <w:pStyle w:val="BodyText"/>
            </w:pPr>
            <w:r>
              <w:t>Region</w:t>
            </w:r>
          </w:p>
        </w:tc>
        <w:tc>
          <w:tcPr>
            <w:tcW w:w="4916" w:type="dxa"/>
          </w:tcPr>
          <w:p w14:paraId="252B45E0" w14:textId="77777777" w:rsidR="000932FC" w:rsidRDefault="000932FC" w:rsidP="00257A7B">
            <w:pPr>
              <w:pStyle w:val="BodyText"/>
            </w:pPr>
            <w:r>
              <w:t>Australia Southeast</w:t>
            </w:r>
          </w:p>
        </w:tc>
      </w:tr>
      <w:tr w:rsidR="000932FC" w14:paraId="18A11491" w14:textId="77777777" w:rsidTr="00257A7B">
        <w:tc>
          <w:tcPr>
            <w:tcW w:w="4111" w:type="dxa"/>
          </w:tcPr>
          <w:p w14:paraId="75A2367E" w14:textId="77777777" w:rsidR="000932FC" w:rsidRDefault="000932FC" w:rsidP="00257A7B">
            <w:pPr>
              <w:pStyle w:val="BodyText"/>
            </w:pPr>
            <w:r>
              <w:t>Resource Mode</w:t>
            </w:r>
          </w:p>
        </w:tc>
        <w:tc>
          <w:tcPr>
            <w:tcW w:w="4916" w:type="dxa"/>
          </w:tcPr>
          <w:p w14:paraId="6B117ACE" w14:textId="77777777" w:rsidR="000932FC" w:rsidRDefault="000932FC" w:rsidP="00257A7B">
            <w:pPr>
              <w:pStyle w:val="BodyText"/>
            </w:pPr>
            <w:r>
              <w:t>Workspace-based</w:t>
            </w:r>
          </w:p>
        </w:tc>
      </w:tr>
      <w:tr w:rsidR="000932FC" w14:paraId="2BE05DC9" w14:textId="77777777" w:rsidTr="00257A7B">
        <w:tc>
          <w:tcPr>
            <w:tcW w:w="4111" w:type="dxa"/>
          </w:tcPr>
          <w:p w14:paraId="769ECF85" w14:textId="77777777" w:rsidR="000932FC" w:rsidRDefault="000932FC" w:rsidP="00257A7B">
            <w:pPr>
              <w:pStyle w:val="BodyText"/>
            </w:pPr>
            <w:r>
              <w:t>Workspace Subscription</w:t>
            </w:r>
          </w:p>
        </w:tc>
        <w:tc>
          <w:tcPr>
            <w:tcW w:w="4916" w:type="dxa"/>
          </w:tcPr>
          <w:p w14:paraId="458C2125" w14:textId="77777777" w:rsidR="000932FC" w:rsidRDefault="000932FC" w:rsidP="00257A7B">
            <w:pPr>
              <w:pStyle w:val="BodyText"/>
            </w:pPr>
            <w:r>
              <w:t>AV ALZ Management</w:t>
            </w:r>
          </w:p>
        </w:tc>
      </w:tr>
      <w:tr w:rsidR="000932FC" w14:paraId="19CC9AD8" w14:textId="77777777" w:rsidTr="00257A7B">
        <w:tc>
          <w:tcPr>
            <w:tcW w:w="4111" w:type="dxa"/>
          </w:tcPr>
          <w:p w14:paraId="597ABD96" w14:textId="77777777" w:rsidR="000932FC" w:rsidRDefault="000932FC" w:rsidP="00257A7B">
            <w:pPr>
              <w:pStyle w:val="BodyText"/>
            </w:pPr>
            <w:r>
              <w:t>Workspace Name</w:t>
            </w:r>
          </w:p>
        </w:tc>
        <w:tc>
          <w:tcPr>
            <w:tcW w:w="4916" w:type="dxa"/>
          </w:tcPr>
          <w:p w14:paraId="54C80DF7" w14:textId="2D1E391A" w:rsidR="000932FC" w:rsidRDefault="00317F12" w:rsidP="00257A7B">
            <w:pPr>
              <w:pStyle w:val="BodyText"/>
            </w:pPr>
            <w:r>
              <w:t>log-</w:t>
            </w:r>
            <w:r w:rsidR="000932FC">
              <w:t>prd-ause-mgmt-01</w:t>
            </w:r>
          </w:p>
        </w:tc>
      </w:tr>
    </w:tbl>
    <w:p w14:paraId="595D0957" w14:textId="77777777" w:rsidR="000932FC" w:rsidRPr="00272BD6" w:rsidRDefault="000932FC" w:rsidP="000932FC">
      <w:pPr>
        <w:pStyle w:val="BodyText"/>
      </w:pPr>
    </w:p>
    <w:p w14:paraId="613C2346" w14:textId="77777777" w:rsidR="000932FC" w:rsidRDefault="000932FC" w:rsidP="000932FC">
      <w:pPr>
        <w:pStyle w:val="Heading2"/>
      </w:pPr>
      <w:bookmarkStart w:id="28" w:name="_Toc158801769"/>
      <w:r>
        <w:lastRenderedPageBreak/>
        <w:t>Secondary Region Azure Application Insights (Platinum, Gold, Silver)</w:t>
      </w:r>
      <w:bookmarkEnd w:id="28"/>
    </w:p>
    <w:tbl>
      <w:tblPr>
        <w:tblStyle w:val="AVTable1"/>
        <w:tblW w:w="0" w:type="auto"/>
        <w:tblLook w:val="04A0" w:firstRow="1" w:lastRow="0" w:firstColumn="1" w:lastColumn="0" w:noHBand="0" w:noVBand="1"/>
      </w:tblPr>
      <w:tblGrid>
        <w:gridCol w:w="4111"/>
        <w:gridCol w:w="4916"/>
      </w:tblGrid>
      <w:tr w:rsidR="000932FC" w14:paraId="065777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5B221802"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45FFEDED"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3A31D0B9" w14:textId="77777777" w:rsidTr="00257A7B">
        <w:tc>
          <w:tcPr>
            <w:tcW w:w="4111" w:type="dxa"/>
          </w:tcPr>
          <w:p w14:paraId="649D254E" w14:textId="77777777" w:rsidR="000932FC" w:rsidRDefault="000932FC" w:rsidP="00257A7B">
            <w:pPr>
              <w:pStyle w:val="BodyText"/>
            </w:pPr>
            <w:r>
              <w:t>Name</w:t>
            </w:r>
          </w:p>
        </w:tc>
        <w:tc>
          <w:tcPr>
            <w:tcW w:w="4916" w:type="dxa"/>
          </w:tcPr>
          <w:p w14:paraId="7BAD15FF" w14:textId="77777777" w:rsidR="000932FC" w:rsidRDefault="000932FC" w:rsidP="00257A7B">
            <w:pPr>
              <w:pStyle w:val="BodyText"/>
            </w:pPr>
            <w:r>
              <w:t>appi-prd-auea-[appname]-01</w:t>
            </w:r>
          </w:p>
        </w:tc>
      </w:tr>
      <w:tr w:rsidR="000932FC" w14:paraId="2AA9A78A" w14:textId="77777777" w:rsidTr="00257A7B">
        <w:tc>
          <w:tcPr>
            <w:tcW w:w="4111" w:type="dxa"/>
          </w:tcPr>
          <w:p w14:paraId="24211111" w14:textId="77777777" w:rsidR="000932FC" w:rsidRDefault="000932FC" w:rsidP="00257A7B">
            <w:pPr>
              <w:pStyle w:val="BodyText"/>
            </w:pPr>
            <w:r>
              <w:t>Subscription</w:t>
            </w:r>
          </w:p>
        </w:tc>
        <w:tc>
          <w:tcPr>
            <w:tcW w:w="4916" w:type="dxa"/>
          </w:tcPr>
          <w:p w14:paraId="23987412" w14:textId="77777777" w:rsidR="000932FC" w:rsidRDefault="000932FC" w:rsidP="00257A7B">
            <w:pPr>
              <w:pStyle w:val="BodyText"/>
            </w:pPr>
            <w:r>
              <w:t>AV ALZ [Subscription Name]</w:t>
            </w:r>
          </w:p>
        </w:tc>
      </w:tr>
      <w:tr w:rsidR="000932FC" w14:paraId="240F7D92" w14:textId="77777777" w:rsidTr="00257A7B">
        <w:tc>
          <w:tcPr>
            <w:tcW w:w="4111" w:type="dxa"/>
          </w:tcPr>
          <w:p w14:paraId="498D1A2C" w14:textId="77777777" w:rsidR="000932FC" w:rsidRDefault="000932FC" w:rsidP="00257A7B">
            <w:pPr>
              <w:pStyle w:val="BodyText"/>
            </w:pPr>
            <w:r>
              <w:t>Region</w:t>
            </w:r>
          </w:p>
        </w:tc>
        <w:tc>
          <w:tcPr>
            <w:tcW w:w="4916" w:type="dxa"/>
          </w:tcPr>
          <w:p w14:paraId="4531D6F0" w14:textId="77777777" w:rsidR="000932FC" w:rsidRDefault="000932FC" w:rsidP="00257A7B">
            <w:pPr>
              <w:pStyle w:val="BodyText"/>
            </w:pPr>
            <w:r>
              <w:t>Australia East</w:t>
            </w:r>
          </w:p>
        </w:tc>
      </w:tr>
      <w:tr w:rsidR="000932FC" w14:paraId="68887F7E" w14:textId="77777777" w:rsidTr="00257A7B">
        <w:tc>
          <w:tcPr>
            <w:tcW w:w="4111" w:type="dxa"/>
          </w:tcPr>
          <w:p w14:paraId="01510F5A" w14:textId="77777777" w:rsidR="000932FC" w:rsidRDefault="000932FC" w:rsidP="00257A7B">
            <w:pPr>
              <w:pStyle w:val="BodyText"/>
            </w:pPr>
            <w:r>
              <w:t>Resource Mode</w:t>
            </w:r>
          </w:p>
        </w:tc>
        <w:tc>
          <w:tcPr>
            <w:tcW w:w="4916" w:type="dxa"/>
          </w:tcPr>
          <w:p w14:paraId="1DC6A3D9" w14:textId="77777777" w:rsidR="000932FC" w:rsidRDefault="000932FC" w:rsidP="00257A7B">
            <w:pPr>
              <w:pStyle w:val="BodyText"/>
            </w:pPr>
            <w:r>
              <w:t>Workspace-based</w:t>
            </w:r>
          </w:p>
        </w:tc>
      </w:tr>
      <w:tr w:rsidR="000932FC" w14:paraId="5184DA39" w14:textId="77777777" w:rsidTr="00257A7B">
        <w:tc>
          <w:tcPr>
            <w:tcW w:w="4111" w:type="dxa"/>
          </w:tcPr>
          <w:p w14:paraId="578FEAF0" w14:textId="77777777" w:rsidR="000932FC" w:rsidRDefault="000932FC" w:rsidP="00257A7B">
            <w:pPr>
              <w:pStyle w:val="BodyText"/>
            </w:pPr>
            <w:r>
              <w:t>Workspace Subscription</w:t>
            </w:r>
          </w:p>
        </w:tc>
        <w:tc>
          <w:tcPr>
            <w:tcW w:w="4916" w:type="dxa"/>
          </w:tcPr>
          <w:p w14:paraId="4734D965" w14:textId="77777777" w:rsidR="000932FC" w:rsidRDefault="000932FC" w:rsidP="00257A7B">
            <w:pPr>
              <w:pStyle w:val="BodyText"/>
            </w:pPr>
            <w:r>
              <w:t>AV ALZ Management</w:t>
            </w:r>
          </w:p>
        </w:tc>
      </w:tr>
      <w:tr w:rsidR="000932FC" w14:paraId="4323EADA" w14:textId="77777777" w:rsidTr="00257A7B">
        <w:tc>
          <w:tcPr>
            <w:tcW w:w="4111" w:type="dxa"/>
          </w:tcPr>
          <w:p w14:paraId="70B49113" w14:textId="77777777" w:rsidR="000932FC" w:rsidRDefault="000932FC" w:rsidP="00257A7B">
            <w:pPr>
              <w:pStyle w:val="BodyText"/>
            </w:pPr>
            <w:r>
              <w:t>Workspace Name</w:t>
            </w:r>
          </w:p>
        </w:tc>
        <w:tc>
          <w:tcPr>
            <w:tcW w:w="4916" w:type="dxa"/>
          </w:tcPr>
          <w:p w14:paraId="5A2E73F9" w14:textId="77777777" w:rsidR="000932FC" w:rsidRDefault="000932FC" w:rsidP="00257A7B">
            <w:pPr>
              <w:pStyle w:val="BodyText"/>
            </w:pPr>
            <w:r>
              <w:t>log-prd-auea-mgmt-01</w:t>
            </w:r>
          </w:p>
        </w:tc>
      </w:tr>
    </w:tbl>
    <w:p w14:paraId="332F727A" w14:textId="77777777" w:rsidR="00E42EF6" w:rsidRDefault="00E42EF6" w:rsidP="00441740">
      <w:pPr>
        <w:pStyle w:val="BodyText"/>
      </w:pPr>
    </w:p>
    <w:p w14:paraId="563E1C14" w14:textId="77777777" w:rsidR="00E42EF6" w:rsidRDefault="00E42EF6" w:rsidP="00441740">
      <w:pPr>
        <w:pStyle w:val="BodyText"/>
      </w:pPr>
    </w:p>
    <w:p w14:paraId="422D6F50" w14:textId="77777777" w:rsidR="00E42EF6" w:rsidRDefault="00E42EF6" w:rsidP="00441740">
      <w:pPr>
        <w:pStyle w:val="BodyText"/>
      </w:pPr>
    </w:p>
    <w:p w14:paraId="752AEDFE" w14:textId="77777777" w:rsidR="00E42EF6" w:rsidRDefault="00E42EF6" w:rsidP="00441740">
      <w:pPr>
        <w:pStyle w:val="BodyText"/>
      </w:pPr>
    </w:p>
    <w:p w14:paraId="10E77F75" w14:textId="77777777" w:rsidR="00E42EF6" w:rsidRDefault="00E42EF6" w:rsidP="00441740">
      <w:pPr>
        <w:pStyle w:val="BodyText"/>
      </w:pPr>
    </w:p>
    <w:p w14:paraId="612DB816" w14:textId="77777777" w:rsidR="00E42EF6" w:rsidRDefault="00E42EF6" w:rsidP="00441740">
      <w:pPr>
        <w:pStyle w:val="BodyText"/>
      </w:pPr>
    </w:p>
    <w:p w14:paraId="2F25596F" w14:textId="77777777" w:rsidR="00E42EF6" w:rsidRDefault="00E42EF6" w:rsidP="00441740">
      <w:pPr>
        <w:pStyle w:val="BodyText"/>
      </w:pPr>
    </w:p>
    <w:p w14:paraId="52CEAEB7" w14:textId="77777777" w:rsidR="00E42EF6" w:rsidRDefault="00E42EF6" w:rsidP="00441740">
      <w:pPr>
        <w:pStyle w:val="BodyText"/>
      </w:pPr>
    </w:p>
    <w:p w14:paraId="71FC218D" w14:textId="77777777" w:rsidR="00CA79CE" w:rsidRDefault="00CA79CE" w:rsidP="00441740">
      <w:pPr>
        <w:pStyle w:val="BodyText"/>
      </w:pPr>
    </w:p>
    <w:p w14:paraId="494072D5" w14:textId="77777777" w:rsidR="00CA79CE" w:rsidRDefault="00CA79CE" w:rsidP="00441740">
      <w:pPr>
        <w:pStyle w:val="BodyText"/>
      </w:pPr>
    </w:p>
    <w:p w14:paraId="431B62E2" w14:textId="77777777" w:rsidR="00CA79CE" w:rsidRDefault="00CA79CE" w:rsidP="00441740">
      <w:pPr>
        <w:pStyle w:val="BodyText"/>
      </w:pPr>
    </w:p>
    <w:p w14:paraId="6D253F23" w14:textId="77777777" w:rsidR="00CA79CE" w:rsidRDefault="00CA79CE" w:rsidP="00441740">
      <w:pPr>
        <w:pStyle w:val="BodyText"/>
      </w:pPr>
    </w:p>
    <w:p w14:paraId="58BA86A2" w14:textId="77777777" w:rsidR="00CA79CE" w:rsidRDefault="00CA79CE" w:rsidP="00441740">
      <w:pPr>
        <w:pStyle w:val="BodyText"/>
      </w:pPr>
    </w:p>
    <w:p w14:paraId="5737A645" w14:textId="77777777" w:rsidR="00CA79CE" w:rsidRDefault="00CA79CE" w:rsidP="00441740">
      <w:pPr>
        <w:pStyle w:val="BodyText"/>
      </w:pPr>
    </w:p>
    <w:p w14:paraId="4E09BB4E" w14:textId="77777777" w:rsidR="00CA79CE" w:rsidRDefault="00CA79CE" w:rsidP="00441740">
      <w:pPr>
        <w:pStyle w:val="BodyText"/>
      </w:pPr>
    </w:p>
    <w:p w14:paraId="13C48726" w14:textId="77777777" w:rsidR="00CA79CE" w:rsidRDefault="00CA79CE" w:rsidP="00441740">
      <w:pPr>
        <w:pStyle w:val="BodyText"/>
      </w:pPr>
    </w:p>
    <w:p w14:paraId="02BD2052" w14:textId="77777777" w:rsidR="00CA79CE" w:rsidRDefault="00CA79CE" w:rsidP="00441740">
      <w:pPr>
        <w:pStyle w:val="BodyText"/>
      </w:pPr>
    </w:p>
    <w:p w14:paraId="524F6EED" w14:textId="77777777" w:rsidR="00CA79CE" w:rsidRDefault="00CA79CE" w:rsidP="00441740">
      <w:pPr>
        <w:pStyle w:val="BodyText"/>
      </w:pPr>
    </w:p>
    <w:p w14:paraId="7FE1D2D5" w14:textId="77777777" w:rsidR="00CA79CE" w:rsidRDefault="00CA79CE" w:rsidP="00441740">
      <w:pPr>
        <w:pStyle w:val="BodyText"/>
      </w:pPr>
    </w:p>
    <w:p w14:paraId="70922AC5" w14:textId="77777777" w:rsidR="00CA79CE" w:rsidRDefault="00CA79CE" w:rsidP="00441740">
      <w:pPr>
        <w:pStyle w:val="BodyText"/>
      </w:pPr>
    </w:p>
    <w:p w14:paraId="6BBDBB46" w14:textId="77777777" w:rsidR="00CA79CE" w:rsidRDefault="00CA79CE" w:rsidP="00441740">
      <w:pPr>
        <w:pStyle w:val="BodyText"/>
      </w:pPr>
    </w:p>
    <w:p w14:paraId="1C0F1989" w14:textId="77777777" w:rsidR="00CA79CE" w:rsidRDefault="00CA79CE" w:rsidP="00441740">
      <w:pPr>
        <w:pStyle w:val="BodyText"/>
      </w:pPr>
    </w:p>
    <w:p w14:paraId="181C3879" w14:textId="77777777" w:rsidR="00E060E1" w:rsidRDefault="00E060E1" w:rsidP="00441740">
      <w:pPr>
        <w:pStyle w:val="BodyText"/>
      </w:pPr>
    </w:p>
    <w:p w14:paraId="18292210" w14:textId="77777777" w:rsidR="00E060E1" w:rsidRDefault="00E060E1" w:rsidP="00441740">
      <w:pPr>
        <w:pStyle w:val="BodyText"/>
      </w:pPr>
    </w:p>
    <w:p w14:paraId="638CDA16" w14:textId="77777777" w:rsidR="00E060E1" w:rsidRDefault="00E060E1" w:rsidP="00441740">
      <w:pPr>
        <w:pStyle w:val="BodyText"/>
      </w:pPr>
    </w:p>
    <w:p w14:paraId="22F74DB5" w14:textId="77777777" w:rsidR="00E060E1" w:rsidRDefault="00E060E1" w:rsidP="00441740">
      <w:pPr>
        <w:pStyle w:val="BodyText"/>
      </w:pPr>
    </w:p>
    <w:p w14:paraId="5F286AFB" w14:textId="77777777" w:rsidR="00E060E1" w:rsidRDefault="00E060E1" w:rsidP="00441740">
      <w:pPr>
        <w:pStyle w:val="BodyText"/>
      </w:pPr>
    </w:p>
    <w:p w14:paraId="1EB399B7" w14:textId="77777777" w:rsidR="00E060E1" w:rsidRDefault="00E060E1" w:rsidP="00441740">
      <w:pPr>
        <w:pStyle w:val="BodyText"/>
      </w:pPr>
    </w:p>
    <w:p w14:paraId="47DB26BA" w14:textId="77777777" w:rsidR="00E060E1" w:rsidRDefault="00E060E1" w:rsidP="00441740">
      <w:pPr>
        <w:pStyle w:val="BodyText"/>
      </w:pPr>
    </w:p>
    <w:p w14:paraId="14C195B7" w14:textId="77777777" w:rsidR="00E060E1" w:rsidRDefault="00E060E1" w:rsidP="00441740">
      <w:pPr>
        <w:pStyle w:val="BodyText"/>
      </w:pPr>
    </w:p>
    <w:p w14:paraId="51B96D84" w14:textId="77777777" w:rsidR="00E060E1" w:rsidRDefault="00E060E1" w:rsidP="00441740">
      <w:pPr>
        <w:pStyle w:val="BodyText"/>
      </w:pPr>
    </w:p>
    <w:p w14:paraId="005AB163" w14:textId="2B661962" w:rsidR="00CA79CE" w:rsidRPr="00E060E1" w:rsidRDefault="00CA79CE" w:rsidP="00441740">
      <w:pPr>
        <w:pStyle w:val="BodyText"/>
        <w:rPr>
          <w:rFonts w:cs="Arial"/>
          <w:bCs/>
          <w:color w:val="002776"/>
          <w:spacing w:val="-10"/>
          <w:sz w:val="32"/>
          <w:szCs w:val="32"/>
        </w:rPr>
      </w:pPr>
      <w:r w:rsidRPr="00E060E1">
        <w:rPr>
          <w:rFonts w:cs="Arial"/>
          <w:bCs/>
          <w:color w:val="002776"/>
          <w:spacing w:val="-10"/>
          <w:sz w:val="32"/>
          <w:szCs w:val="32"/>
        </w:rPr>
        <w:t xml:space="preserve">Technical and Design </w:t>
      </w:r>
      <w:r w:rsidR="002B7AEB" w:rsidRPr="00E060E1">
        <w:rPr>
          <w:rFonts w:cs="Arial"/>
          <w:bCs/>
          <w:color w:val="002776"/>
          <w:spacing w:val="-10"/>
          <w:sz w:val="32"/>
          <w:szCs w:val="32"/>
        </w:rPr>
        <w:t>recommendations: -</w:t>
      </w:r>
      <w:r w:rsidRPr="00E060E1">
        <w:rPr>
          <w:rFonts w:cs="Arial"/>
          <w:bCs/>
          <w:color w:val="002776"/>
          <w:spacing w:val="-10"/>
          <w:sz w:val="32"/>
          <w:szCs w:val="32"/>
        </w:rPr>
        <w:t xml:space="preserve"> (How are we deploying/Doing this)</w:t>
      </w:r>
    </w:p>
    <w:p w14:paraId="63F1C84E" w14:textId="77777777" w:rsidR="00CA79CE" w:rsidRDefault="00CA79CE" w:rsidP="00441740">
      <w:pPr>
        <w:pStyle w:val="BodyText"/>
      </w:pPr>
    </w:p>
    <w:p w14:paraId="5FA489EB" w14:textId="6C18EB40" w:rsidR="00E42EF6" w:rsidRPr="00E060E1" w:rsidRDefault="00E060E1" w:rsidP="00441740">
      <w:pPr>
        <w:pStyle w:val="BodyText"/>
        <w:rPr>
          <w:sz w:val="28"/>
          <w:szCs w:val="28"/>
        </w:rPr>
      </w:pPr>
      <w:r w:rsidRPr="00E060E1">
        <w:rPr>
          <w:sz w:val="28"/>
          <w:szCs w:val="28"/>
          <w:highlight w:val="yellow"/>
        </w:rPr>
        <w:t>Azure Monitor and Insights:-</w:t>
      </w:r>
    </w:p>
    <w:p w14:paraId="176CA5AC" w14:textId="77777777" w:rsidR="002629A2" w:rsidRDefault="002629A2" w:rsidP="00441740">
      <w:pPr>
        <w:pStyle w:val="BodyText"/>
      </w:pPr>
    </w:p>
    <w:p w14:paraId="59F51ECA" w14:textId="52708B39" w:rsidR="00E060E1" w:rsidRDefault="00E060E1" w:rsidP="00E060E1">
      <w:pPr>
        <w:pStyle w:val="BodyText"/>
      </w:pPr>
      <w:r>
        <w:t>We can use Azure Policy to help enforce the configurations described in the design decisions. Azure Policy allows us to define and enforce rules over Azure resources, including settings related to Azure Monitor and Insights. Here's how we might approach it for each of the design decisions:</w:t>
      </w:r>
    </w:p>
    <w:p w14:paraId="2BAB2358" w14:textId="77777777" w:rsidR="00E060E1" w:rsidRDefault="00E060E1" w:rsidP="00E060E1">
      <w:pPr>
        <w:pStyle w:val="BodyText"/>
      </w:pPr>
    </w:p>
    <w:p w14:paraId="5F77B963" w14:textId="168BC814" w:rsidR="00E060E1" w:rsidRDefault="00E060E1" w:rsidP="00E060E1">
      <w:pPr>
        <w:pStyle w:val="BodyText"/>
      </w:pPr>
      <w:r>
        <w:t xml:space="preserve">1. </w:t>
      </w:r>
      <w:r w:rsidRPr="00E060E1">
        <w:rPr>
          <w:b/>
          <w:bCs/>
        </w:rPr>
        <w:t>Configuring General Logging and Metrics:</w:t>
      </w:r>
      <w:r>
        <w:t xml:space="preserve"> We can use Azure Policy to ensure that diagnostic logs and metrics are enabled for each Azure resource. Define a policy that checks if `allLogs` and `allMetrics` are enabled for applicable resources and assign it to each Azure subscriptions or resource groups.</w:t>
      </w:r>
    </w:p>
    <w:p w14:paraId="0F1003AD" w14:textId="77777777" w:rsidR="00E060E1" w:rsidRDefault="00E060E1" w:rsidP="00E060E1">
      <w:pPr>
        <w:pStyle w:val="BodyText"/>
      </w:pPr>
    </w:p>
    <w:p w14:paraId="7469CF39" w14:textId="57C8BBB8" w:rsidR="00E060E1" w:rsidRDefault="00E060E1" w:rsidP="00E060E1">
      <w:pPr>
        <w:pStyle w:val="BodyText"/>
      </w:pPr>
      <w:r>
        <w:t xml:space="preserve">2. </w:t>
      </w:r>
      <w:r w:rsidRPr="00E060E1">
        <w:rPr>
          <w:b/>
          <w:bCs/>
        </w:rPr>
        <w:t>Configuring VM Insights:</w:t>
      </w:r>
      <w:r>
        <w:t xml:space="preserve"> For enabling VM Insights on all virtual machines, we can create a policy that checks if VM Insights is enabled and apply it to the virtual machines. Ensure that VM Insights is enabled for all virtual machines that support it.</w:t>
      </w:r>
    </w:p>
    <w:p w14:paraId="1A3FB392" w14:textId="77777777" w:rsidR="00E060E1" w:rsidRDefault="00E060E1" w:rsidP="00E060E1">
      <w:pPr>
        <w:pStyle w:val="BodyText"/>
      </w:pPr>
    </w:p>
    <w:p w14:paraId="18D8B73E" w14:textId="5C5DEFB3" w:rsidR="00E060E1" w:rsidRDefault="00E060E1" w:rsidP="00E060E1">
      <w:pPr>
        <w:pStyle w:val="BodyText"/>
      </w:pPr>
      <w:r>
        <w:t xml:space="preserve">3. </w:t>
      </w:r>
      <w:r w:rsidRPr="00E060E1">
        <w:rPr>
          <w:b/>
          <w:bCs/>
        </w:rPr>
        <w:t>Configuring Container Insights:</w:t>
      </w:r>
      <w:r>
        <w:t xml:space="preserve"> Since Container Insights should be enabled when there is a use case, we might not enforce this with a policy unless we have specific criteria for when Container Insights should be enabled. Instead, consider adding a policy that checks for the presence of use cases and enables Container Insights accordingly.</w:t>
      </w:r>
    </w:p>
    <w:p w14:paraId="4CFA78C6" w14:textId="77777777" w:rsidR="00E060E1" w:rsidRDefault="00E060E1" w:rsidP="00E060E1">
      <w:pPr>
        <w:pStyle w:val="BodyText"/>
      </w:pPr>
    </w:p>
    <w:p w14:paraId="3FF8270F" w14:textId="706D0405" w:rsidR="00E060E1" w:rsidRDefault="00E060E1" w:rsidP="00E060E1">
      <w:pPr>
        <w:pStyle w:val="BodyText"/>
      </w:pPr>
      <w:r>
        <w:t xml:space="preserve">4. </w:t>
      </w:r>
      <w:r w:rsidRPr="00E060E1">
        <w:rPr>
          <w:b/>
          <w:bCs/>
        </w:rPr>
        <w:t>Application Insights</w:t>
      </w:r>
      <w:r>
        <w:t>: Create a policy that ensures Application Insights is enabled for Platinum, Gold, and Silver applications. For Non-Production or Bronze services, we can add a policy that allows enabling Application Insights if required but is not mandatory.</w:t>
      </w:r>
    </w:p>
    <w:p w14:paraId="2DFF5034" w14:textId="77777777" w:rsidR="00E060E1" w:rsidRDefault="00E060E1" w:rsidP="00E060E1">
      <w:pPr>
        <w:pStyle w:val="BodyText"/>
      </w:pPr>
    </w:p>
    <w:p w14:paraId="36B4A7FE" w14:textId="3B939B3F" w:rsidR="00E060E1" w:rsidRDefault="00E060E1" w:rsidP="00E060E1">
      <w:pPr>
        <w:pStyle w:val="BodyText"/>
      </w:pPr>
      <w:r>
        <w:t xml:space="preserve">5. </w:t>
      </w:r>
      <w:r w:rsidRPr="00E060E1">
        <w:rPr>
          <w:b/>
          <w:bCs/>
        </w:rPr>
        <w:t>Configuring Network Insights:</w:t>
      </w:r>
      <w:r>
        <w:t xml:space="preserve"> Create a policy that checks if Network Insights is enabled across the platform. Ensure that every subscription has a specific NetworkWatcher resource in each Azure region with the specified naming convention.</w:t>
      </w:r>
    </w:p>
    <w:p w14:paraId="4B9D9197" w14:textId="77777777" w:rsidR="00E060E1" w:rsidRDefault="00E060E1" w:rsidP="00E060E1">
      <w:pPr>
        <w:pStyle w:val="BodyText"/>
      </w:pPr>
    </w:p>
    <w:p w14:paraId="3CFD4DB2" w14:textId="77777777" w:rsidR="00E42EF6" w:rsidRDefault="00E42EF6" w:rsidP="00441740">
      <w:pPr>
        <w:pStyle w:val="BodyText"/>
      </w:pPr>
    </w:p>
    <w:p w14:paraId="2F92D898" w14:textId="77777777" w:rsidR="00E42EF6" w:rsidRDefault="00E42EF6" w:rsidP="00441740">
      <w:pPr>
        <w:pStyle w:val="BodyText"/>
      </w:pPr>
    </w:p>
    <w:p w14:paraId="7577A9A7" w14:textId="406F81A6" w:rsidR="00342FEF" w:rsidRPr="007D5CFC" w:rsidRDefault="00342FEF" w:rsidP="00441740">
      <w:pPr>
        <w:pStyle w:val="BodyText"/>
        <w:rPr>
          <w:sz w:val="28"/>
          <w:szCs w:val="28"/>
          <w:highlight w:val="yellow"/>
        </w:rPr>
      </w:pPr>
      <w:r w:rsidRPr="007D5CFC">
        <w:rPr>
          <w:sz w:val="28"/>
          <w:szCs w:val="28"/>
          <w:highlight w:val="yellow"/>
        </w:rPr>
        <w:t>Log Analytics Workspace:-</w:t>
      </w:r>
    </w:p>
    <w:p w14:paraId="38D067C3" w14:textId="77777777" w:rsidR="00342FEF" w:rsidRDefault="00342FEF" w:rsidP="00441740">
      <w:pPr>
        <w:pStyle w:val="BodyText"/>
      </w:pPr>
    </w:p>
    <w:p w14:paraId="234E91C9" w14:textId="0D66AD47" w:rsidR="00342FEF" w:rsidRDefault="00342FEF" w:rsidP="00342FEF">
      <w:pPr>
        <w:pStyle w:val="BodyText"/>
      </w:pPr>
      <w:r>
        <w:t xml:space="preserve">To deploy Log Analytics Workspaces according to </w:t>
      </w:r>
      <w:r w:rsidR="00C20284">
        <w:t>AV’s</w:t>
      </w:r>
      <w:r>
        <w:t xml:space="preserve"> design decisions, </w:t>
      </w:r>
      <w:r w:rsidR="00C20284">
        <w:t>we</w:t>
      </w:r>
      <w:r>
        <w:t xml:space="preserve"> can follow these steps:</w:t>
      </w:r>
    </w:p>
    <w:p w14:paraId="183BA3C3" w14:textId="77777777" w:rsidR="00342FEF" w:rsidRDefault="00342FEF" w:rsidP="00342FEF">
      <w:pPr>
        <w:pStyle w:val="BodyText"/>
      </w:pPr>
    </w:p>
    <w:p w14:paraId="43063E37" w14:textId="37122674" w:rsidR="00342FEF" w:rsidRDefault="00342FEF" w:rsidP="00342FEF">
      <w:pPr>
        <w:pStyle w:val="BodyText"/>
      </w:pPr>
      <w:r>
        <w:t>Number and Location of Log Analytics Workspaces</w:t>
      </w:r>
    </w:p>
    <w:p w14:paraId="618D9DAB" w14:textId="77ED565C" w:rsidR="00342FEF" w:rsidRDefault="00C20284" w:rsidP="00342FEF">
      <w:pPr>
        <w:pStyle w:val="BodyText"/>
      </w:pPr>
      <w:r>
        <w:t xml:space="preserve">1. </w:t>
      </w:r>
      <w:r w:rsidR="00342FEF" w:rsidRPr="00C20284">
        <w:rPr>
          <w:b/>
          <w:bCs/>
        </w:rPr>
        <w:t>Central Log Analytics Workspaces</w:t>
      </w:r>
      <w:r w:rsidR="00342FEF">
        <w:t>: Deploy a central Log Analytics Workspace in each region in the AV ALZ Management Subscription.</w:t>
      </w:r>
    </w:p>
    <w:p w14:paraId="1D53345F" w14:textId="77777777" w:rsidR="00C20284" w:rsidRDefault="00C20284" w:rsidP="00342FEF">
      <w:pPr>
        <w:pStyle w:val="BodyText"/>
      </w:pPr>
    </w:p>
    <w:p w14:paraId="372CB48B" w14:textId="77777777" w:rsidR="00C20284" w:rsidRDefault="00C20284" w:rsidP="00342FEF">
      <w:pPr>
        <w:pStyle w:val="BodyText"/>
      </w:pPr>
    </w:p>
    <w:p w14:paraId="10E69339" w14:textId="5149760F" w:rsidR="00342FEF" w:rsidRDefault="00C20284" w:rsidP="00342FEF">
      <w:pPr>
        <w:pStyle w:val="BodyText"/>
      </w:pPr>
      <w:r w:rsidRPr="00C20284">
        <w:rPr>
          <w:b/>
          <w:bCs/>
        </w:rPr>
        <w:t xml:space="preserve">2. </w:t>
      </w:r>
      <w:r w:rsidR="00342FEF" w:rsidRPr="00C20284">
        <w:rPr>
          <w:b/>
          <w:bCs/>
        </w:rPr>
        <w:t>Separate Instance for Microsoft Sentinel</w:t>
      </w:r>
      <w:r w:rsidR="00342FEF">
        <w:t>: Deploy a separate instance of Log Analytics Workspace for Microsoft Sentinel.</w:t>
      </w:r>
    </w:p>
    <w:p w14:paraId="78AAACF9" w14:textId="77777777" w:rsidR="00342FEF" w:rsidRDefault="00342FEF" w:rsidP="00342FEF">
      <w:pPr>
        <w:pStyle w:val="BodyText"/>
      </w:pPr>
    </w:p>
    <w:p w14:paraId="46BAC04C" w14:textId="0A430514" w:rsidR="00342FEF" w:rsidRPr="00C20284" w:rsidRDefault="00342FEF" w:rsidP="00342FEF">
      <w:pPr>
        <w:pStyle w:val="BodyText"/>
        <w:rPr>
          <w:b/>
          <w:bCs/>
          <w:i/>
          <w:iCs/>
        </w:rPr>
      </w:pPr>
      <w:r w:rsidRPr="00C20284">
        <w:rPr>
          <w:b/>
          <w:bCs/>
          <w:i/>
          <w:iCs/>
        </w:rPr>
        <w:t>Logging and Monitoring</w:t>
      </w:r>
    </w:p>
    <w:p w14:paraId="056FF68F" w14:textId="7E2EB296" w:rsidR="00342FEF" w:rsidRDefault="00C20284" w:rsidP="00342FEF">
      <w:pPr>
        <w:pStyle w:val="BodyText"/>
      </w:pPr>
      <w:r>
        <w:t xml:space="preserve">- </w:t>
      </w:r>
      <w:r w:rsidR="00342FEF" w:rsidRPr="00C20284">
        <w:rPr>
          <w:b/>
          <w:bCs/>
        </w:rPr>
        <w:t>Enable Diagnostic Settings</w:t>
      </w:r>
      <w:r w:rsidR="00342FEF">
        <w:t>: Enable diagnostic settings for the Log Analytics Workspace itself.</w:t>
      </w:r>
    </w:p>
    <w:p w14:paraId="33528259" w14:textId="623D5724" w:rsidR="00342FEF" w:rsidRDefault="00342FEF" w:rsidP="00342FEF">
      <w:pPr>
        <w:pStyle w:val="BodyText"/>
      </w:pPr>
      <w:r>
        <w:t xml:space="preserve">- </w:t>
      </w:r>
      <w:r w:rsidRPr="000E5D37">
        <w:rPr>
          <w:b/>
          <w:bCs/>
        </w:rPr>
        <w:t>Send Logs from Other Resources</w:t>
      </w:r>
      <w:r>
        <w:t>: Configure all other resources to send their diagnostic logs to the central Log Analytics Workspace in that region.</w:t>
      </w:r>
    </w:p>
    <w:p w14:paraId="7F5F6539" w14:textId="25D69BEA" w:rsidR="00342FEF" w:rsidRDefault="00342FEF" w:rsidP="00342FEF">
      <w:pPr>
        <w:pStyle w:val="BodyText"/>
      </w:pPr>
      <w:r>
        <w:t xml:space="preserve">- </w:t>
      </w:r>
      <w:r w:rsidRPr="000E5D37">
        <w:rPr>
          <w:b/>
          <w:bCs/>
        </w:rPr>
        <w:t>Capture AllLogs and allMetrics</w:t>
      </w:r>
      <w:r>
        <w:t>: Capture AllLogs and allMetrics for the Log Analytics Workspace diagnostic setting.</w:t>
      </w:r>
    </w:p>
    <w:p w14:paraId="09BB3432" w14:textId="77777777" w:rsidR="00342FEF" w:rsidRDefault="00342FEF" w:rsidP="00342FEF">
      <w:pPr>
        <w:pStyle w:val="BodyText"/>
      </w:pPr>
    </w:p>
    <w:p w14:paraId="6DCE18A2" w14:textId="40BF4753" w:rsidR="00342FEF" w:rsidRPr="000E5D37" w:rsidRDefault="00342FEF" w:rsidP="00342FEF">
      <w:pPr>
        <w:pStyle w:val="BodyText"/>
        <w:rPr>
          <w:b/>
          <w:bCs/>
          <w:i/>
          <w:iCs/>
        </w:rPr>
      </w:pPr>
      <w:r w:rsidRPr="000E5D37">
        <w:rPr>
          <w:b/>
          <w:bCs/>
          <w:i/>
          <w:iCs/>
        </w:rPr>
        <w:t>Data Retention Period</w:t>
      </w:r>
    </w:p>
    <w:p w14:paraId="16940114" w14:textId="407CF173" w:rsidR="00342FEF" w:rsidRDefault="00342FEF" w:rsidP="00342FEF">
      <w:pPr>
        <w:pStyle w:val="BodyText"/>
      </w:pPr>
      <w:r>
        <w:t xml:space="preserve">- </w:t>
      </w:r>
      <w:r w:rsidRPr="000E5D37">
        <w:rPr>
          <w:b/>
          <w:bCs/>
        </w:rPr>
        <w:t>Set Retention Period:</w:t>
      </w:r>
      <w:r>
        <w:t xml:space="preserve"> Set the retention period for logs to 90 days.</w:t>
      </w:r>
    </w:p>
    <w:p w14:paraId="46FA2A6A" w14:textId="77777777" w:rsidR="00342FEF" w:rsidRDefault="00342FEF" w:rsidP="00342FEF">
      <w:pPr>
        <w:pStyle w:val="BodyText"/>
      </w:pPr>
    </w:p>
    <w:p w14:paraId="063A0FA9" w14:textId="521DD852" w:rsidR="00342FEF" w:rsidRPr="000E5D37" w:rsidRDefault="00342FEF" w:rsidP="00342FEF">
      <w:pPr>
        <w:pStyle w:val="BodyText"/>
        <w:rPr>
          <w:b/>
          <w:bCs/>
          <w:i/>
          <w:iCs/>
        </w:rPr>
      </w:pPr>
      <w:r w:rsidRPr="000E5D37">
        <w:rPr>
          <w:b/>
          <w:bCs/>
          <w:i/>
          <w:iCs/>
        </w:rPr>
        <w:t>Daily Cap Limit</w:t>
      </w:r>
    </w:p>
    <w:p w14:paraId="7C777020" w14:textId="1E20E002" w:rsidR="00342FEF" w:rsidRDefault="00342FEF" w:rsidP="00342FEF">
      <w:pPr>
        <w:pStyle w:val="BodyText"/>
      </w:pPr>
      <w:r>
        <w:t xml:space="preserve">- </w:t>
      </w:r>
      <w:r w:rsidRPr="000E5D37">
        <w:rPr>
          <w:b/>
          <w:bCs/>
        </w:rPr>
        <w:t>Set Daily Cap Limit</w:t>
      </w:r>
      <w:r>
        <w:t>: Set a daily cap limit of 100GB.</w:t>
      </w:r>
    </w:p>
    <w:p w14:paraId="0D158280" w14:textId="77777777" w:rsidR="00342FEF" w:rsidRDefault="00342FEF" w:rsidP="00342FEF">
      <w:pPr>
        <w:pStyle w:val="BodyText"/>
      </w:pPr>
    </w:p>
    <w:p w14:paraId="2C2E8BAF" w14:textId="77777777" w:rsidR="00E42EF6" w:rsidRDefault="00E42EF6" w:rsidP="00441740">
      <w:pPr>
        <w:pStyle w:val="BodyText"/>
      </w:pPr>
    </w:p>
    <w:p w14:paraId="6E4EF99C" w14:textId="3C4D2778" w:rsidR="005E37A5" w:rsidRPr="007D5CFC" w:rsidRDefault="005E37A5" w:rsidP="005E37A5">
      <w:pPr>
        <w:pStyle w:val="BodyText"/>
        <w:rPr>
          <w:sz w:val="28"/>
          <w:szCs w:val="28"/>
          <w:highlight w:val="yellow"/>
        </w:rPr>
      </w:pPr>
      <w:r>
        <w:rPr>
          <w:sz w:val="28"/>
          <w:szCs w:val="28"/>
          <w:highlight w:val="yellow"/>
        </w:rPr>
        <w:t>Azure Alerting</w:t>
      </w:r>
      <w:r w:rsidRPr="007D5CFC">
        <w:rPr>
          <w:sz w:val="28"/>
          <w:szCs w:val="28"/>
          <w:highlight w:val="yellow"/>
        </w:rPr>
        <w:t>:-</w:t>
      </w:r>
    </w:p>
    <w:p w14:paraId="651B8331" w14:textId="77777777" w:rsidR="00342FEF" w:rsidRDefault="00342FEF" w:rsidP="00441740">
      <w:pPr>
        <w:pStyle w:val="BodyText"/>
      </w:pPr>
    </w:p>
    <w:p w14:paraId="61A19B46" w14:textId="77777777" w:rsidR="00342FEF" w:rsidRDefault="00342FEF" w:rsidP="00441740">
      <w:pPr>
        <w:pStyle w:val="BodyText"/>
      </w:pPr>
    </w:p>
    <w:p w14:paraId="496746A3" w14:textId="55730FAE" w:rsidR="005D5390" w:rsidRPr="00BC0284" w:rsidRDefault="005D5390" w:rsidP="005D5390">
      <w:pPr>
        <w:pStyle w:val="NormalWeb"/>
        <w:spacing w:before="0" w:beforeAutospacing="0" w:after="0" w:afterAutospacing="0"/>
        <w:rPr>
          <w:rFonts w:ascii="Arial" w:hAnsi="Arial"/>
          <w:b/>
          <w:bCs/>
          <w:color w:val="1E1E1E"/>
          <w:sz w:val="22"/>
          <w:szCs w:val="22"/>
        </w:rPr>
      </w:pPr>
      <w:r w:rsidRPr="00BC0284">
        <w:rPr>
          <w:rFonts w:ascii="Arial" w:hAnsi="Arial"/>
          <w:b/>
          <w:bCs/>
          <w:color w:val="1E1E1E"/>
          <w:sz w:val="22"/>
          <w:szCs w:val="22"/>
        </w:rPr>
        <w:t>1 Service Health Alert</w:t>
      </w:r>
      <w:r w:rsidR="00914BEC">
        <w:rPr>
          <w:rFonts w:ascii="Arial" w:hAnsi="Arial"/>
          <w:b/>
          <w:bCs/>
          <w:color w:val="1E1E1E"/>
          <w:sz w:val="22"/>
          <w:szCs w:val="22"/>
        </w:rPr>
        <w:t>s</w:t>
      </w:r>
    </w:p>
    <w:p w14:paraId="1A0DBF9F"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Create alerts for each subscription, cannot span multiple subscriptions.</w:t>
      </w:r>
    </w:p>
    <w:p w14:paraId="1C7CF986"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alerts for different service categories (Infrastructure, Networking, Security, Database) to notify respective operations teams of any service health issues.</w:t>
      </w:r>
    </w:p>
    <w:p w14:paraId="017D5D74"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76E177" w14:textId="79CA001B" w:rsidR="005D5390" w:rsidRPr="00BC0284" w:rsidRDefault="005D5390" w:rsidP="005D5390">
      <w:pPr>
        <w:pStyle w:val="NormalWeb"/>
        <w:spacing w:before="0" w:beforeAutospacing="0" w:after="0" w:afterAutospacing="0"/>
        <w:rPr>
          <w:rFonts w:ascii="Arial" w:hAnsi="Arial"/>
          <w:b/>
          <w:bCs/>
          <w:color w:val="1E1E1E"/>
          <w:sz w:val="22"/>
          <w:szCs w:val="22"/>
        </w:rPr>
      </w:pPr>
      <w:r w:rsidRPr="00BC0284">
        <w:rPr>
          <w:rFonts w:ascii="Arial" w:hAnsi="Arial"/>
          <w:b/>
          <w:bCs/>
          <w:color w:val="1E1E1E"/>
          <w:sz w:val="22"/>
          <w:szCs w:val="22"/>
        </w:rPr>
        <w:t>2 Resource Health Alert</w:t>
      </w:r>
      <w:r w:rsidR="00914BEC">
        <w:rPr>
          <w:rFonts w:ascii="Arial" w:hAnsi="Arial"/>
          <w:b/>
          <w:bCs/>
          <w:color w:val="1E1E1E"/>
          <w:sz w:val="22"/>
          <w:szCs w:val="22"/>
        </w:rPr>
        <w:t>s</w:t>
      </w:r>
    </w:p>
    <w:p w14:paraId="08B46029"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Create alerts for each subscription, cannot span multiple subscriptions.</w:t>
      </w:r>
    </w:p>
    <w:p w14:paraId="0AD9C03E"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alerts for different resource types to notify the operations teams of any resource health issues.</w:t>
      </w:r>
    </w:p>
    <w:p w14:paraId="5EB0B89A"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A6E0FC" w14:textId="3D7355B3" w:rsidR="005D5390" w:rsidRPr="00BC0284" w:rsidRDefault="005D5390" w:rsidP="005D5390">
      <w:pPr>
        <w:pStyle w:val="NormalWeb"/>
        <w:spacing w:before="0" w:beforeAutospacing="0" w:after="0" w:afterAutospacing="0"/>
        <w:rPr>
          <w:rFonts w:ascii="Arial" w:hAnsi="Arial"/>
          <w:b/>
          <w:bCs/>
          <w:color w:val="1E1E1E"/>
          <w:sz w:val="22"/>
          <w:szCs w:val="22"/>
        </w:rPr>
      </w:pPr>
      <w:r w:rsidRPr="00BC0284">
        <w:rPr>
          <w:rFonts w:ascii="Arial" w:hAnsi="Arial"/>
          <w:b/>
          <w:bCs/>
          <w:color w:val="1E1E1E"/>
          <w:sz w:val="22"/>
          <w:szCs w:val="22"/>
        </w:rPr>
        <w:t>3 Microsoft Entra Alert</w:t>
      </w:r>
      <w:r w:rsidR="00914BEC">
        <w:rPr>
          <w:rFonts w:ascii="Arial" w:hAnsi="Arial"/>
          <w:b/>
          <w:bCs/>
          <w:color w:val="1E1E1E"/>
          <w:sz w:val="22"/>
          <w:szCs w:val="22"/>
        </w:rPr>
        <w:t>s</w:t>
      </w:r>
    </w:p>
    <w:p w14:paraId="6911F2BE"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Create alerts for each subscription, cannot span multiple subscriptions.</w:t>
      </w:r>
    </w:p>
    <w:p w14:paraId="709A6300"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alerts to notify the IDAM team of any service health issues related to Microsoft Entra identities and groups.</w:t>
      </w:r>
    </w:p>
    <w:p w14:paraId="6DD4DA21"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C109D2" w14:textId="397352F8" w:rsidR="005D5390" w:rsidRPr="00BC0284" w:rsidRDefault="005D5390" w:rsidP="005D5390">
      <w:pPr>
        <w:pStyle w:val="NormalWeb"/>
        <w:spacing w:before="0" w:beforeAutospacing="0" w:after="0" w:afterAutospacing="0"/>
        <w:rPr>
          <w:rFonts w:ascii="Arial" w:hAnsi="Arial"/>
          <w:b/>
          <w:bCs/>
          <w:color w:val="1E1E1E"/>
          <w:sz w:val="22"/>
          <w:szCs w:val="22"/>
        </w:rPr>
      </w:pPr>
      <w:r w:rsidRPr="00BC0284">
        <w:rPr>
          <w:rFonts w:ascii="Arial" w:hAnsi="Arial"/>
          <w:b/>
          <w:bCs/>
          <w:color w:val="1E1E1E"/>
          <w:sz w:val="22"/>
          <w:szCs w:val="22"/>
        </w:rPr>
        <w:t>4 Metric Alert Settings</w:t>
      </w:r>
    </w:p>
    <w:p w14:paraId="1DA26B13" w14:textId="52B6FEBD"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4.1 Azure Application Gateway</w:t>
      </w:r>
    </w:p>
    <w:p w14:paraId="7AF26AB3"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Configure alerts for unhealthy backends and failed responses.</w:t>
      </w:r>
    </w:p>
    <w:p w14:paraId="40F45B13"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Set static thresholds for metrics like Unhealthy Host Count and Failed Request Count.</w:t>
      </w:r>
    </w:p>
    <w:p w14:paraId="7956C017"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action groups to alert the infrastructure and network teams.</w:t>
      </w:r>
    </w:p>
    <w:p w14:paraId="10142A8B"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B0D775" w14:textId="5DD430F1"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4.2 Azure Virtual Machines</w:t>
      </w:r>
    </w:p>
    <w:p w14:paraId="4B468FDA"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Configure alerts for CPU usage, available memory, disk IOPS, network traffic, and VM availability.</w:t>
      </w:r>
    </w:p>
    <w:p w14:paraId="6D096AD8"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Set static thresholds for CPU percentage, available memory, disk IOPS, and network traffic metrics.</w:t>
      </w:r>
    </w:p>
    <w:p w14:paraId="1D54D9B5"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action groups to alert the infrastructure team.</w:t>
      </w:r>
    </w:p>
    <w:p w14:paraId="5B30A455"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41D37D4" w14:textId="13144C7E"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4.3 Storage Accounts</w:t>
      </w:r>
    </w:p>
    <w:p w14:paraId="1FF3AFE3"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Configure alerts for storage account availability and used capacity.</w:t>
      </w:r>
    </w:p>
    <w:p w14:paraId="62AF5248"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Set static thresholds for availability and used capacity metrics.</w:t>
      </w:r>
    </w:p>
    <w:p w14:paraId="7AF4848C"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action groups to alert the infrastructure team.</w:t>
      </w:r>
    </w:p>
    <w:p w14:paraId="118DDA62"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FFAE42" w14:textId="1BD8DD13"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4.4 Log Analytics</w:t>
      </w:r>
    </w:p>
    <w:p w14:paraId="30CCC67C"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Configure alerts for rate limits and operational issues in the Log Analytics workspace.</w:t>
      </w:r>
    </w:p>
    <w:p w14:paraId="3AE758D7"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Set static thresholds for rate limit and operational issue alerts.</w:t>
      </w:r>
    </w:p>
    <w:p w14:paraId="5848091E" w14:textId="77777777" w:rsidR="005D5390" w:rsidRDefault="005D5390" w:rsidP="005D5390">
      <w:pPr>
        <w:pStyle w:val="NormalWeb"/>
        <w:spacing w:before="0" w:beforeAutospacing="0" w:after="0" w:afterAutospacing="0"/>
        <w:rPr>
          <w:rFonts w:ascii="Calibri" w:hAnsi="Calibri" w:cs="Calibri"/>
          <w:sz w:val="22"/>
          <w:szCs w:val="22"/>
        </w:rPr>
      </w:pPr>
      <w:r>
        <w:rPr>
          <w:rFonts w:ascii="Calibri" w:hAnsi="Calibri" w:cs="Calibri"/>
          <w:sz w:val="22"/>
          <w:szCs w:val="22"/>
        </w:rPr>
        <w:t>- Define action groups to alert the operations team.</w:t>
      </w:r>
    </w:p>
    <w:p w14:paraId="0623B2DD" w14:textId="77777777" w:rsidR="00342FEF" w:rsidRDefault="00342FEF" w:rsidP="00441740">
      <w:pPr>
        <w:pStyle w:val="BodyText"/>
      </w:pPr>
    </w:p>
    <w:p w14:paraId="40ECC908" w14:textId="77777777" w:rsidR="00342FEF" w:rsidRDefault="00342FEF" w:rsidP="00441740">
      <w:pPr>
        <w:pStyle w:val="BodyText"/>
      </w:pPr>
    </w:p>
    <w:p w14:paraId="45A86614" w14:textId="77777777" w:rsidR="00342FEF" w:rsidRDefault="00342FEF" w:rsidP="00441740">
      <w:pPr>
        <w:pStyle w:val="BodyText"/>
      </w:pPr>
    </w:p>
    <w:p w14:paraId="66895FC2" w14:textId="77777777" w:rsidR="00342FEF" w:rsidRDefault="00342FEF" w:rsidP="00441740">
      <w:pPr>
        <w:pStyle w:val="BodyText"/>
      </w:pPr>
    </w:p>
    <w:p w14:paraId="023772A2" w14:textId="77777777" w:rsidR="00342FEF" w:rsidRDefault="00342FEF" w:rsidP="00441740">
      <w:pPr>
        <w:pStyle w:val="BodyText"/>
      </w:pPr>
    </w:p>
    <w:p w14:paraId="303CB1D8" w14:textId="77777777" w:rsidR="00342FEF" w:rsidRDefault="00342FEF" w:rsidP="00441740">
      <w:pPr>
        <w:pStyle w:val="BodyText"/>
      </w:pPr>
    </w:p>
    <w:p w14:paraId="6E2159C2" w14:textId="77777777" w:rsidR="00342FEF" w:rsidRDefault="00342FEF" w:rsidP="00441740">
      <w:pPr>
        <w:pStyle w:val="BodyText"/>
      </w:pPr>
    </w:p>
    <w:p w14:paraId="32089DB0" w14:textId="77777777" w:rsidR="00342FEF" w:rsidRDefault="00342FEF" w:rsidP="00441740">
      <w:pPr>
        <w:pStyle w:val="BodyText"/>
      </w:pPr>
    </w:p>
    <w:p w14:paraId="0E5C6E35" w14:textId="77777777" w:rsidR="00342FEF" w:rsidRDefault="00342FEF" w:rsidP="00441740">
      <w:pPr>
        <w:pStyle w:val="BodyText"/>
      </w:pPr>
    </w:p>
    <w:p w14:paraId="181C25DC" w14:textId="77777777" w:rsidR="00342FEF" w:rsidRDefault="00342FEF" w:rsidP="00441740">
      <w:pPr>
        <w:pStyle w:val="BodyText"/>
      </w:pPr>
    </w:p>
    <w:p w14:paraId="11C46F23" w14:textId="77777777" w:rsidR="00342FEF" w:rsidRDefault="00342FEF" w:rsidP="00441740">
      <w:pPr>
        <w:pStyle w:val="BodyText"/>
      </w:pPr>
    </w:p>
    <w:p w14:paraId="64881C69" w14:textId="77777777" w:rsidR="00342FEF" w:rsidRDefault="00342FEF" w:rsidP="00441740">
      <w:pPr>
        <w:pStyle w:val="BodyText"/>
      </w:pPr>
    </w:p>
    <w:p w14:paraId="05AF2A85" w14:textId="77777777" w:rsidR="00342FEF" w:rsidRDefault="00342FEF" w:rsidP="00441740">
      <w:pPr>
        <w:pStyle w:val="BodyText"/>
      </w:pPr>
    </w:p>
    <w:p w14:paraId="6C8413C5" w14:textId="77777777" w:rsidR="00342FEF" w:rsidRDefault="00342FEF" w:rsidP="00441740">
      <w:pPr>
        <w:pStyle w:val="BodyText"/>
      </w:pPr>
    </w:p>
    <w:p w14:paraId="0B34916A" w14:textId="77777777" w:rsidR="00342FEF" w:rsidRDefault="00342FEF" w:rsidP="00441740">
      <w:pPr>
        <w:pStyle w:val="BodyText"/>
      </w:pPr>
    </w:p>
    <w:p w14:paraId="0508F82E" w14:textId="77777777" w:rsidR="00E42EF6" w:rsidRDefault="00E42EF6" w:rsidP="00441740">
      <w:pPr>
        <w:pStyle w:val="BodyText"/>
      </w:pPr>
    </w:p>
    <w:p w14:paraId="727AEEE9" w14:textId="77777777" w:rsidR="00E42EF6" w:rsidRDefault="00E42EF6" w:rsidP="00441740">
      <w:pPr>
        <w:pStyle w:val="BodyText"/>
      </w:pPr>
    </w:p>
    <w:p w14:paraId="4F07D118" w14:textId="77777777" w:rsidR="00E42EF6" w:rsidRDefault="00E42EF6" w:rsidP="00441740">
      <w:pPr>
        <w:pStyle w:val="BodyText"/>
      </w:pPr>
    </w:p>
    <w:p w14:paraId="20F0D436" w14:textId="77777777" w:rsidR="00E42EF6" w:rsidRDefault="00E42EF6" w:rsidP="00441740">
      <w:pPr>
        <w:pStyle w:val="BodyText"/>
      </w:pPr>
    </w:p>
    <w:p w14:paraId="6F20F541" w14:textId="77777777" w:rsidR="00BC0284" w:rsidRDefault="00BC0284" w:rsidP="00441740">
      <w:pPr>
        <w:pStyle w:val="BodyText"/>
      </w:pPr>
    </w:p>
    <w:p w14:paraId="302D6D0E" w14:textId="77777777" w:rsidR="00BC0284" w:rsidRDefault="00BC0284" w:rsidP="00441740">
      <w:pPr>
        <w:pStyle w:val="BodyText"/>
      </w:pPr>
    </w:p>
    <w:p w14:paraId="55D38A1B" w14:textId="77777777" w:rsidR="00BC0284" w:rsidRDefault="00BC0284" w:rsidP="00441740">
      <w:pPr>
        <w:pStyle w:val="BodyText"/>
      </w:pPr>
    </w:p>
    <w:p w14:paraId="7C596DC5" w14:textId="77777777" w:rsidR="00BC0284" w:rsidRDefault="00BC0284" w:rsidP="00441740">
      <w:pPr>
        <w:pStyle w:val="BodyText"/>
      </w:pPr>
    </w:p>
    <w:p w14:paraId="42C56C01" w14:textId="77777777" w:rsidR="00BC0284" w:rsidRDefault="00BC0284" w:rsidP="00441740">
      <w:pPr>
        <w:pStyle w:val="BodyText"/>
      </w:pPr>
    </w:p>
    <w:p w14:paraId="1B9D2A52" w14:textId="77777777" w:rsidR="00BC0284" w:rsidRDefault="00BC0284" w:rsidP="00441740">
      <w:pPr>
        <w:pStyle w:val="BodyText"/>
      </w:pPr>
    </w:p>
    <w:p w14:paraId="354643B2" w14:textId="77777777" w:rsidR="00BC0284" w:rsidRDefault="00BC0284" w:rsidP="00441740">
      <w:pPr>
        <w:pStyle w:val="BodyText"/>
      </w:pPr>
    </w:p>
    <w:p w14:paraId="04AB8A70" w14:textId="77777777" w:rsidR="00BC0284" w:rsidRDefault="00BC0284" w:rsidP="00441740">
      <w:pPr>
        <w:pStyle w:val="BodyText"/>
      </w:pPr>
    </w:p>
    <w:p w14:paraId="1CAB2CF2" w14:textId="77777777" w:rsidR="00BC0284" w:rsidRDefault="00BC0284" w:rsidP="00441740">
      <w:pPr>
        <w:pStyle w:val="BodyText"/>
      </w:pPr>
    </w:p>
    <w:p w14:paraId="7A9E64E3" w14:textId="77777777" w:rsidR="00BC0284" w:rsidRDefault="00BC0284" w:rsidP="00441740">
      <w:pPr>
        <w:pStyle w:val="BodyText"/>
      </w:pPr>
    </w:p>
    <w:p w14:paraId="60CFF58E" w14:textId="77777777" w:rsidR="00E42EF6" w:rsidRDefault="00E42EF6" w:rsidP="00441740">
      <w:pPr>
        <w:pStyle w:val="BodyText"/>
      </w:pPr>
    </w:p>
    <w:p w14:paraId="62C18585" w14:textId="77777777" w:rsidR="00E42EF6" w:rsidRDefault="00E42EF6" w:rsidP="00441740">
      <w:pPr>
        <w:pStyle w:val="BodyText"/>
      </w:pPr>
    </w:p>
    <w:p w14:paraId="27438348" w14:textId="3CEFDD1F" w:rsidR="00631431" w:rsidRPr="00631431" w:rsidRDefault="00631431" w:rsidP="00033183">
      <w:pPr>
        <w:pStyle w:val="Heading1"/>
        <w:numPr>
          <w:ilvl w:val="0"/>
          <w:numId w:val="0"/>
        </w:numPr>
      </w:pPr>
      <w:r>
        <w:lastRenderedPageBreak/>
        <w:t>Acceptance</w:t>
      </w:r>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26538E6F" w:rsidR="00631431" w:rsidRPr="00631431" w:rsidRDefault="00FA26BE" w:rsidP="00631431">
      <w:pPr>
        <w:spacing w:line="240" w:lineRule="auto"/>
        <w:textAlignment w:val="baseline"/>
        <w:rPr>
          <w:rFonts w:ascii="Segoe UI" w:hAnsi="Segoe UI" w:cs="Segoe UI"/>
          <w:color w:val="auto"/>
          <w:sz w:val="18"/>
          <w:szCs w:val="18"/>
        </w:rPr>
      </w:pPr>
      <w:r>
        <w:rPr>
          <w:rFonts w:cs="Arial"/>
          <w:color w:val="auto"/>
        </w:rPr>
        <w:t>Data 3</w:t>
      </w:r>
      <w:r w:rsidR="00631431" w:rsidRPr="00631431">
        <w:rPr>
          <w:rFonts w:cs="Arial"/>
          <w:color w:val="auto"/>
        </w:rPr>
        <w:t xml:space="preserve">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163748F8"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5E37A5"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25pt;height:93.75pt">
                  <v:imagedata r:id="rId14"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B685AAA" w:rsidR="00631431" w:rsidRPr="00631431" w:rsidRDefault="00631431" w:rsidP="00631431">
      <w:pPr>
        <w:rPr>
          <w:rFonts w:cs="Arial"/>
          <w:b/>
          <w:bCs/>
        </w:rPr>
      </w:pPr>
      <w:r w:rsidRPr="00631431">
        <w:rPr>
          <w:rFonts w:cs="Arial"/>
          <w:b/>
          <w:bCs/>
        </w:rPr>
        <w:t xml:space="preserve">Signed on behalf of </w:t>
      </w:r>
      <w:r w:rsidR="00033183">
        <w:rPr>
          <w:rFonts w:cs="Arial"/>
          <w:b/>
          <w:bCs/>
        </w:rPr>
        <w:t>Data 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7977940"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01F1E296"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5E37A5"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25pt;height:93.75pt">
                  <v:imagedata r:id="rId14"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987D42">
      <w:headerReference w:type="default" r:id="rId15"/>
      <w:footerReference w:type="default" r:id="rId16"/>
      <w:headerReference w:type="first" r:id="rId17"/>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7570" w14:textId="77777777" w:rsidR="00987D42" w:rsidRPr="00C33C38" w:rsidRDefault="00987D42" w:rsidP="00256624">
      <w:pPr>
        <w:spacing w:line="240" w:lineRule="auto"/>
        <w:rPr>
          <w:sz w:val="19"/>
          <w:szCs w:val="19"/>
        </w:rPr>
      </w:pPr>
      <w:r w:rsidRPr="00C33C38">
        <w:rPr>
          <w:sz w:val="19"/>
          <w:szCs w:val="19"/>
        </w:rPr>
        <w:separator/>
      </w:r>
    </w:p>
    <w:p w14:paraId="5D95F9CA" w14:textId="77777777" w:rsidR="00987D42" w:rsidRDefault="00987D42"/>
    <w:p w14:paraId="5D9CABBF" w14:textId="77777777" w:rsidR="00987D42" w:rsidRDefault="00987D42"/>
    <w:p w14:paraId="5E75B7C5" w14:textId="77777777" w:rsidR="00987D42" w:rsidRDefault="00987D42"/>
  </w:endnote>
  <w:endnote w:type="continuationSeparator" w:id="0">
    <w:p w14:paraId="609E0861" w14:textId="77777777" w:rsidR="00987D42" w:rsidRPr="00C33C38" w:rsidRDefault="00987D42" w:rsidP="00256624">
      <w:pPr>
        <w:spacing w:line="240" w:lineRule="auto"/>
        <w:rPr>
          <w:sz w:val="19"/>
          <w:szCs w:val="19"/>
        </w:rPr>
      </w:pPr>
      <w:r w:rsidRPr="00C33C38">
        <w:rPr>
          <w:sz w:val="19"/>
          <w:szCs w:val="19"/>
        </w:rPr>
        <w:continuationSeparator/>
      </w:r>
    </w:p>
    <w:p w14:paraId="29B46A19" w14:textId="77777777" w:rsidR="00987D42" w:rsidRDefault="00987D42"/>
    <w:p w14:paraId="09571A66" w14:textId="77777777" w:rsidR="00987D42" w:rsidRDefault="00987D42"/>
    <w:p w14:paraId="6D9C824F" w14:textId="77777777" w:rsidR="00987D42" w:rsidRDefault="00987D42"/>
  </w:endnote>
  <w:endnote w:type="continuationNotice" w:id="1">
    <w:p w14:paraId="3B56F0F1" w14:textId="77777777" w:rsidR="00987D42" w:rsidRDefault="00987D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2DF86" w14:textId="77777777" w:rsidR="00987D42" w:rsidRPr="005F4D7E" w:rsidRDefault="00987D42" w:rsidP="00BF472F">
      <w:pPr>
        <w:pStyle w:val="BodyText"/>
      </w:pPr>
      <w:r w:rsidRPr="005F4D7E">
        <w:separator/>
      </w:r>
    </w:p>
    <w:p w14:paraId="2655C9A9" w14:textId="77777777" w:rsidR="00987D42" w:rsidRDefault="00987D42"/>
    <w:p w14:paraId="442611CA" w14:textId="77777777" w:rsidR="00987D42" w:rsidRDefault="00987D42"/>
  </w:footnote>
  <w:footnote w:type="continuationSeparator" w:id="0">
    <w:p w14:paraId="2C932F54" w14:textId="77777777" w:rsidR="00987D42" w:rsidRPr="00C33C38" w:rsidRDefault="00987D42" w:rsidP="005F4D7E">
      <w:r w:rsidRPr="00C33C38">
        <w:continuationSeparator/>
      </w:r>
    </w:p>
    <w:p w14:paraId="258B6EFA" w14:textId="77777777" w:rsidR="00987D42" w:rsidRDefault="00987D42"/>
    <w:p w14:paraId="712D2EE8" w14:textId="77777777" w:rsidR="00987D42" w:rsidRDefault="00987D42"/>
  </w:footnote>
  <w:footnote w:type="continuationNotice" w:id="1">
    <w:p w14:paraId="1771AD4E" w14:textId="77777777" w:rsidR="00987D42" w:rsidRPr="005F4D7E" w:rsidRDefault="00987D42" w:rsidP="00C97369">
      <w:pPr>
        <w:pStyle w:val="Footer"/>
      </w:pPr>
    </w:p>
    <w:p w14:paraId="7F123491" w14:textId="77777777" w:rsidR="00987D42" w:rsidRDefault="00987D42"/>
    <w:p w14:paraId="78779775" w14:textId="77777777" w:rsidR="00987D42" w:rsidRDefault="00987D42"/>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5BC10B39"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2B4759">
          <w:rPr>
            <w:color w:val="auto"/>
            <w:sz w:val="20"/>
            <w:szCs w:val="20"/>
          </w:rPr>
          <w:t>Azure Monitor and Insights, Log Analytics Workspace and Alerting Combined</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9"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0"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6"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7"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8"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25"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7"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9"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33"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42"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4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47"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4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0"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3"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54"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8"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0"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1"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24"/>
  </w:num>
  <w:num w:numId="2" w16cid:durableId="1194344444">
    <w:abstractNumId w:val="17"/>
  </w:num>
  <w:num w:numId="3" w16cid:durableId="1518273573">
    <w:abstractNumId w:val="1"/>
  </w:num>
  <w:num w:numId="4" w16cid:durableId="331490005">
    <w:abstractNumId w:val="20"/>
  </w:num>
  <w:num w:numId="5" w16cid:durableId="1883208813">
    <w:abstractNumId w:val="28"/>
  </w:num>
  <w:num w:numId="6" w16cid:durableId="1009648220">
    <w:abstractNumId w:val="44"/>
  </w:num>
  <w:num w:numId="7" w16cid:durableId="1148132004">
    <w:abstractNumId w:val="3"/>
  </w:num>
  <w:num w:numId="8" w16cid:durableId="188762563">
    <w:abstractNumId w:val="8"/>
  </w:num>
  <w:num w:numId="9" w16cid:durableId="129715755">
    <w:abstractNumId w:val="32"/>
  </w:num>
  <w:num w:numId="10" w16cid:durableId="238442199">
    <w:abstractNumId w:val="48"/>
  </w:num>
  <w:num w:numId="11" w16cid:durableId="1425227610">
    <w:abstractNumId w:val="65"/>
  </w:num>
  <w:num w:numId="12" w16cid:durableId="1809323372">
    <w:abstractNumId w:val="11"/>
  </w:num>
  <w:num w:numId="13" w16cid:durableId="570582799">
    <w:abstractNumId w:val="59"/>
  </w:num>
  <w:num w:numId="14" w16cid:durableId="1111240024">
    <w:abstractNumId w:val="37"/>
  </w:num>
  <w:num w:numId="15" w16cid:durableId="819345174">
    <w:abstractNumId w:val="5"/>
  </w:num>
  <w:num w:numId="16" w16cid:durableId="1647275130">
    <w:abstractNumId w:val="56"/>
  </w:num>
  <w:num w:numId="17" w16cid:durableId="474832808">
    <w:abstractNumId w:val="31"/>
  </w:num>
  <w:num w:numId="18" w16cid:durableId="78715535">
    <w:abstractNumId w:val="10"/>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49"/>
  </w:num>
  <w:num w:numId="25" w16cid:durableId="251087149">
    <w:abstractNumId w:val="15"/>
  </w:num>
  <w:num w:numId="26" w16cid:durableId="147866691">
    <w:abstractNumId w:val="66"/>
  </w:num>
  <w:num w:numId="27" w16cid:durableId="635766740">
    <w:abstractNumId w:val="63"/>
  </w:num>
  <w:num w:numId="28" w16cid:durableId="79109722">
    <w:abstractNumId w:val="3"/>
  </w:num>
  <w:num w:numId="29" w16cid:durableId="874195412">
    <w:abstractNumId w:val="57"/>
  </w:num>
  <w:num w:numId="30" w16cid:durableId="1736583244">
    <w:abstractNumId w:val="13"/>
  </w:num>
  <w:num w:numId="31" w16cid:durableId="1167750566">
    <w:abstractNumId w:val="12"/>
  </w:num>
  <w:num w:numId="32" w16cid:durableId="1983267767">
    <w:abstractNumId w:val="64"/>
  </w:num>
  <w:num w:numId="33" w16cid:durableId="1762294583">
    <w:abstractNumId w:val="43"/>
  </w:num>
  <w:num w:numId="34" w16cid:durableId="1016004728">
    <w:abstractNumId w:val="26"/>
  </w:num>
  <w:num w:numId="35" w16cid:durableId="409159381">
    <w:abstractNumId w:val="6"/>
  </w:num>
  <w:num w:numId="36" w16cid:durableId="1706637823">
    <w:abstractNumId w:val="14"/>
  </w:num>
  <w:num w:numId="37" w16cid:durableId="412747687">
    <w:abstractNumId w:val="38"/>
  </w:num>
  <w:num w:numId="38" w16cid:durableId="1620068926">
    <w:abstractNumId w:val="61"/>
  </w:num>
  <w:num w:numId="39" w16cid:durableId="873541108">
    <w:abstractNumId w:val="30"/>
  </w:num>
  <w:num w:numId="40" w16cid:durableId="396515040">
    <w:abstractNumId w:val="19"/>
  </w:num>
  <w:num w:numId="41" w16cid:durableId="1987736876">
    <w:abstractNumId w:val="67"/>
  </w:num>
  <w:num w:numId="42" w16cid:durableId="1585608697">
    <w:abstractNumId w:val="54"/>
  </w:num>
  <w:num w:numId="43" w16cid:durableId="509878161">
    <w:abstractNumId w:val="39"/>
  </w:num>
  <w:num w:numId="44" w16cid:durableId="932860074">
    <w:abstractNumId w:val="35"/>
  </w:num>
  <w:num w:numId="45" w16cid:durableId="1216507892">
    <w:abstractNumId w:val="22"/>
  </w:num>
  <w:num w:numId="46" w16cid:durableId="1925644745">
    <w:abstractNumId w:val="68"/>
  </w:num>
  <w:num w:numId="47" w16cid:durableId="1311326246">
    <w:abstractNumId w:val="47"/>
  </w:num>
  <w:num w:numId="48" w16cid:durableId="543444475">
    <w:abstractNumId w:val="45"/>
  </w:num>
  <w:num w:numId="49" w16cid:durableId="988364523">
    <w:abstractNumId w:val="3"/>
    <w:lvlOverride w:ilvl="0">
      <w:startOverride w:val="1"/>
    </w:lvlOverride>
  </w:num>
  <w:num w:numId="50" w16cid:durableId="1668244884">
    <w:abstractNumId w:val="50"/>
  </w:num>
  <w:num w:numId="51" w16cid:durableId="1885485893">
    <w:abstractNumId w:val="4"/>
  </w:num>
  <w:num w:numId="52" w16cid:durableId="644164312">
    <w:abstractNumId w:val="42"/>
  </w:num>
  <w:num w:numId="53" w16cid:durableId="1254126767">
    <w:abstractNumId w:val="33"/>
  </w:num>
  <w:num w:numId="54" w16cid:durableId="728189339">
    <w:abstractNumId w:val="62"/>
  </w:num>
  <w:num w:numId="55" w16cid:durableId="640500500">
    <w:abstractNumId w:val="27"/>
  </w:num>
  <w:num w:numId="56" w16cid:durableId="1535851676">
    <w:abstractNumId w:val="58"/>
  </w:num>
  <w:num w:numId="57" w16cid:durableId="1366558596">
    <w:abstractNumId w:val="49"/>
  </w:num>
  <w:num w:numId="58" w16cid:durableId="849376186">
    <w:abstractNumId w:val="29"/>
  </w:num>
  <w:num w:numId="59" w16cid:durableId="688603956">
    <w:abstractNumId w:val="0"/>
  </w:num>
  <w:num w:numId="60" w16cid:durableId="261229575">
    <w:abstractNumId w:val="40"/>
  </w:num>
  <w:num w:numId="61" w16cid:durableId="1636597513">
    <w:abstractNumId w:val="51"/>
  </w:num>
  <w:num w:numId="62" w16cid:durableId="895821002">
    <w:abstractNumId w:val="7"/>
  </w:num>
  <w:num w:numId="63" w16cid:durableId="1108696598">
    <w:abstractNumId w:val="55"/>
  </w:num>
  <w:num w:numId="64" w16cid:durableId="1248228087">
    <w:abstractNumId w:val="23"/>
  </w:num>
  <w:num w:numId="65" w16cid:durableId="775175213">
    <w:abstractNumId w:val="18"/>
  </w:num>
  <w:num w:numId="66" w16cid:durableId="1422144610">
    <w:abstractNumId w:val="36"/>
  </w:num>
  <w:num w:numId="67" w16cid:durableId="1006596987">
    <w:abstractNumId w:val="69"/>
  </w:num>
  <w:num w:numId="68" w16cid:durableId="1899974113">
    <w:abstractNumId w:val="25"/>
  </w:num>
  <w:num w:numId="69" w16cid:durableId="1405641044">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F3E"/>
    <w:rsid w:val="000905A6"/>
    <w:rsid w:val="00090D68"/>
    <w:rsid w:val="00090EF6"/>
    <w:rsid w:val="0009129D"/>
    <w:rsid w:val="000917CC"/>
    <w:rsid w:val="00091D0C"/>
    <w:rsid w:val="00091E67"/>
    <w:rsid w:val="000924AF"/>
    <w:rsid w:val="000932FC"/>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9CF"/>
    <w:rsid w:val="000A1A10"/>
    <w:rsid w:val="000A2042"/>
    <w:rsid w:val="000A2A5F"/>
    <w:rsid w:val="000A2AC7"/>
    <w:rsid w:val="000A3FBF"/>
    <w:rsid w:val="000A4268"/>
    <w:rsid w:val="000A495C"/>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1F54"/>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D37"/>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2090"/>
    <w:rsid w:val="0011371C"/>
    <w:rsid w:val="00114377"/>
    <w:rsid w:val="001146CA"/>
    <w:rsid w:val="00116140"/>
    <w:rsid w:val="00116264"/>
    <w:rsid w:val="001172AE"/>
    <w:rsid w:val="00117584"/>
    <w:rsid w:val="001176AC"/>
    <w:rsid w:val="00120459"/>
    <w:rsid w:val="00120578"/>
    <w:rsid w:val="001230A0"/>
    <w:rsid w:val="001230E8"/>
    <w:rsid w:val="00124E39"/>
    <w:rsid w:val="001260BD"/>
    <w:rsid w:val="001260F6"/>
    <w:rsid w:val="00126984"/>
    <w:rsid w:val="00127071"/>
    <w:rsid w:val="001271B7"/>
    <w:rsid w:val="00127C8A"/>
    <w:rsid w:val="00127D0A"/>
    <w:rsid w:val="0013044E"/>
    <w:rsid w:val="00130BD9"/>
    <w:rsid w:val="001320DB"/>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48EB"/>
    <w:rsid w:val="001C55D1"/>
    <w:rsid w:val="001C60A0"/>
    <w:rsid w:val="001C75D1"/>
    <w:rsid w:val="001C77C9"/>
    <w:rsid w:val="001C77F1"/>
    <w:rsid w:val="001C7946"/>
    <w:rsid w:val="001C79A2"/>
    <w:rsid w:val="001D0033"/>
    <w:rsid w:val="001D0D1D"/>
    <w:rsid w:val="001D2276"/>
    <w:rsid w:val="001D39F8"/>
    <w:rsid w:val="001D3B02"/>
    <w:rsid w:val="001D586F"/>
    <w:rsid w:val="001D5C3F"/>
    <w:rsid w:val="001D63D0"/>
    <w:rsid w:val="001D705F"/>
    <w:rsid w:val="001E04BC"/>
    <w:rsid w:val="001E132B"/>
    <w:rsid w:val="001E192F"/>
    <w:rsid w:val="001E2412"/>
    <w:rsid w:val="001E274C"/>
    <w:rsid w:val="001E2ADB"/>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8CB"/>
    <w:rsid w:val="002456F6"/>
    <w:rsid w:val="00245C45"/>
    <w:rsid w:val="00246234"/>
    <w:rsid w:val="0024629C"/>
    <w:rsid w:val="00246892"/>
    <w:rsid w:val="00247DAF"/>
    <w:rsid w:val="00250821"/>
    <w:rsid w:val="002510AB"/>
    <w:rsid w:val="002513DE"/>
    <w:rsid w:val="002515DA"/>
    <w:rsid w:val="00252586"/>
    <w:rsid w:val="00252D4C"/>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A2"/>
    <w:rsid w:val="00262ACE"/>
    <w:rsid w:val="00263065"/>
    <w:rsid w:val="00263A5F"/>
    <w:rsid w:val="00265C0D"/>
    <w:rsid w:val="00265D70"/>
    <w:rsid w:val="00266435"/>
    <w:rsid w:val="0026655E"/>
    <w:rsid w:val="00266DC2"/>
    <w:rsid w:val="0026729D"/>
    <w:rsid w:val="00270B2E"/>
    <w:rsid w:val="00270BEE"/>
    <w:rsid w:val="00271C8E"/>
    <w:rsid w:val="002722EC"/>
    <w:rsid w:val="0027240B"/>
    <w:rsid w:val="002726B6"/>
    <w:rsid w:val="00272BD6"/>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59"/>
    <w:rsid w:val="002B4799"/>
    <w:rsid w:val="002B49A2"/>
    <w:rsid w:val="002B4A7C"/>
    <w:rsid w:val="002B4A82"/>
    <w:rsid w:val="002B5A41"/>
    <w:rsid w:val="002B6180"/>
    <w:rsid w:val="002B6916"/>
    <w:rsid w:val="002B6B22"/>
    <w:rsid w:val="002B7038"/>
    <w:rsid w:val="002B742D"/>
    <w:rsid w:val="002B7616"/>
    <w:rsid w:val="002B7AEB"/>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4E7D"/>
    <w:rsid w:val="00306578"/>
    <w:rsid w:val="00306C20"/>
    <w:rsid w:val="00306F4C"/>
    <w:rsid w:val="0031173C"/>
    <w:rsid w:val="00311E57"/>
    <w:rsid w:val="0031211F"/>
    <w:rsid w:val="003135D8"/>
    <w:rsid w:val="00314734"/>
    <w:rsid w:val="00315198"/>
    <w:rsid w:val="00315D95"/>
    <w:rsid w:val="00316518"/>
    <w:rsid w:val="00316C1A"/>
    <w:rsid w:val="00316EC8"/>
    <w:rsid w:val="003172A7"/>
    <w:rsid w:val="00317D2D"/>
    <w:rsid w:val="00317F12"/>
    <w:rsid w:val="00320293"/>
    <w:rsid w:val="0032074B"/>
    <w:rsid w:val="0032084F"/>
    <w:rsid w:val="00321011"/>
    <w:rsid w:val="00321045"/>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2FEF"/>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383"/>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10D"/>
    <w:rsid w:val="004435BE"/>
    <w:rsid w:val="00443C3B"/>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4381"/>
    <w:rsid w:val="004C4521"/>
    <w:rsid w:val="004C47C7"/>
    <w:rsid w:val="004C5440"/>
    <w:rsid w:val="004C562B"/>
    <w:rsid w:val="004C60D2"/>
    <w:rsid w:val="004C6776"/>
    <w:rsid w:val="004C6BCC"/>
    <w:rsid w:val="004C6E0D"/>
    <w:rsid w:val="004C6FC3"/>
    <w:rsid w:val="004C7B70"/>
    <w:rsid w:val="004D0335"/>
    <w:rsid w:val="004D0663"/>
    <w:rsid w:val="004D085E"/>
    <w:rsid w:val="004D0CA6"/>
    <w:rsid w:val="004D279C"/>
    <w:rsid w:val="004D32F5"/>
    <w:rsid w:val="004D457F"/>
    <w:rsid w:val="004D5882"/>
    <w:rsid w:val="004D59A9"/>
    <w:rsid w:val="004D5E29"/>
    <w:rsid w:val="004D635E"/>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29B"/>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7411"/>
    <w:rsid w:val="00597C8E"/>
    <w:rsid w:val="00597D79"/>
    <w:rsid w:val="005A0691"/>
    <w:rsid w:val="005A0789"/>
    <w:rsid w:val="005A09FD"/>
    <w:rsid w:val="005A345C"/>
    <w:rsid w:val="005A46E2"/>
    <w:rsid w:val="005A47ED"/>
    <w:rsid w:val="005A4C99"/>
    <w:rsid w:val="005A56E5"/>
    <w:rsid w:val="005A5F39"/>
    <w:rsid w:val="005A69D8"/>
    <w:rsid w:val="005A7C37"/>
    <w:rsid w:val="005B1648"/>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5390"/>
    <w:rsid w:val="005D63E9"/>
    <w:rsid w:val="005D693D"/>
    <w:rsid w:val="005D72E7"/>
    <w:rsid w:val="005D7595"/>
    <w:rsid w:val="005E0979"/>
    <w:rsid w:val="005E1111"/>
    <w:rsid w:val="005E1460"/>
    <w:rsid w:val="005E1E23"/>
    <w:rsid w:val="005E2331"/>
    <w:rsid w:val="005E37A5"/>
    <w:rsid w:val="005E562C"/>
    <w:rsid w:val="005E58E2"/>
    <w:rsid w:val="005E69D4"/>
    <w:rsid w:val="005E6A00"/>
    <w:rsid w:val="005F0A6A"/>
    <w:rsid w:val="005F1098"/>
    <w:rsid w:val="005F1C91"/>
    <w:rsid w:val="005F253E"/>
    <w:rsid w:val="005F2AD6"/>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1BE7"/>
    <w:rsid w:val="00672F1B"/>
    <w:rsid w:val="006730D3"/>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BD0"/>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7838"/>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00E"/>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CF0"/>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2A2E"/>
    <w:rsid w:val="00782A9F"/>
    <w:rsid w:val="007837DE"/>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7DF"/>
    <w:rsid w:val="007A0CFA"/>
    <w:rsid w:val="007A0EE2"/>
    <w:rsid w:val="007A1326"/>
    <w:rsid w:val="007A1F1B"/>
    <w:rsid w:val="007A301B"/>
    <w:rsid w:val="007A3A14"/>
    <w:rsid w:val="007A4D0F"/>
    <w:rsid w:val="007A5625"/>
    <w:rsid w:val="007A5E84"/>
    <w:rsid w:val="007A6FB3"/>
    <w:rsid w:val="007A72E0"/>
    <w:rsid w:val="007B08AD"/>
    <w:rsid w:val="007B1032"/>
    <w:rsid w:val="007B152F"/>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982"/>
    <w:rsid w:val="007D4F87"/>
    <w:rsid w:val="007D53F9"/>
    <w:rsid w:val="007D59C9"/>
    <w:rsid w:val="007D59F2"/>
    <w:rsid w:val="007D5CFC"/>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A3D"/>
    <w:rsid w:val="00811425"/>
    <w:rsid w:val="0081324A"/>
    <w:rsid w:val="00813EB4"/>
    <w:rsid w:val="0081442A"/>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1F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2A7"/>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4BEC"/>
    <w:rsid w:val="00917E74"/>
    <w:rsid w:val="00920056"/>
    <w:rsid w:val="00920A1A"/>
    <w:rsid w:val="00920B66"/>
    <w:rsid w:val="009224FA"/>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D1A"/>
    <w:rsid w:val="00944933"/>
    <w:rsid w:val="0094574D"/>
    <w:rsid w:val="0094607A"/>
    <w:rsid w:val="0094658C"/>
    <w:rsid w:val="00946871"/>
    <w:rsid w:val="00947800"/>
    <w:rsid w:val="009512FA"/>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70331"/>
    <w:rsid w:val="00970D2E"/>
    <w:rsid w:val="00971624"/>
    <w:rsid w:val="0097248E"/>
    <w:rsid w:val="00972F76"/>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B9"/>
    <w:rsid w:val="00986781"/>
    <w:rsid w:val="00986B7D"/>
    <w:rsid w:val="00987C39"/>
    <w:rsid w:val="00987D42"/>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363B"/>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5B87"/>
    <w:rsid w:val="009C5DBD"/>
    <w:rsid w:val="009C600C"/>
    <w:rsid w:val="009C63C4"/>
    <w:rsid w:val="009C72D5"/>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6341"/>
    <w:rsid w:val="00A86E56"/>
    <w:rsid w:val="00A871D6"/>
    <w:rsid w:val="00A87653"/>
    <w:rsid w:val="00A903B8"/>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1292"/>
    <w:rsid w:val="00AC277F"/>
    <w:rsid w:val="00AC56C3"/>
    <w:rsid w:val="00AC5F3E"/>
    <w:rsid w:val="00AC6A9B"/>
    <w:rsid w:val="00AC7081"/>
    <w:rsid w:val="00AC72F0"/>
    <w:rsid w:val="00AD0ADE"/>
    <w:rsid w:val="00AD107B"/>
    <w:rsid w:val="00AD1B5F"/>
    <w:rsid w:val="00AD23D0"/>
    <w:rsid w:val="00AD28F7"/>
    <w:rsid w:val="00AD2A58"/>
    <w:rsid w:val="00AD3168"/>
    <w:rsid w:val="00AD329C"/>
    <w:rsid w:val="00AD3907"/>
    <w:rsid w:val="00AD3B28"/>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8CA"/>
    <w:rsid w:val="00AF2B4C"/>
    <w:rsid w:val="00AF3DD1"/>
    <w:rsid w:val="00AF47DC"/>
    <w:rsid w:val="00AF6110"/>
    <w:rsid w:val="00AF66AC"/>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6495"/>
    <w:rsid w:val="00B26540"/>
    <w:rsid w:val="00B2690D"/>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0284"/>
    <w:rsid w:val="00BC04D8"/>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CBD"/>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284"/>
    <w:rsid w:val="00C2058A"/>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EA"/>
    <w:rsid w:val="00C3636F"/>
    <w:rsid w:val="00C367B4"/>
    <w:rsid w:val="00C37456"/>
    <w:rsid w:val="00C37DCF"/>
    <w:rsid w:val="00C40FBF"/>
    <w:rsid w:val="00C410DC"/>
    <w:rsid w:val="00C41238"/>
    <w:rsid w:val="00C41288"/>
    <w:rsid w:val="00C41372"/>
    <w:rsid w:val="00C413D9"/>
    <w:rsid w:val="00C42805"/>
    <w:rsid w:val="00C4315E"/>
    <w:rsid w:val="00C4338C"/>
    <w:rsid w:val="00C4365E"/>
    <w:rsid w:val="00C4391E"/>
    <w:rsid w:val="00C441EB"/>
    <w:rsid w:val="00C44908"/>
    <w:rsid w:val="00C45FE2"/>
    <w:rsid w:val="00C462AC"/>
    <w:rsid w:val="00C46552"/>
    <w:rsid w:val="00C46555"/>
    <w:rsid w:val="00C46A06"/>
    <w:rsid w:val="00C46EC2"/>
    <w:rsid w:val="00C46F32"/>
    <w:rsid w:val="00C4772E"/>
    <w:rsid w:val="00C47D82"/>
    <w:rsid w:val="00C504AE"/>
    <w:rsid w:val="00C5112F"/>
    <w:rsid w:val="00C51C29"/>
    <w:rsid w:val="00C51E5C"/>
    <w:rsid w:val="00C51F26"/>
    <w:rsid w:val="00C51F33"/>
    <w:rsid w:val="00C52463"/>
    <w:rsid w:val="00C52518"/>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7024C"/>
    <w:rsid w:val="00C70317"/>
    <w:rsid w:val="00C70929"/>
    <w:rsid w:val="00C709D1"/>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9CE"/>
    <w:rsid w:val="00CA7B39"/>
    <w:rsid w:val="00CB07C4"/>
    <w:rsid w:val="00CB0DE0"/>
    <w:rsid w:val="00CB1147"/>
    <w:rsid w:val="00CB2F0A"/>
    <w:rsid w:val="00CB3F25"/>
    <w:rsid w:val="00CB42B2"/>
    <w:rsid w:val="00CB4676"/>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B58"/>
    <w:rsid w:val="00DA2D26"/>
    <w:rsid w:val="00DA3546"/>
    <w:rsid w:val="00DA3644"/>
    <w:rsid w:val="00DA3F67"/>
    <w:rsid w:val="00DA56D2"/>
    <w:rsid w:val="00DA655D"/>
    <w:rsid w:val="00DA6DA9"/>
    <w:rsid w:val="00DB026A"/>
    <w:rsid w:val="00DB02F7"/>
    <w:rsid w:val="00DB04A2"/>
    <w:rsid w:val="00DB0EEF"/>
    <w:rsid w:val="00DB1041"/>
    <w:rsid w:val="00DB1FE7"/>
    <w:rsid w:val="00DB222E"/>
    <w:rsid w:val="00DB2255"/>
    <w:rsid w:val="00DB2FB5"/>
    <w:rsid w:val="00DB2FC6"/>
    <w:rsid w:val="00DB3251"/>
    <w:rsid w:val="00DB438E"/>
    <w:rsid w:val="00DB4518"/>
    <w:rsid w:val="00DB506A"/>
    <w:rsid w:val="00DB511C"/>
    <w:rsid w:val="00DB51D7"/>
    <w:rsid w:val="00DB56A6"/>
    <w:rsid w:val="00DB6F11"/>
    <w:rsid w:val="00DB7858"/>
    <w:rsid w:val="00DC1915"/>
    <w:rsid w:val="00DC1C36"/>
    <w:rsid w:val="00DC1FBA"/>
    <w:rsid w:val="00DC2DAE"/>
    <w:rsid w:val="00DC2FD5"/>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0E1"/>
    <w:rsid w:val="00E06A34"/>
    <w:rsid w:val="00E06BFB"/>
    <w:rsid w:val="00E100AE"/>
    <w:rsid w:val="00E10149"/>
    <w:rsid w:val="00E1034D"/>
    <w:rsid w:val="00E10DF0"/>
    <w:rsid w:val="00E11102"/>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EF6"/>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45D"/>
    <w:rsid w:val="00EC0176"/>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85A"/>
    <w:rsid w:val="00F821D8"/>
    <w:rsid w:val="00F822C5"/>
    <w:rsid w:val="00F82A75"/>
    <w:rsid w:val="00F82B8E"/>
    <w:rsid w:val="00F82C65"/>
    <w:rsid w:val="00F83668"/>
    <w:rsid w:val="00F836F8"/>
    <w:rsid w:val="00F83D7F"/>
    <w:rsid w:val="00F851EF"/>
    <w:rsid w:val="00F86874"/>
    <w:rsid w:val="00F87455"/>
    <w:rsid w:val="00F90598"/>
    <w:rsid w:val="00F91A3C"/>
    <w:rsid w:val="00F9215D"/>
    <w:rsid w:val="00F92281"/>
    <w:rsid w:val="00F92490"/>
    <w:rsid w:val="00F94C6F"/>
    <w:rsid w:val="00F96B09"/>
    <w:rsid w:val="00F96DA6"/>
    <w:rsid w:val="00F97E45"/>
    <w:rsid w:val="00F97FBB"/>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8178961">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
      <w:docPartPr>
        <w:name w:val="34CD7B95A6DD49CEB88318EAA9474EE5"/>
        <w:category>
          <w:name w:val="General"/>
          <w:gallery w:val="placeholder"/>
        </w:category>
        <w:types>
          <w:type w:val="bbPlcHdr"/>
        </w:types>
        <w:behaviors>
          <w:behavior w:val="content"/>
        </w:behaviors>
        <w:guid w:val="{634A022D-1A55-400E-A44B-8C13874F1292}"/>
      </w:docPartPr>
      <w:docPartBody>
        <w:p w:rsidR="009F487A" w:rsidRDefault="004D2EB6" w:rsidP="004D2EB6">
          <w:pPr>
            <w:pStyle w:val="34CD7B95A6DD49CEB88318EAA9474EE5"/>
          </w:pPr>
          <w:r w:rsidRPr="009952F1">
            <w:rPr>
              <w:rStyle w:val="PlaceholderText"/>
            </w:rPr>
            <w:t>[Category]</w:t>
          </w:r>
        </w:p>
      </w:docPartBody>
    </w:docPart>
    <w:docPart>
      <w:docPartPr>
        <w:name w:val="66389BDD1B5F416BB9807367F387F00D"/>
        <w:category>
          <w:name w:val="General"/>
          <w:gallery w:val="placeholder"/>
        </w:category>
        <w:types>
          <w:type w:val="bbPlcHdr"/>
        </w:types>
        <w:behaviors>
          <w:behavior w:val="content"/>
        </w:behaviors>
        <w:guid w:val="{3B255BD4-5DB5-41F0-B5DC-7995293A3208}"/>
      </w:docPartPr>
      <w:docPartBody>
        <w:p w:rsidR="009F487A" w:rsidRDefault="004D2EB6" w:rsidP="004D2EB6">
          <w:pPr>
            <w:pStyle w:val="66389BDD1B5F416BB9807367F387F00D"/>
          </w:pPr>
          <w:r w:rsidRPr="009952F1">
            <w:rPr>
              <w:rStyle w:val="PlaceholderText"/>
            </w:rPr>
            <w:t>[Category]</w:t>
          </w:r>
        </w:p>
      </w:docPartBody>
    </w:docPart>
    <w:docPart>
      <w:docPartPr>
        <w:name w:val="C159B6AA62F44C1EAF43884C886CE5E7"/>
        <w:category>
          <w:name w:val="General"/>
          <w:gallery w:val="placeholder"/>
        </w:category>
        <w:types>
          <w:type w:val="bbPlcHdr"/>
        </w:types>
        <w:behaviors>
          <w:behavior w:val="content"/>
        </w:behaviors>
        <w:guid w:val="{89A9256F-7107-4422-B613-C7B7B8074999}"/>
      </w:docPartPr>
      <w:docPartBody>
        <w:p w:rsidR="009F487A" w:rsidRDefault="004D2EB6" w:rsidP="004D2EB6">
          <w:pPr>
            <w:pStyle w:val="C159B6AA62F44C1EAF43884C886CE5E7"/>
          </w:pPr>
          <w:r w:rsidRPr="009952F1">
            <w:rPr>
              <w:rStyle w:val="PlaceholderText"/>
            </w:rPr>
            <w:t>[Category]</w:t>
          </w:r>
        </w:p>
      </w:docPartBody>
    </w:docPart>
    <w:docPart>
      <w:docPartPr>
        <w:name w:val="478A25C18D70465CB5097D672CA5D08B"/>
        <w:category>
          <w:name w:val="General"/>
          <w:gallery w:val="placeholder"/>
        </w:category>
        <w:types>
          <w:type w:val="bbPlcHdr"/>
        </w:types>
        <w:behaviors>
          <w:behavior w:val="content"/>
        </w:behaviors>
        <w:guid w:val="{9817CE12-CF0D-48DD-B539-44310CB08E25}"/>
      </w:docPartPr>
      <w:docPartBody>
        <w:p w:rsidR="009F487A" w:rsidRDefault="004D2EB6" w:rsidP="004D2EB6">
          <w:pPr>
            <w:pStyle w:val="478A25C18D70465CB5097D672CA5D08B"/>
          </w:pPr>
          <w:r w:rsidRPr="009952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9680B"/>
    <w:rsid w:val="00240836"/>
    <w:rsid w:val="003529A1"/>
    <w:rsid w:val="0036036E"/>
    <w:rsid w:val="003722D7"/>
    <w:rsid w:val="00463827"/>
    <w:rsid w:val="004D2EB6"/>
    <w:rsid w:val="005769DB"/>
    <w:rsid w:val="006357EA"/>
    <w:rsid w:val="0073728B"/>
    <w:rsid w:val="007635E9"/>
    <w:rsid w:val="0079581D"/>
    <w:rsid w:val="0091639E"/>
    <w:rsid w:val="009F487A"/>
    <w:rsid w:val="00B060B6"/>
    <w:rsid w:val="00D738B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D2EB6"/>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 w:type="paragraph" w:customStyle="1" w:styleId="34CD7B95A6DD49CEB88318EAA9474EE5">
    <w:name w:val="34CD7B95A6DD49CEB88318EAA9474EE5"/>
    <w:rsid w:val="004D2EB6"/>
  </w:style>
  <w:style w:type="paragraph" w:customStyle="1" w:styleId="66389BDD1B5F416BB9807367F387F00D">
    <w:name w:val="66389BDD1B5F416BB9807367F387F00D"/>
    <w:rsid w:val="004D2EB6"/>
  </w:style>
  <w:style w:type="paragraph" w:customStyle="1" w:styleId="C159B6AA62F44C1EAF43884C886CE5E7">
    <w:name w:val="C159B6AA62F44C1EAF43884C886CE5E7"/>
    <w:rsid w:val="004D2EB6"/>
  </w:style>
  <w:style w:type="paragraph" w:customStyle="1" w:styleId="478A25C18D70465CB5097D672CA5D08B">
    <w:name w:val="478A25C18D70465CB5097D672CA5D08B"/>
    <w:rsid w:val="004D2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3528</TotalTime>
  <Pages>30</Pages>
  <Words>5267</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35225</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136</cp:revision>
  <cp:lastPrinted>2018-06-29T23:11:00Z</cp:lastPrinted>
  <dcterms:created xsi:type="dcterms:W3CDTF">2024-03-21T01:54:00Z</dcterms:created>
  <dcterms:modified xsi:type="dcterms:W3CDTF">2024-04-08T03:32:00Z</dcterms:modified>
  <cp:category>Azure Monitor and Insights, Log Analytics Workspace and Alerting Combined</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