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du="http://schemas.microsoft.com/office/word/2023/wordml/word16du">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46E03643">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B660B">
                                  <w:rPr>
                                    <w:b/>
                                    <w:bCs/>
                                    <w:color w:val="FFFFFF" w:themeColor="background1"/>
                                    <w:sz w:val="48"/>
                                    <w:szCs w:val="48"/>
                                  </w:rPr>
                                  <w:t>Log Analytics Workspace</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w16du="http://schemas.microsoft.com/office/word/2023/wordml/word16du">
            <w:pict w14:anchorId="5A0260FC">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4159E03E" w14:textId="46E03643">
                      <w:pPr>
                        <w:rPr>
                          <w:b/>
                          <w:bCs/>
                          <w:color w:val="FFFFFF" w:themeColor="background1"/>
                          <w:sz w:val="48"/>
                          <w:szCs w:val="48"/>
                        </w:rPr>
                      </w:pPr>
                      <w:r>
                        <w:rPr>
                          <w:b/>
                          <w:bCs/>
                          <w:color w:val="FFFFFF" w:themeColor="background1"/>
                          <w:sz w:val="48"/>
                          <w:szCs w:val="48"/>
                        </w:rPr>
                        <w:tab/>
                      </w:r>
                      <w:sdt>
                        <w:sdtPr>
                          <w:id w:val="1910680662"/>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B660B">
                            <w:rPr>
                              <w:b/>
                              <w:bCs/>
                              <w:color w:val="FFFFFF" w:themeColor="background1"/>
                              <w:sz w:val="48"/>
                              <w:szCs w:val="48"/>
                            </w:rPr>
                            <w:t>Log Analytics Workspace</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r>
        <w:rPr>
          <w:rFonts w:cs="Arial"/>
        </w:rPr>
        <w:t>atabricks</w:t>
      </w:r>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34841F98" w14:textId="77777777">
      <w:pPr>
        <w:rPr>
          <w:rFonts w:cs="Arial"/>
        </w:rPr>
      </w:pPr>
    </w:p>
    <w:p w:rsidRPr="00633B64" w:rsidR="00C97248" w:rsidP="008011F4" w:rsidRDefault="00C97248" w14:paraId="2452D57E" w14:textId="77777777">
      <w:pPr>
        <w:rPr>
          <w:rFonts w:cs="Arial"/>
        </w:rPr>
      </w:pPr>
    </w:p>
    <w:p w:rsidR="00C07A2E" w:rsidP="00003ED0" w:rsidRDefault="00C07A2E" w14:paraId="064D05CC" w14:textId="77777777">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9B660B"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9B4234" w:rsidR="00502938" w:rsidP="00F94C6F" w:rsidRDefault="00502938" w14:paraId="6A32475E" w14:textId="77777777">
            <w:pPr>
              <w:pStyle w:val="BodyText"/>
              <w:rPr>
                <w:rFonts w:cs="Arial"/>
                <w:b w:val="0"/>
                <w:bCs/>
                <w:color w:val="FFFFFF" w:themeColor="background1"/>
              </w:rPr>
            </w:pPr>
            <w:r w:rsidRPr="009B4234">
              <w:rPr>
                <w:rFonts w:cs="Arial"/>
                <w:color w:val="FFFFFF" w:themeColor="background1"/>
                <w:sz w:val="28"/>
                <w:szCs w:val="28"/>
              </w:rPr>
              <w:t>IT Owner Details</w:t>
            </w:r>
          </w:p>
        </w:tc>
      </w:tr>
      <w:tr w:rsidRPr="00633B64" w:rsidR="00502938" w:rsidTr="009B660B" w14:paraId="02911C77" w14:textId="77777777">
        <w:tc>
          <w:tcPr>
            <w:tcW w:w="2121" w:type="dxa"/>
            <w:shd w:val="clear" w:color="auto" w:fill="002060"/>
          </w:tcPr>
          <w:p w:rsidRPr="009B4234" w:rsidR="00502938" w:rsidP="00F94C6F" w:rsidRDefault="00502938" w14:paraId="6D574233" w14:textId="77777777">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rsidRPr="009B660B" w:rsidR="00502938" w:rsidP="00F94C6F" w:rsidRDefault="00502938" w14:paraId="47938CE6" w14:textId="475A45B5">
            <w:pPr>
              <w:pStyle w:val="BodyText"/>
              <w:ind w:left="0"/>
              <w:rPr>
                <w:rFonts w:cs="Arial"/>
                <w:color w:val="FFFFFF" w:themeColor="background1"/>
              </w:rPr>
            </w:pPr>
            <w:r w:rsidRPr="009B660B">
              <w:rPr>
                <w:rFonts w:cs="Arial"/>
                <w:color w:val="auto"/>
              </w:rPr>
              <w:t xml:space="preserve"> </w:t>
            </w:r>
            <w:r w:rsidRPr="009B660B" w:rsidR="00697C15">
              <w:rPr>
                <w:rFonts w:cs="Arial"/>
                <w:color w:val="auto"/>
              </w:rPr>
              <w:t>DTS</w:t>
            </w:r>
          </w:p>
        </w:tc>
      </w:tr>
      <w:tr w:rsidRPr="00633B64" w:rsidR="00502938" w:rsidTr="009B660B" w14:paraId="0B5A4FC1" w14:textId="77777777">
        <w:tc>
          <w:tcPr>
            <w:tcW w:w="2121" w:type="dxa"/>
            <w:shd w:val="clear" w:color="auto" w:fill="002060"/>
          </w:tcPr>
          <w:p w:rsidRPr="00B035CE" w:rsidR="00502938" w:rsidP="00F94C6F" w:rsidRDefault="00502938" w14:paraId="13FDAA98"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rsidRPr="009B660B" w:rsidR="00502938" w:rsidP="00F94C6F" w:rsidRDefault="00502938" w14:paraId="058646E4" w14:textId="55A55074">
            <w:pPr>
              <w:pStyle w:val="BodyText"/>
              <w:ind w:left="0"/>
              <w:rPr>
                <w:rFonts w:cs="Arial"/>
              </w:rPr>
            </w:pPr>
            <w:r w:rsidRPr="009B660B">
              <w:rPr>
                <w:rFonts w:cs="Arial"/>
              </w:rPr>
              <w:t xml:space="preserve"> </w:t>
            </w:r>
            <w:r w:rsidRPr="009B660B" w:rsidR="00697C15">
              <w:rPr>
                <w:rFonts w:cs="Arial"/>
              </w:rPr>
              <w:t>Dominic Panzera</w:t>
            </w:r>
          </w:p>
        </w:tc>
      </w:tr>
      <w:tr w:rsidRPr="00633B64" w:rsidR="00502938" w:rsidTr="009B660B" w14:paraId="27DCA4A2" w14:textId="77777777">
        <w:tc>
          <w:tcPr>
            <w:tcW w:w="2121" w:type="dxa"/>
            <w:shd w:val="clear" w:color="auto" w:fill="002060"/>
          </w:tcPr>
          <w:p w:rsidRPr="00B035CE" w:rsidR="00502938" w:rsidP="00F94C6F" w:rsidRDefault="00502938" w14:paraId="47B59444"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rsidRPr="009B660B" w:rsidR="00502938" w:rsidP="00F94C6F" w:rsidRDefault="00502938" w14:paraId="1C05DC2E" w14:textId="77777777">
            <w:pPr>
              <w:pStyle w:val="BodyText"/>
              <w:ind w:left="0"/>
              <w:rPr>
                <w:rFonts w:cs="Arial"/>
              </w:rPr>
            </w:pPr>
            <w:r w:rsidRPr="009B660B">
              <w:rPr>
                <w:rFonts w:cs="Arial"/>
              </w:rPr>
              <w:t xml:space="preserve"> 375 Manningham Road, Doncaster, Victoria 3108</w:t>
            </w:r>
          </w:p>
        </w:tc>
      </w:tr>
    </w:tbl>
    <w:p w:rsidRPr="00131151" w:rsidR="00502938" w:rsidP="00502938" w:rsidRDefault="00502938" w14:paraId="50EB2AEB"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83"/>
        <w:gridCol w:w="6836"/>
      </w:tblGrid>
      <w:tr w:rsidRPr="00131151" w:rsidR="00502938" w:rsidTr="777A73E0" w14:paraId="72C704D4" w14:textId="77777777">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rsidRPr="00131151" w:rsidR="00502938" w:rsidP="00F94C6F" w:rsidRDefault="00502938" w14:paraId="17354C91" w14:textId="77777777">
            <w:pPr>
              <w:pStyle w:val="BodyText"/>
              <w:rPr>
                <w:rFonts w:cs="Arial"/>
                <w:color w:val="FFFFFF" w:themeColor="background1"/>
                <w:sz w:val="28"/>
                <w:szCs w:val="28"/>
              </w:rPr>
            </w:pPr>
            <w:r w:rsidRPr="00131151">
              <w:rPr>
                <w:rFonts w:cs="Arial"/>
                <w:color w:val="FFFFFF" w:themeColor="background1"/>
                <w:sz w:val="28"/>
                <w:szCs w:val="28"/>
              </w:rPr>
              <w:t>Document Control</w:t>
            </w:r>
          </w:p>
        </w:tc>
      </w:tr>
      <w:tr w:rsidRPr="00131151" w:rsidR="00502938" w:rsidTr="777A73E0" w14:paraId="5BFC87D6" w14:textId="77777777">
        <w:tc>
          <w:tcPr>
            <w:tcW w:w="2288" w:type="dxa"/>
            <w:shd w:val="clear" w:color="auto" w:fill="002060"/>
          </w:tcPr>
          <w:p w:rsidRPr="00131151" w:rsidR="00502938" w:rsidP="00F94C6F" w:rsidRDefault="00502938" w14:paraId="58113505" w14:textId="77777777">
            <w:pPr>
              <w:pStyle w:val="BodyText"/>
              <w:ind w:left="0"/>
              <w:rPr>
                <w:rFonts w:cs="Arial"/>
                <w:color w:val="auto"/>
              </w:rPr>
            </w:pPr>
            <w:r w:rsidRPr="00131151">
              <w:rPr>
                <w:rFonts w:cs="Arial"/>
                <w:color w:val="auto"/>
              </w:rPr>
              <w:t xml:space="preserve"> Title</w:t>
            </w:r>
          </w:p>
        </w:tc>
        <w:tc>
          <w:tcPr>
            <w:tcW w:w="7812" w:type="dxa"/>
            <w:shd w:val="clear" w:color="auto" w:fill="auto"/>
          </w:tcPr>
          <w:p w:rsidRPr="00131151" w:rsidR="00502938" w:rsidP="00F94C6F" w:rsidRDefault="00502938" w14:paraId="272BF256" w14:textId="208DC6C8">
            <w:pPr>
              <w:pStyle w:val="BodyText"/>
              <w:ind w:left="0"/>
              <w:rPr>
                <w:rFonts w:cs="Arial"/>
                <w:b/>
                <w:bCs/>
              </w:rPr>
            </w:pPr>
            <w:r w:rsidRPr="00131151">
              <w:rPr>
                <w:rFonts w:cs="Arial"/>
              </w:rPr>
              <w:t xml:space="preserve"> </w:t>
            </w:r>
            <w:r w:rsidRPr="00131151"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Pr="00131151" w:rsidR="009B660B">
                  <w:rPr>
                    <w:rFonts w:cs="Arial"/>
                  </w:rPr>
                  <w:t>Log Analytics Workspace</w:t>
                </w:r>
              </w:sdtContent>
            </w:sdt>
            <w:r w:rsidRPr="00131151" w:rsidR="003B06EB">
              <w:rPr>
                <w:rFonts w:cs="Arial"/>
              </w:rPr>
              <w:t xml:space="preserve"> Core Service Design</w:t>
            </w:r>
          </w:p>
        </w:tc>
      </w:tr>
      <w:tr w:rsidRPr="00131151" w:rsidR="00502938" w:rsidTr="777A73E0" w14:paraId="57A54275" w14:textId="77777777">
        <w:tc>
          <w:tcPr>
            <w:tcW w:w="2288" w:type="dxa"/>
            <w:shd w:val="clear" w:color="auto" w:fill="002060"/>
          </w:tcPr>
          <w:p w:rsidRPr="00131151" w:rsidR="00502938" w:rsidP="00F94C6F" w:rsidRDefault="00502938" w14:paraId="01F3F83C" w14:textId="77777777">
            <w:pPr>
              <w:pStyle w:val="BodyText"/>
              <w:ind w:left="0"/>
              <w:rPr>
                <w:rFonts w:cs="Arial"/>
                <w:b/>
                <w:color w:val="auto"/>
              </w:rPr>
            </w:pPr>
            <w:r w:rsidRPr="00131151">
              <w:rPr>
                <w:rFonts w:cs="Arial"/>
                <w:b/>
                <w:color w:val="auto"/>
              </w:rPr>
              <w:t xml:space="preserve"> File Name</w:t>
            </w:r>
          </w:p>
        </w:tc>
        <w:tc>
          <w:tcPr>
            <w:tcW w:w="7812" w:type="dxa"/>
          </w:tcPr>
          <w:p w:rsidRPr="00131151" w:rsidR="00502938" w:rsidP="00F94C6F" w:rsidRDefault="00502938" w14:paraId="0786C0F6" w14:textId="0823EDCE">
            <w:pPr>
              <w:pStyle w:val="BodyText"/>
              <w:ind w:left="0"/>
              <w:rPr>
                <w:rFonts w:cs="Arial"/>
              </w:rPr>
            </w:pPr>
            <w:r w:rsidRPr="00131151">
              <w:rPr>
                <w:rFonts w:cs="Arial"/>
              </w:rPr>
              <w:t xml:space="preserve"> </w:t>
            </w:r>
            <w:r w:rsidRPr="00131151" w:rsidR="003B06EB">
              <w:rPr>
                <w:rFonts w:cs="Arial"/>
              </w:rPr>
              <w:t>Ambulance Victoria –</w:t>
            </w:r>
            <w:r w:rsidRPr="00131151"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Pr="00131151" w:rsidR="009B660B">
                  <w:rPr>
                    <w:rFonts w:cs="Arial"/>
                  </w:rPr>
                  <w:t>Log Analytics Workspace</w:t>
                </w:r>
              </w:sdtContent>
            </w:sdt>
            <w:r w:rsidRPr="00131151" w:rsidR="00874AFF">
              <w:rPr>
                <w:rFonts w:cs="Arial"/>
              </w:rPr>
              <w:t xml:space="preserve"> </w:t>
            </w:r>
            <w:r w:rsidRPr="00131151" w:rsidR="003B06EB">
              <w:rPr>
                <w:rFonts w:cs="Arial"/>
              </w:rPr>
              <w:t>Core Service Design</w:t>
            </w:r>
            <w:r w:rsidRPr="00131151" w:rsidR="2E9F5D2A">
              <w:rPr>
                <w:rFonts w:cs="Arial"/>
              </w:rPr>
              <w:t xml:space="preserve"> v1.0</w:t>
            </w:r>
            <w:r w:rsidRPr="00131151" w:rsidR="003B06EB">
              <w:rPr>
                <w:rFonts w:cs="Arial"/>
              </w:rPr>
              <w:t>.docx</w:t>
            </w:r>
          </w:p>
        </w:tc>
      </w:tr>
      <w:tr w:rsidRPr="00131151" w:rsidR="00502938" w:rsidTr="777A73E0" w14:paraId="2D038423" w14:textId="77777777">
        <w:tc>
          <w:tcPr>
            <w:tcW w:w="2288" w:type="dxa"/>
            <w:shd w:val="clear" w:color="auto" w:fill="002060"/>
          </w:tcPr>
          <w:p w:rsidRPr="00131151" w:rsidR="00502938" w:rsidP="00F94C6F" w:rsidRDefault="00502938" w14:paraId="79F36FF6" w14:textId="77777777">
            <w:pPr>
              <w:pStyle w:val="BodyText"/>
              <w:ind w:left="0"/>
              <w:rPr>
                <w:rFonts w:cs="Arial"/>
                <w:b/>
                <w:color w:val="auto"/>
              </w:rPr>
            </w:pPr>
            <w:r w:rsidRPr="00131151">
              <w:rPr>
                <w:rFonts w:cs="Arial"/>
                <w:b/>
                <w:color w:val="auto"/>
              </w:rPr>
              <w:t xml:space="preserve"> Version</w:t>
            </w:r>
          </w:p>
        </w:tc>
        <w:tc>
          <w:tcPr>
            <w:tcW w:w="7812" w:type="dxa"/>
          </w:tcPr>
          <w:p w:rsidRPr="00131151" w:rsidR="00502938" w:rsidP="00F94C6F" w:rsidRDefault="00502938" w14:paraId="0B1B2FC0" w14:textId="7CACF3EA">
            <w:pPr>
              <w:pStyle w:val="BodyText"/>
              <w:ind w:left="0"/>
              <w:rPr>
                <w:rFonts w:cs="Arial"/>
              </w:rPr>
            </w:pPr>
            <w:r w:rsidRPr="00131151">
              <w:rPr>
                <w:rFonts w:cs="Arial"/>
              </w:rPr>
              <w:t xml:space="preserve"> </w:t>
            </w:r>
            <w:r w:rsidRPr="00131151" w:rsidR="00131151">
              <w:rPr>
                <w:rFonts w:cs="Arial"/>
              </w:rPr>
              <w:t>1.0</w:t>
            </w:r>
          </w:p>
        </w:tc>
      </w:tr>
      <w:tr w:rsidRPr="00131151" w:rsidR="00502938" w:rsidTr="777A73E0" w14:paraId="646872E8" w14:textId="77777777">
        <w:tc>
          <w:tcPr>
            <w:tcW w:w="2288" w:type="dxa"/>
            <w:shd w:val="clear" w:color="auto" w:fill="002060"/>
          </w:tcPr>
          <w:p w:rsidRPr="00131151" w:rsidR="00502938" w:rsidP="00F94C6F" w:rsidRDefault="00502938" w14:paraId="7AF0ECB5" w14:textId="77777777">
            <w:pPr>
              <w:pStyle w:val="BodyText"/>
              <w:ind w:left="0"/>
              <w:rPr>
                <w:rFonts w:cs="Arial"/>
                <w:b/>
                <w:color w:val="auto"/>
              </w:rPr>
            </w:pPr>
            <w:r w:rsidRPr="00131151">
              <w:rPr>
                <w:rFonts w:cs="Arial"/>
                <w:b/>
                <w:color w:val="auto"/>
              </w:rPr>
              <w:t xml:space="preserve"> Status</w:t>
            </w:r>
          </w:p>
        </w:tc>
        <w:tc>
          <w:tcPr>
            <w:tcW w:w="7812" w:type="dxa"/>
          </w:tcPr>
          <w:p w:rsidRPr="00131151" w:rsidR="00502938" w:rsidP="00F94C6F" w:rsidRDefault="00131151" w14:paraId="07B5CC3A" w14:textId="07B5A632">
            <w:pPr>
              <w:pStyle w:val="BodyText"/>
              <w:ind w:left="0"/>
              <w:rPr>
                <w:rFonts w:cs="Arial"/>
              </w:rPr>
            </w:pPr>
            <w:r w:rsidRPr="00131151">
              <w:rPr>
                <w:rFonts w:cs="Arial"/>
              </w:rPr>
              <w:t xml:space="preserve"> Released</w:t>
            </w:r>
          </w:p>
        </w:tc>
      </w:tr>
      <w:tr w:rsidRPr="00131151" w:rsidR="00502938" w:rsidTr="777A73E0" w14:paraId="1BC8196F" w14:textId="77777777">
        <w:trPr>
          <w:trHeight w:val="179"/>
        </w:trPr>
        <w:tc>
          <w:tcPr>
            <w:tcW w:w="2288" w:type="dxa"/>
            <w:shd w:val="clear" w:color="auto" w:fill="002060"/>
          </w:tcPr>
          <w:p w:rsidRPr="00131151" w:rsidR="00502938" w:rsidP="00F94C6F" w:rsidRDefault="00502938" w14:paraId="160D2412" w14:textId="77777777">
            <w:pPr>
              <w:pStyle w:val="BodyText"/>
              <w:ind w:left="0"/>
              <w:rPr>
                <w:rFonts w:cs="Arial"/>
                <w:b/>
                <w:color w:val="auto"/>
              </w:rPr>
            </w:pPr>
            <w:r w:rsidRPr="00131151">
              <w:rPr>
                <w:rFonts w:cs="Arial"/>
                <w:b/>
                <w:color w:val="auto"/>
              </w:rPr>
              <w:t xml:space="preserve"> Release Date</w:t>
            </w:r>
          </w:p>
        </w:tc>
        <w:tc>
          <w:tcPr>
            <w:tcW w:w="7812" w:type="dxa"/>
            <w:shd w:val="clear" w:color="auto" w:fill="auto"/>
          </w:tcPr>
          <w:p w:rsidRPr="00131151" w:rsidR="00502938" w:rsidP="00F94C6F" w:rsidRDefault="00131151" w14:paraId="112D8EB3" w14:textId="41ED463D">
            <w:pPr>
              <w:pStyle w:val="BodyText"/>
              <w:ind w:left="0"/>
              <w:rPr>
                <w:rFonts w:cs="Arial"/>
              </w:rPr>
            </w:pPr>
            <w:r w:rsidRPr="00131151">
              <w:rPr>
                <w:rFonts w:cs="Arial"/>
              </w:rPr>
              <w:t xml:space="preserve"> 25/01/2024</w:t>
            </w:r>
          </w:p>
        </w:tc>
      </w:tr>
    </w:tbl>
    <w:p w:rsidRPr="00131151" w:rsidR="00502938" w:rsidP="00502938" w:rsidRDefault="00502938" w14:paraId="668477D6"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93"/>
        <w:gridCol w:w="1816"/>
        <w:gridCol w:w="2455"/>
        <w:gridCol w:w="2455"/>
      </w:tblGrid>
      <w:tr w:rsidRPr="00131151" w:rsidR="00502938" w:rsidTr="00F94C6F" w14:paraId="61AB52CE" w14:textId="77777777">
        <w:trPr>
          <w:cnfStyle w:val="100000000000" w:firstRow="1" w:lastRow="0" w:firstColumn="0" w:lastColumn="0" w:oddVBand="0" w:evenVBand="0" w:oddHBand="0" w:evenHBand="0" w:firstRowFirstColumn="0" w:firstRowLastColumn="0" w:lastRowFirstColumn="0" w:lastRowLastColumn="0"/>
        </w:trPr>
        <w:tc>
          <w:tcPr>
            <w:tcW w:w="2302"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02F635A5" w14:textId="77777777">
            <w:pPr>
              <w:pStyle w:val="BodyText"/>
              <w:rPr>
                <w:rFonts w:cs="Arial"/>
                <w:color w:val="auto"/>
              </w:rPr>
            </w:pPr>
            <w:r w:rsidRPr="00131151">
              <w:rPr>
                <w:rFonts w:cs="Arial"/>
                <w:color w:val="FFFFFF" w:themeColor="background1"/>
                <w:sz w:val="28"/>
                <w:szCs w:val="28"/>
              </w:rPr>
              <w:t>Preparation</w:t>
            </w:r>
          </w:p>
        </w:tc>
        <w:tc>
          <w:tcPr>
            <w:tcW w:w="2007"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3A74B9CF" w14:textId="77777777">
            <w:pPr>
              <w:pStyle w:val="BodyText"/>
              <w:rPr>
                <w:rFonts w:cs="Arial"/>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2B08FCE4" w14:textId="77777777">
            <w:pPr>
              <w:pStyle w:val="BodyText"/>
              <w:rPr>
                <w:rFonts w:cs="Arial"/>
                <w:b w:val="0"/>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12DA7446" w14:textId="77777777">
            <w:pPr>
              <w:pStyle w:val="BodyText"/>
              <w:rPr>
                <w:rFonts w:cs="Arial"/>
                <w:b w:val="0"/>
                <w:color w:val="auto"/>
              </w:rPr>
            </w:pPr>
          </w:p>
        </w:tc>
      </w:tr>
      <w:tr w:rsidRPr="00131151" w:rsidR="00502938" w:rsidTr="00F94C6F" w14:paraId="4DD49E68" w14:textId="77777777">
        <w:tc>
          <w:tcPr>
            <w:tcW w:w="2302"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04949D94" w14:textId="77777777">
            <w:pPr>
              <w:pStyle w:val="BodyText"/>
              <w:ind w:left="0"/>
              <w:rPr>
                <w:rFonts w:cs="Arial"/>
                <w:b/>
                <w:bCs/>
                <w:color w:val="auto"/>
              </w:rPr>
            </w:pPr>
            <w:r w:rsidRPr="00131151">
              <w:rPr>
                <w:rFonts w:cs="Arial"/>
                <w:b/>
                <w:bCs/>
                <w:color w:val="auto"/>
              </w:rPr>
              <w:t xml:space="preserve"> Prepared</w:t>
            </w:r>
          </w:p>
        </w:tc>
        <w:tc>
          <w:tcPr>
            <w:tcW w:w="2007" w:type="dxa"/>
            <w:tcBorders>
              <w:top w:val="single" w:color="A6A6A6" w:themeColor="background1" w:themeShade="A6" w:sz="4" w:space="0"/>
              <w:bottom w:val="single" w:color="A6A6A6" w:themeColor="background1" w:themeShade="A6" w:sz="4" w:space="0"/>
            </w:tcBorders>
            <w:shd w:val="clear" w:color="auto" w:fill="auto"/>
          </w:tcPr>
          <w:p w:rsidRPr="00131151" w:rsidR="00502938" w:rsidP="00F94C6F" w:rsidRDefault="00874AFF" w14:paraId="546DEA17" w14:textId="417F34AB">
            <w:pPr>
              <w:pStyle w:val="BodyText"/>
              <w:ind w:left="0"/>
              <w:rPr>
                <w:rFonts w:cs="Arial"/>
                <w:b/>
                <w:color w:val="auto"/>
              </w:rPr>
            </w:pPr>
            <w:r w:rsidRPr="00131151">
              <w:rPr>
                <w:rFonts w:cs="Arial"/>
                <w:color w:val="auto"/>
              </w:rPr>
              <w:t xml:space="preserve"> </w:t>
            </w:r>
            <w:r w:rsidRPr="00131151" w:rsidR="00131151">
              <w:rPr>
                <w:rFonts w:cs="Arial"/>
                <w:color w:val="auto"/>
              </w:rPr>
              <w:t>Dani Nikolic</w:t>
            </w:r>
          </w:p>
        </w:tc>
        <w:tc>
          <w:tcPr>
            <w:tcW w:w="2961" w:type="dxa"/>
            <w:tcBorders>
              <w:top w:val="single" w:color="A6A6A6" w:themeColor="background1" w:themeShade="A6" w:sz="4" w:space="0"/>
              <w:bottom w:val="single" w:color="A6A6A6" w:themeColor="background1" w:themeShade="A6" w:sz="4" w:space="0"/>
            </w:tcBorders>
            <w:shd w:val="clear" w:color="auto" w:fill="auto"/>
          </w:tcPr>
          <w:p w:rsidRPr="00131151" w:rsidR="00502938" w:rsidP="00F94C6F" w:rsidRDefault="00502938" w14:paraId="17BA5E75" w14:textId="77777777">
            <w:pPr>
              <w:pStyle w:val="BodyText"/>
              <w:ind w:left="0"/>
              <w:rPr>
                <w:rFonts w:cs="Arial"/>
                <w:b/>
                <w:color w:val="auto"/>
              </w:rPr>
            </w:pPr>
          </w:p>
        </w:tc>
        <w:tc>
          <w:tcPr>
            <w:tcW w:w="2961" w:type="dxa"/>
            <w:tcBorders>
              <w:top w:val="single" w:color="A6A6A6" w:themeColor="background1" w:themeShade="A6" w:sz="4" w:space="0"/>
              <w:bottom w:val="single" w:color="A6A6A6" w:themeColor="background1" w:themeShade="A6" w:sz="4" w:space="0"/>
            </w:tcBorders>
            <w:shd w:val="clear" w:color="auto" w:fill="auto"/>
          </w:tcPr>
          <w:p w:rsidRPr="00131151" w:rsidR="00502938" w:rsidP="00F94C6F" w:rsidRDefault="00502938" w14:paraId="63C669C5" w14:textId="77777777">
            <w:pPr>
              <w:pStyle w:val="BodyText"/>
              <w:ind w:left="0"/>
              <w:rPr>
                <w:rFonts w:cs="Arial"/>
                <w:b/>
                <w:color w:val="auto"/>
              </w:rPr>
            </w:pPr>
          </w:p>
        </w:tc>
      </w:tr>
      <w:tr w:rsidRPr="00131151" w:rsidR="00502938" w:rsidTr="00F94C6F" w14:paraId="05A399D3" w14:textId="77777777">
        <w:tc>
          <w:tcPr>
            <w:tcW w:w="2302" w:type="dxa"/>
            <w:tcBorders>
              <w:top w:val="single" w:color="A6A6A6" w:themeColor="background1" w:themeShade="A6" w:sz="4" w:space="0"/>
            </w:tcBorders>
            <w:shd w:val="clear" w:color="auto" w:fill="002060"/>
          </w:tcPr>
          <w:p w:rsidRPr="00131151" w:rsidR="00502938" w:rsidP="00F94C6F" w:rsidRDefault="00502938" w14:paraId="70CDCE93" w14:textId="77777777">
            <w:pPr>
              <w:pStyle w:val="BodyText"/>
              <w:ind w:left="0"/>
              <w:rPr>
                <w:rFonts w:cs="Arial"/>
                <w:b/>
                <w:color w:val="auto"/>
              </w:rPr>
            </w:pPr>
            <w:r w:rsidRPr="00131151">
              <w:rPr>
                <w:rFonts w:cs="Arial"/>
                <w:b/>
                <w:color w:val="auto"/>
              </w:rPr>
              <w:t xml:space="preserve"> Authorised</w:t>
            </w:r>
          </w:p>
        </w:tc>
        <w:tc>
          <w:tcPr>
            <w:tcW w:w="2007" w:type="dxa"/>
            <w:tcBorders>
              <w:top w:val="single" w:color="A6A6A6" w:themeColor="background1" w:themeShade="A6" w:sz="4" w:space="0"/>
            </w:tcBorders>
          </w:tcPr>
          <w:p w:rsidRPr="00131151" w:rsidR="00502938" w:rsidP="00F94C6F" w:rsidRDefault="00131151" w14:paraId="227AD298" w14:textId="66297FBB">
            <w:pPr>
              <w:pStyle w:val="BodyText"/>
              <w:ind w:left="0"/>
              <w:rPr>
                <w:rFonts w:cs="Arial"/>
                <w:color w:val="auto"/>
              </w:rPr>
            </w:pPr>
            <w:r w:rsidRPr="00131151">
              <w:rPr>
                <w:rFonts w:cs="Arial"/>
                <w:color w:val="auto"/>
              </w:rPr>
              <w:t xml:space="preserve"> Dileep Pradeep</w:t>
            </w:r>
          </w:p>
        </w:tc>
        <w:tc>
          <w:tcPr>
            <w:tcW w:w="2961" w:type="dxa"/>
            <w:tcBorders>
              <w:top w:val="single" w:color="A6A6A6" w:themeColor="background1" w:themeShade="A6" w:sz="4" w:space="0"/>
            </w:tcBorders>
          </w:tcPr>
          <w:p w:rsidRPr="00131151" w:rsidR="00502938" w:rsidP="00F94C6F" w:rsidRDefault="00502938" w14:paraId="5CEDC7FD" w14:textId="77777777">
            <w:pPr>
              <w:pStyle w:val="BodyText"/>
              <w:ind w:left="0"/>
              <w:rPr>
                <w:rFonts w:cs="Arial"/>
                <w:color w:val="auto"/>
              </w:rPr>
            </w:pPr>
          </w:p>
        </w:tc>
        <w:tc>
          <w:tcPr>
            <w:tcW w:w="2961" w:type="dxa"/>
            <w:tcBorders>
              <w:top w:val="single" w:color="A6A6A6" w:themeColor="background1" w:themeShade="A6" w:sz="4" w:space="0"/>
            </w:tcBorders>
          </w:tcPr>
          <w:p w:rsidRPr="00131151" w:rsidR="00502938" w:rsidP="00F94C6F" w:rsidRDefault="00502938" w14:paraId="291E2CA6" w14:textId="77777777">
            <w:pPr>
              <w:pStyle w:val="BodyText"/>
              <w:ind w:left="0"/>
              <w:rPr>
                <w:rFonts w:cs="Arial"/>
                <w:color w:val="auto"/>
              </w:rPr>
            </w:pPr>
          </w:p>
        </w:tc>
      </w:tr>
    </w:tbl>
    <w:p w:rsidRPr="00131151" w:rsidR="00502938" w:rsidP="00502938" w:rsidRDefault="00502938" w14:paraId="447F65E3"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669"/>
        <w:gridCol w:w="1463"/>
        <w:gridCol w:w="2038"/>
        <w:gridCol w:w="2060"/>
        <w:gridCol w:w="1689"/>
      </w:tblGrid>
      <w:tr w:rsidRPr="00131151" w:rsidR="00502938" w:rsidTr="00F94C6F" w14:paraId="1EE9C45F" w14:textId="77777777">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6B7A8640" w14:textId="77777777">
            <w:pPr>
              <w:pStyle w:val="BodyText"/>
              <w:rPr>
                <w:rFonts w:cs="Arial"/>
                <w:color w:val="auto"/>
              </w:rPr>
            </w:pPr>
            <w:r w:rsidRPr="00131151">
              <w:rPr>
                <w:rFonts w:cs="Arial"/>
                <w:color w:val="FFFFFF" w:themeColor="background1"/>
                <w:sz w:val="28"/>
                <w:szCs w:val="28"/>
              </w:rPr>
              <w:t>Version Tracking</w:t>
            </w:r>
          </w:p>
        </w:tc>
        <w:tc>
          <w:tcPr>
            <w:tcW w:w="1844"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567D45C0" w14:textId="77777777">
            <w:pPr>
              <w:pStyle w:val="BodyText"/>
              <w:rPr>
                <w:rFonts w:cs="Arial"/>
                <w:color w:val="auto"/>
              </w:rPr>
            </w:pPr>
          </w:p>
        </w:tc>
      </w:tr>
      <w:tr w:rsidRPr="00131151" w:rsidR="00502938" w:rsidTr="00F94C6F" w14:paraId="0FF91FC6" w14:textId="77777777">
        <w:tc>
          <w:tcPr>
            <w:tcW w:w="1923"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091F4064" w14:textId="77777777">
            <w:pPr>
              <w:pStyle w:val="BodyText"/>
              <w:ind w:left="0"/>
              <w:rPr>
                <w:rFonts w:cs="Arial"/>
                <w:color w:val="auto"/>
              </w:rPr>
            </w:pPr>
            <w:r w:rsidRPr="00131151">
              <w:rPr>
                <w:rFonts w:cs="Arial"/>
                <w:color w:val="auto"/>
              </w:rPr>
              <w:t xml:space="preserve"> Version</w:t>
            </w:r>
          </w:p>
        </w:tc>
        <w:tc>
          <w:tcPr>
            <w:tcW w:w="1617"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0EF5E192" w14:textId="77777777">
            <w:pPr>
              <w:pStyle w:val="BodyText"/>
              <w:ind w:left="0"/>
              <w:rPr>
                <w:rFonts w:cs="Arial"/>
                <w:color w:val="auto"/>
              </w:rPr>
            </w:pPr>
            <w:r w:rsidRPr="00131151">
              <w:rPr>
                <w:rFonts w:cs="Arial"/>
                <w:color w:val="auto"/>
              </w:rPr>
              <w:t>Remarks</w:t>
            </w:r>
          </w:p>
        </w:tc>
        <w:tc>
          <w:tcPr>
            <w:tcW w:w="2306"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09DB5C15" w14:textId="77777777">
            <w:pPr>
              <w:pStyle w:val="BodyText"/>
              <w:ind w:left="0"/>
              <w:rPr>
                <w:rFonts w:cs="Arial"/>
                <w:color w:val="auto"/>
              </w:rPr>
            </w:pPr>
            <w:r w:rsidRPr="00131151">
              <w:rPr>
                <w:rFonts w:cs="Arial"/>
                <w:color w:val="auto"/>
              </w:rPr>
              <w:t>Change Requested</w:t>
            </w:r>
          </w:p>
        </w:tc>
        <w:tc>
          <w:tcPr>
            <w:tcW w:w="2410"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3F685464" w14:textId="77777777">
            <w:pPr>
              <w:pStyle w:val="BodyText"/>
              <w:ind w:left="0"/>
              <w:rPr>
                <w:rFonts w:cs="Arial"/>
                <w:color w:val="auto"/>
              </w:rPr>
            </w:pPr>
            <w:r w:rsidRPr="00131151">
              <w:rPr>
                <w:rFonts w:cs="Arial"/>
                <w:color w:val="auto"/>
              </w:rPr>
              <w:t>Pages Affected</w:t>
            </w:r>
          </w:p>
        </w:tc>
        <w:tc>
          <w:tcPr>
            <w:tcW w:w="1844" w:type="dxa"/>
            <w:tcBorders>
              <w:top w:val="single" w:color="A6A6A6" w:themeColor="background1" w:themeShade="A6" w:sz="4" w:space="0"/>
              <w:bottom w:val="single" w:color="A6A6A6" w:themeColor="background1" w:themeShade="A6" w:sz="4" w:space="0"/>
            </w:tcBorders>
            <w:shd w:val="clear" w:color="auto" w:fill="002060"/>
          </w:tcPr>
          <w:p w:rsidRPr="00131151" w:rsidR="00502938" w:rsidP="00F94C6F" w:rsidRDefault="00502938" w14:paraId="207A541A" w14:textId="77777777">
            <w:pPr>
              <w:pStyle w:val="BodyText"/>
              <w:ind w:left="0"/>
              <w:rPr>
                <w:rFonts w:cs="Arial"/>
                <w:color w:val="auto"/>
              </w:rPr>
            </w:pPr>
            <w:r w:rsidRPr="00131151">
              <w:rPr>
                <w:rFonts w:cs="Arial"/>
                <w:color w:val="auto"/>
              </w:rPr>
              <w:t>Release Date</w:t>
            </w:r>
          </w:p>
        </w:tc>
      </w:tr>
      <w:tr w:rsidRPr="00633B64" w:rsidR="00502938" w:rsidTr="00F94C6F" w14:paraId="7E572129" w14:textId="77777777">
        <w:tc>
          <w:tcPr>
            <w:tcW w:w="1923" w:type="dxa"/>
            <w:tcBorders>
              <w:top w:val="single" w:color="A6A6A6" w:themeColor="background1" w:themeShade="A6" w:sz="4" w:space="0"/>
            </w:tcBorders>
            <w:shd w:val="clear" w:color="auto" w:fill="auto"/>
          </w:tcPr>
          <w:p w:rsidRPr="00131151" w:rsidR="00502938" w:rsidP="00F94C6F" w:rsidRDefault="00502938" w14:paraId="6344967D" w14:textId="77777777">
            <w:pPr>
              <w:pStyle w:val="BodyText"/>
              <w:ind w:left="0"/>
              <w:rPr>
                <w:rFonts w:cs="Arial"/>
                <w:color w:val="auto"/>
              </w:rPr>
            </w:pPr>
            <w:r w:rsidRPr="00131151">
              <w:rPr>
                <w:rFonts w:cs="Arial"/>
                <w:color w:val="auto"/>
              </w:rPr>
              <w:t xml:space="preserve"> 1.0</w:t>
            </w:r>
          </w:p>
        </w:tc>
        <w:tc>
          <w:tcPr>
            <w:tcW w:w="1617" w:type="dxa"/>
            <w:tcBorders>
              <w:top w:val="single" w:color="A6A6A6" w:themeColor="background1" w:themeShade="A6" w:sz="4" w:space="0"/>
            </w:tcBorders>
          </w:tcPr>
          <w:p w:rsidRPr="00131151" w:rsidR="00502938" w:rsidP="00F94C6F" w:rsidRDefault="00502938" w14:paraId="594E3604" w14:textId="77777777">
            <w:pPr>
              <w:pStyle w:val="BodyText"/>
              <w:ind w:left="0"/>
              <w:rPr>
                <w:rFonts w:cs="Arial"/>
                <w:color w:val="auto"/>
              </w:rPr>
            </w:pPr>
            <w:r w:rsidRPr="00131151">
              <w:rPr>
                <w:rFonts w:cs="Arial"/>
                <w:color w:val="auto"/>
              </w:rPr>
              <w:t>Initial Release</w:t>
            </w:r>
          </w:p>
        </w:tc>
        <w:tc>
          <w:tcPr>
            <w:tcW w:w="2306" w:type="dxa"/>
            <w:tcBorders>
              <w:top w:val="single" w:color="A6A6A6" w:themeColor="background1" w:themeShade="A6" w:sz="4" w:space="0"/>
            </w:tcBorders>
          </w:tcPr>
          <w:p w:rsidRPr="00131151" w:rsidR="00502938" w:rsidP="00F94C6F" w:rsidRDefault="00502938" w14:paraId="287B13EB" w14:textId="77777777">
            <w:pPr>
              <w:pStyle w:val="BodyText"/>
              <w:ind w:left="0"/>
              <w:rPr>
                <w:rFonts w:cs="Arial"/>
                <w:color w:val="auto"/>
              </w:rPr>
            </w:pPr>
            <w:r w:rsidRPr="00131151">
              <w:rPr>
                <w:rFonts w:cs="Arial"/>
                <w:color w:val="auto"/>
              </w:rPr>
              <w:t>N/A</w:t>
            </w:r>
          </w:p>
        </w:tc>
        <w:tc>
          <w:tcPr>
            <w:tcW w:w="2410" w:type="dxa"/>
            <w:tcBorders>
              <w:top w:val="single" w:color="A6A6A6" w:themeColor="background1" w:themeShade="A6" w:sz="4" w:space="0"/>
            </w:tcBorders>
          </w:tcPr>
          <w:p w:rsidRPr="00131151" w:rsidR="00502938" w:rsidP="00F94C6F" w:rsidRDefault="00502938" w14:paraId="14B7D765" w14:textId="77777777">
            <w:pPr>
              <w:pStyle w:val="BodyText"/>
              <w:ind w:left="0"/>
              <w:rPr>
                <w:rFonts w:cs="Arial"/>
                <w:color w:val="auto"/>
              </w:rPr>
            </w:pPr>
            <w:r w:rsidRPr="00131151">
              <w:rPr>
                <w:rFonts w:cs="Arial"/>
                <w:color w:val="auto"/>
              </w:rPr>
              <w:t>All</w:t>
            </w:r>
          </w:p>
        </w:tc>
        <w:tc>
          <w:tcPr>
            <w:tcW w:w="1844" w:type="dxa"/>
            <w:tcBorders>
              <w:top w:val="single" w:color="A6A6A6" w:themeColor="background1" w:themeShade="A6" w:sz="4" w:space="0"/>
            </w:tcBorders>
          </w:tcPr>
          <w:p w:rsidRPr="00633B64" w:rsidR="00502938" w:rsidP="00F94C6F" w:rsidRDefault="00131151" w14:paraId="6BCEF9EE" w14:textId="15E663A3">
            <w:pPr>
              <w:pStyle w:val="BodyText"/>
              <w:ind w:left="0"/>
              <w:rPr>
                <w:rFonts w:cs="Arial"/>
                <w:color w:val="auto"/>
              </w:rPr>
            </w:pPr>
            <w:r w:rsidRPr="00131151">
              <w:rPr>
                <w:rFonts w:cs="Arial"/>
                <w:color w:val="auto"/>
              </w:rPr>
              <w:t>25/01/2024</w:t>
            </w:r>
          </w:p>
        </w:tc>
      </w:tr>
    </w:tbl>
    <w:p w:rsidRPr="00633B64" w:rsidR="00001628" w:rsidP="00001628" w:rsidRDefault="00001628" w14:paraId="67B85EE3" w14:textId="77777777">
      <w:pPr>
        <w:pStyle w:val="BodyText"/>
        <w:rPr>
          <w:rFonts w:cs="Arial"/>
        </w:rPr>
      </w:pPr>
    </w:p>
    <w:p w:rsidR="00001628" w:rsidP="00001628" w:rsidRDefault="00001628" w14:paraId="271D177D" w14:textId="77777777">
      <w:pPr>
        <w:pStyle w:val="BodyText"/>
        <w:rPr>
          <w:rFonts w:cs="Arial"/>
        </w:rPr>
      </w:pPr>
    </w:p>
    <w:p w:rsidR="003B06EB" w:rsidP="00001628" w:rsidRDefault="003B06EB" w14:paraId="53CBF2A6" w14:textId="77777777">
      <w:pPr>
        <w:pStyle w:val="BodyText"/>
        <w:rPr>
          <w:rFonts w:cs="Arial"/>
        </w:rPr>
      </w:pPr>
    </w:p>
    <w:p w:rsidR="003B06EB" w:rsidP="00001628" w:rsidRDefault="003B06EB" w14:paraId="7AFD3ED2" w14:textId="77777777">
      <w:pPr>
        <w:pStyle w:val="BodyText"/>
        <w:rPr>
          <w:rFonts w:cs="Arial"/>
        </w:rPr>
      </w:pPr>
    </w:p>
    <w:p w:rsidR="003B06EB" w:rsidP="00001628" w:rsidRDefault="003B06EB" w14:paraId="5A1B22E7" w14:textId="77777777">
      <w:pPr>
        <w:pStyle w:val="BodyText"/>
        <w:rPr>
          <w:rFonts w:cs="Arial"/>
        </w:rPr>
      </w:pPr>
    </w:p>
    <w:p w:rsidR="003B06EB" w:rsidP="00001628" w:rsidRDefault="003B06EB" w14:paraId="2F9BCD11" w14:textId="77777777">
      <w:pPr>
        <w:pStyle w:val="BodyText"/>
        <w:rPr>
          <w:rFonts w:cs="Arial"/>
        </w:rPr>
      </w:pPr>
    </w:p>
    <w:p w:rsidR="003B06EB" w:rsidP="00001628" w:rsidRDefault="003B06EB" w14:paraId="13904CF7" w14:textId="77777777">
      <w:pPr>
        <w:pStyle w:val="BodyText"/>
        <w:rPr>
          <w:rFonts w:cs="Arial"/>
        </w:rPr>
      </w:pPr>
    </w:p>
    <w:p w:rsidR="009B660B" w:rsidP="00001628" w:rsidRDefault="009B660B" w14:paraId="09C36086" w14:textId="77777777">
      <w:pPr>
        <w:pStyle w:val="BodyText"/>
        <w:rPr>
          <w:rFonts w:cs="Arial"/>
        </w:rPr>
      </w:pPr>
    </w:p>
    <w:p w:rsidR="003B06EB" w:rsidP="00001628" w:rsidRDefault="003B06EB" w14:paraId="75D58880" w14:textId="77777777">
      <w:pPr>
        <w:pStyle w:val="BodyText"/>
        <w:rPr>
          <w:rFonts w:cs="Arial"/>
        </w:rPr>
      </w:pPr>
    </w:p>
    <w:p w:rsidR="003B06EB" w:rsidP="00001628" w:rsidRDefault="003B06EB" w14:paraId="5D9FB5DD" w14:textId="77777777">
      <w:pPr>
        <w:pStyle w:val="BodyText"/>
        <w:rPr>
          <w:rFonts w:cs="Arial"/>
        </w:rPr>
      </w:pPr>
    </w:p>
    <w:p w:rsidR="00820A6B" w:rsidP="00001628" w:rsidRDefault="00820A6B" w14:paraId="64B60DEE" w14:textId="77777777">
      <w:pPr>
        <w:pStyle w:val="BodyText"/>
        <w:rPr>
          <w:rFonts w:cs="Arial"/>
        </w:rPr>
      </w:pPr>
    </w:p>
    <w:p w:rsidRPr="00633B64" w:rsidR="00001628" w:rsidP="00001628" w:rsidRDefault="00001628" w14:paraId="4254C502" w14:textId="77777777">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B41B66" w:rsidRDefault="00B035CE" w14:paraId="698B4A72" w14:textId="1091DF33">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7090428">
            <w:r w:rsidRPr="00FD541B" w:rsidR="00B41B66">
              <w:rPr>
                <w:rStyle w:val="Hyperlink"/>
                <w:rFonts w:cs="Arial"/>
              </w:rPr>
              <w:t>1.</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Overview</w:t>
            </w:r>
            <w:r w:rsidR="00B41B66">
              <w:rPr>
                <w:webHidden/>
              </w:rPr>
              <w:tab/>
            </w:r>
            <w:r w:rsidR="00B41B66">
              <w:rPr>
                <w:webHidden/>
              </w:rPr>
              <w:fldChar w:fldCharType="begin"/>
            </w:r>
            <w:r w:rsidR="00B41B66">
              <w:rPr>
                <w:webHidden/>
              </w:rPr>
              <w:instrText xml:space="preserve"> PAGEREF _Toc157090428 \h </w:instrText>
            </w:r>
            <w:r w:rsidR="00B41B66">
              <w:rPr>
                <w:webHidden/>
              </w:rPr>
            </w:r>
            <w:r w:rsidR="00B41B66">
              <w:rPr>
                <w:webHidden/>
              </w:rPr>
              <w:fldChar w:fldCharType="separate"/>
            </w:r>
            <w:r w:rsidR="00B41B66">
              <w:rPr>
                <w:webHidden/>
              </w:rPr>
              <w:t>5</w:t>
            </w:r>
            <w:r w:rsidR="00B41B66">
              <w:rPr>
                <w:webHidden/>
              </w:rPr>
              <w:fldChar w:fldCharType="end"/>
            </w:r>
          </w:hyperlink>
        </w:p>
        <w:p w:rsidR="00B41B66" w:rsidRDefault="00000000" w14:paraId="1FB3EABB" w14:textId="61396656">
          <w:pPr>
            <w:pStyle w:val="TOC2"/>
            <w:rPr>
              <w:rFonts w:asciiTheme="minorHAnsi" w:hAnsiTheme="minorHAnsi" w:eastAsiaTheme="minorEastAsia" w:cstheme="minorBidi"/>
              <w:color w:val="auto"/>
              <w:kern w:val="2"/>
              <w14:ligatures w14:val="standardContextual"/>
            </w:rPr>
          </w:pPr>
          <w:hyperlink w:history="1" w:anchor="_Toc157090429">
            <w:r w:rsidRPr="00FD541B" w:rsidR="00B41B66">
              <w:rPr>
                <w:rStyle w:val="Hyperlink"/>
                <w:rFonts w:cs="Arial"/>
                <w:spacing w:val="-8"/>
              </w:rPr>
              <w:t>1.1</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Purpose and Audience</w:t>
            </w:r>
            <w:r w:rsidR="00B41B66">
              <w:rPr>
                <w:webHidden/>
              </w:rPr>
              <w:tab/>
            </w:r>
            <w:r w:rsidR="00B41B66">
              <w:rPr>
                <w:webHidden/>
              </w:rPr>
              <w:fldChar w:fldCharType="begin"/>
            </w:r>
            <w:r w:rsidR="00B41B66">
              <w:rPr>
                <w:webHidden/>
              </w:rPr>
              <w:instrText xml:space="preserve"> PAGEREF _Toc157090429 \h </w:instrText>
            </w:r>
            <w:r w:rsidR="00B41B66">
              <w:rPr>
                <w:webHidden/>
              </w:rPr>
            </w:r>
            <w:r w:rsidR="00B41B66">
              <w:rPr>
                <w:webHidden/>
              </w:rPr>
              <w:fldChar w:fldCharType="separate"/>
            </w:r>
            <w:r w:rsidR="00B41B66">
              <w:rPr>
                <w:webHidden/>
              </w:rPr>
              <w:t>5</w:t>
            </w:r>
            <w:r w:rsidR="00B41B66">
              <w:rPr>
                <w:webHidden/>
              </w:rPr>
              <w:fldChar w:fldCharType="end"/>
            </w:r>
          </w:hyperlink>
        </w:p>
        <w:p w:rsidR="00B41B66" w:rsidRDefault="00000000" w14:paraId="5440D050" w14:textId="15D3E7D7">
          <w:pPr>
            <w:pStyle w:val="TOC2"/>
            <w:rPr>
              <w:rFonts w:asciiTheme="minorHAnsi" w:hAnsiTheme="minorHAnsi" w:eastAsiaTheme="minorEastAsia" w:cstheme="minorBidi"/>
              <w:color w:val="auto"/>
              <w:kern w:val="2"/>
              <w14:ligatures w14:val="standardContextual"/>
            </w:rPr>
          </w:pPr>
          <w:hyperlink w:history="1" w:anchor="_Toc157090430">
            <w:r w:rsidRPr="00FD541B" w:rsidR="00B41B66">
              <w:rPr>
                <w:rStyle w:val="Hyperlink"/>
                <w:rFonts w:cs="Arial"/>
                <w:spacing w:val="-8"/>
              </w:rPr>
              <w:t>1.2</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Scope and Key Deliverables</w:t>
            </w:r>
            <w:r w:rsidR="00B41B66">
              <w:rPr>
                <w:webHidden/>
              </w:rPr>
              <w:tab/>
            </w:r>
            <w:r w:rsidR="00B41B66">
              <w:rPr>
                <w:webHidden/>
              </w:rPr>
              <w:fldChar w:fldCharType="begin"/>
            </w:r>
            <w:r w:rsidR="00B41B66">
              <w:rPr>
                <w:webHidden/>
              </w:rPr>
              <w:instrText xml:space="preserve"> PAGEREF _Toc157090430 \h </w:instrText>
            </w:r>
            <w:r w:rsidR="00B41B66">
              <w:rPr>
                <w:webHidden/>
              </w:rPr>
            </w:r>
            <w:r w:rsidR="00B41B66">
              <w:rPr>
                <w:webHidden/>
              </w:rPr>
              <w:fldChar w:fldCharType="separate"/>
            </w:r>
            <w:r w:rsidR="00B41B66">
              <w:rPr>
                <w:webHidden/>
              </w:rPr>
              <w:t>5</w:t>
            </w:r>
            <w:r w:rsidR="00B41B66">
              <w:rPr>
                <w:webHidden/>
              </w:rPr>
              <w:fldChar w:fldCharType="end"/>
            </w:r>
          </w:hyperlink>
        </w:p>
        <w:p w:rsidR="00B41B66" w:rsidRDefault="00000000" w14:paraId="558478BC" w14:textId="756D831B">
          <w:pPr>
            <w:pStyle w:val="TOC2"/>
            <w:rPr>
              <w:rFonts w:asciiTheme="minorHAnsi" w:hAnsiTheme="minorHAnsi" w:eastAsiaTheme="minorEastAsia" w:cstheme="minorBidi"/>
              <w:color w:val="auto"/>
              <w:kern w:val="2"/>
              <w14:ligatures w14:val="standardContextual"/>
            </w:rPr>
          </w:pPr>
          <w:hyperlink w:history="1" w:anchor="_Toc157090431">
            <w:r w:rsidRPr="00FD541B" w:rsidR="00B41B66">
              <w:rPr>
                <w:rStyle w:val="Hyperlink"/>
                <w:rFonts w:cs="Arial"/>
                <w:spacing w:val="-8"/>
              </w:rPr>
              <w:t>1.3</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Glossary and Definitions</w:t>
            </w:r>
            <w:r w:rsidR="00B41B66">
              <w:rPr>
                <w:webHidden/>
              </w:rPr>
              <w:tab/>
            </w:r>
            <w:r w:rsidR="00B41B66">
              <w:rPr>
                <w:webHidden/>
              </w:rPr>
              <w:fldChar w:fldCharType="begin"/>
            </w:r>
            <w:r w:rsidR="00B41B66">
              <w:rPr>
                <w:webHidden/>
              </w:rPr>
              <w:instrText xml:space="preserve"> PAGEREF _Toc157090431 \h </w:instrText>
            </w:r>
            <w:r w:rsidR="00B41B66">
              <w:rPr>
                <w:webHidden/>
              </w:rPr>
            </w:r>
            <w:r w:rsidR="00B41B66">
              <w:rPr>
                <w:webHidden/>
              </w:rPr>
              <w:fldChar w:fldCharType="separate"/>
            </w:r>
            <w:r w:rsidR="00B41B66">
              <w:rPr>
                <w:webHidden/>
              </w:rPr>
              <w:t>6</w:t>
            </w:r>
            <w:r w:rsidR="00B41B66">
              <w:rPr>
                <w:webHidden/>
              </w:rPr>
              <w:fldChar w:fldCharType="end"/>
            </w:r>
          </w:hyperlink>
        </w:p>
        <w:p w:rsidR="00B41B66" w:rsidRDefault="00000000" w14:paraId="56189ECF" w14:textId="30E27EE0">
          <w:pPr>
            <w:pStyle w:val="TOC1"/>
            <w:tabs>
              <w:tab w:val="left" w:pos="851"/>
            </w:tabs>
            <w:rPr>
              <w:rFonts w:asciiTheme="minorHAnsi" w:hAnsiTheme="minorHAnsi" w:eastAsiaTheme="minorEastAsia" w:cstheme="minorBidi"/>
              <w:color w:val="auto"/>
              <w:kern w:val="2"/>
              <w14:ligatures w14:val="standardContextual"/>
            </w:rPr>
          </w:pPr>
          <w:hyperlink w:history="1" w:anchor="_Toc157090432">
            <w:r w:rsidRPr="00FD541B" w:rsidR="00B41B66">
              <w:rPr>
                <w:rStyle w:val="Hyperlink"/>
                <w:rFonts w:cs="Arial"/>
              </w:rPr>
              <w:t>2.</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Executive Summary</w:t>
            </w:r>
            <w:r w:rsidR="00B41B66">
              <w:rPr>
                <w:webHidden/>
              </w:rPr>
              <w:tab/>
            </w:r>
            <w:r w:rsidR="00B41B66">
              <w:rPr>
                <w:webHidden/>
              </w:rPr>
              <w:fldChar w:fldCharType="begin"/>
            </w:r>
            <w:r w:rsidR="00B41B66">
              <w:rPr>
                <w:webHidden/>
              </w:rPr>
              <w:instrText xml:space="preserve"> PAGEREF _Toc157090432 \h </w:instrText>
            </w:r>
            <w:r w:rsidR="00B41B66">
              <w:rPr>
                <w:webHidden/>
              </w:rPr>
            </w:r>
            <w:r w:rsidR="00B41B66">
              <w:rPr>
                <w:webHidden/>
              </w:rPr>
              <w:fldChar w:fldCharType="separate"/>
            </w:r>
            <w:r w:rsidR="00B41B66">
              <w:rPr>
                <w:webHidden/>
              </w:rPr>
              <w:t>7</w:t>
            </w:r>
            <w:r w:rsidR="00B41B66">
              <w:rPr>
                <w:webHidden/>
              </w:rPr>
              <w:fldChar w:fldCharType="end"/>
            </w:r>
          </w:hyperlink>
        </w:p>
        <w:p w:rsidR="00B41B66" w:rsidRDefault="00000000" w14:paraId="0991553A" w14:textId="54459B35">
          <w:pPr>
            <w:pStyle w:val="TOC1"/>
            <w:tabs>
              <w:tab w:val="left" w:pos="851"/>
            </w:tabs>
            <w:rPr>
              <w:rFonts w:asciiTheme="minorHAnsi" w:hAnsiTheme="minorHAnsi" w:eastAsiaTheme="minorEastAsia" w:cstheme="minorBidi"/>
              <w:color w:val="auto"/>
              <w:kern w:val="2"/>
              <w14:ligatures w14:val="standardContextual"/>
            </w:rPr>
          </w:pPr>
          <w:hyperlink w:history="1" w:anchor="_Toc157090433">
            <w:r w:rsidRPr="00FD541B" w:rsidR="00B41B66">
              <w:rPr>
                <w:rStyle w:val="Hyperlink"/>
                <w:rFonts w:cs="Arial"/>
              </w:rPr>
              <w:t>3.</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Resource Cost</w:t>
            </w:r>
            <w:r w:rsidR="00B41B66">
              <w:rPr>
                <w:webHidden/>
              </w:rPr>
              <w:tab/>
            </w:r>
            <w:r w:rsidR="00B41B66">
              <w:rPr>
                <w:webHidden/>
              </w:rPr>
              <w:fldChar w:fldCharType="begin"/>
            </w:r>
            <w:r w:rsidR="00B41B66">
              <w:rPr>
                <w:webHidden/>
              </w:rPr>
              <w:instrText xml:space="preserve"> PAGEREF _Toc157090433 \h </w:instrText>
            </w:r>
            <w:r w:rsidR="00B41B66">
              <w:rPr>
                <w:webHidden/>
              </w:rPr>
            </w:r>
            <w:r w:rsidR="00B41B66">
              <w:rPr>
                <w:webHidden/>
              </w:rPr>
              <w:fldChar w:fldCharType="separate"/>
            </w:r>
            <w:r w:rsidR="00B41B66">
              <w:rPr>
                <w:webHidden/>
              </w:rPr>
              <w:t>7</w:t>
            </w:r>
            <w:r w:rsidR="00B41B66">
              <w:rPr>
                <w:webHidden/>
              </w:rPr>
              <w:fldChar w:fldCharType="end"/>
            </w:r>
          </w:hyperlink>
        </w:p>
        <w:p w:rsidR="00B41B66" w:rsidRDefault="00000000" w14:paraId="277F465F" w14:textId="4C79AA5B">
          <w:pPr>
            <w:pStyle w:val="TOC1"/>
            <w:tabs>
              <w:tab w:val="left" w:pos="851"/>
            </w:tabs>
            <w:rPr>
              <w:rFonts w:asciiTheme="minorHAnsi" w:hAnsiTheme="minorHAnsi" w:eastAsiaTheme="minorEastAsia" w:cstheme="minorBidi"/>
              <w:color w:val="auto"/>
              <w:kern w:val="2"/>
              <w14:ligatures w14:val="standardContextual"/>
            </w:rPr>
          </w:pPr>
          <w:hyperlink w:history="1" w:anchor="_Toc157090434">
            <w:r w:rsidRPr="00FD541B" w:rsidR="00B41B66">
              <w:rPr>
                <w:rStyle w:val="Hyperlink"/>
                <w:rFonts w:cs="Arial"/>
              </w:rPr>
              <w:t>4.</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WAF and Security Control Alignment</w:t>
            </w:r>
            <w:r w:rsidR="00B41B66">
              <w:rPr>
                <w:webHidden/>
              </w:rPr>
              <w:tab/>
            </w:r>
            <w:r w:rsidR="00B41B66">
              <w:rPr>
                <w:webHidden/>
              </w:rPr>
              <w:fldChar w:fldCharType="begin"/>
            </w:r>
            <w:r w:rsidR="00B41B66">
              <w:rPr>
                <w:webHidden/>
              </w:rPr>
              <w:instrText xml:space="preserve"> PAGEREF _Toc157090434 \h </w:instrText>
            </w:r>
            <w:r w:rsidR="00B41B66">
              <w:rPr>
                <w:webHidden/>
              </w:rPr>
            </w:r>
            <w:r w:rsidR="00B41B66">
              <w:rPr>
                <w:webHidden/>
              </w:rPr>
              <w:fldChar w:fldCharType="separate"/>
            </w:r>
            <w:r w:rsidR="00B41B66">
              <w:rPr>
                <w:webHidden/>
              </w:rPr>
              <w:t>9</w:t>
            </w:r>
            <w:r w:rsidR="00B41B66">
              <w:rPr>
                <w:webHidden/>
              </w:rPr>
              <w:fldChar w:fldCharType="end"/>
            </w:r>
          </w:hyperlink>
        </w:p>
        <w:p w:rsidR="00B41B66" w:rsidRDefault="00000000" w14:paraId="58BB7C1C" w14:textId="769BD39D">
          <w:pPr>
            <w:pStyle w:val="TOC2"/>
            <w:rPr>
              <w:rFonts w:asciiTheme="minorHAnsi" w:hAnsiTheme="minorHAnsi" w:eastAsiaTheme="minorEastAsia" w:cstheme="minorBidi"/>
              <w:color w:val="auto"/>
              <w:kern w:val="2"/>
              <w14:ligatures w14:val="standardContextual"/>
            </w:rPr>
          </w:pPr>
          <w:hyperlink w:history="1" w:anchor="_Toc157090435">
            <w:r w:rsidRPr="00FD541B" w:rsidR="00B41B66">
              <w:rPr>
                <w:rStyle w:val="Hyperlink"/>
                <w:spacing w:val="-8"/>
              </w:rPr>
              <w:t>4.1</w:t>
            </w:r>
            <w:r w:rsidR="00B41B66">
              <w:rPr>
                <w:rFonts w:asciiTheme="minorHAnsi" w:hAnsiTheme="minorHAnsi" w:eastAsiaTheme="minorEastAsia" w:cstheme="minorBidi"/>
                <w:color w:val="auto"/>
                <w:kern w:val="2"/>
                <w14:ligatures w14:val="standardContextual"/>
              </w:rPr>
              <w:tab/>
            </w:r>
            <w:r w:rsidRPr="00FD541B" w:rsidR="00B41B66">
              <w:rPr>
                <w:rStyle w:val="Hyperlink"/>
              </w:rPr>
              <w:t>Reliability</w:t>
            </w:r>
            <w:r w:rsidR="00B41B66">
              <w:rPr>
                <w:webHidden/>
              </w:rPr>
              <w:tab/>
            </w:r>
            <w:r w:rsidR="00B41B66">
              <w:rPr>
                <w:webHidden/>
              </w:rPr>
              <w:fldChar w:fldCharType="begin"/>
            </w:r>
            <w:r w:rsidR="00B41B66">
              <w:rPr>
                <w:webHidden/>
              </w:rPr>
              <w:instrText xml:space="preserve"> PAGEREF _Toc157090435 \h </w:instrText>
            </w:r>
            <w:r w:rsidR="00B41B66">
              <w:rPr>
                <w:webHidden/>
              </w:rPr>
            </w:r>
            <w:r w:rsidR="00B41B66">
              <w:rPr>
                <w:webHidden/>
              </w:rPr>
              <w:fldChar w:fldCharType="separate"/>
            </w:r>
            <w:r w:rsidR="00B41B66">
              <w:rPr>
                <w:webHidden/>
              </w:rPr>
              <w:t>9</w:t>
            </w:r>
            <w:r w:rsidR="00B41B66">
              <w:rPr>
                <w:webHidden/>
              </w:rPr>
              <w:fldChar w:fldCharType="end"/>
            </w:r>
          </w:hyperlink>
        </w:p>
        <w:p w:rsidR="00B41B66" w:rsidRDefault="00000000" w14:paraId="2B951098" w14:textId="2DCCA4AF">
          <w:pPr>
            <w:pStyle w:val="TOC3"/>
            <w:tabs>
              <w:tab w:val="left" w:pos="2552"/>
            </w:tabs>
            <w:rPr>
              <w:rFonts w:asciiTheme="minorHAnsi" w:hAnsiTheme="minorHAnsi" w:eastAsiaTheme="minorEastAsia" w:cstheme="minorBidi"/>
              <w:color w:val="auto"/>
              <w:kern w:val="2"/>
              <w14:ligatures w14:val="standardContextual"/>
            </w:rPr>
          </w:pPr>
          <w:hyperlink w:history="1" w:anchor="_Toc157090436">
            <w:r w:rsidRPr="00FD541B" w:rsidR="00B41B66">
              <w:rPr>
                <w:rStyle w:val="Hyperlink"/>
              </w:rPr>
              <w:t>4.1.1</w:t>
            </w:r>
            <w:r w:rsidR="00B41B66">
              <w:rPr>
                <w:rFonts w:asciiTheme="minorHAnsi" w:hAnsiTheme="minorHAnsi" w:eastAsiaTheme="minorEastAsia" w:cstheme="minorBidi"/>
                <w:color w:val="auto"/>
                <w:kern w:val="2"/>
                <w14:ligatures w14:val="standardContextual"/>
              </w:rPr>
              <w:tab/>
            </w:r>
            <w:r w:rsidRPr="00FD541B" w:rsidR="00B41B66">
              <w:rPr>
                <w:rStyle w:val="Hyperlink"/>
              </w:rPr>
              <w:t>Overview</w:t>
            </w:r>
            <w:r w:rsidR="00B41B66">
              <w:rPr>
                <w:webHidden/>
              </w:rPr>
              <w:tab/>
            </w:r>
            <w:r w:rsidR="00B41B66">
              <w:rPr>
                <w:webHidden/>
              </w:rPr>
              <w:fldChar w:fldCharType="begin"/>
            </w:r>
            <w:r w:rsidR="00B41B66">
              <w:rPr>
                <w:webHidden/>
              </w:rPr>
              <w:instrText xml:space="preserve"> PAGEREF _Toc157090436 \h </w:instrText>
            </w:r>
            <w:r w:rsidR="00B41B66">
              <w:rPr>
                <w:webHidden/>
              </w:rPr>
            </w:r>
            <w:r w:rsidR="00B41B66">
              <w:rPr>
                <w:webHidden/>
              </w:rPr>
              <w:fldChar w:fldCharType="separate"/>
            </w:r>
            <w:r w:rsidR="00B41B66">
              <w:rPr>
                <w:webHidden/>
              </w:rPr>
              <w:t>9</w:t>
            </w:r>
            <w:r w:rsidR="00B41B66">
              <w:rPr>
                <w:webHidden/>
              </w:rPr>
              <w:fldChar w:fldCharType="end"/>
            </w:r>
          </w:hyperlink>
        </w:p>
        <w:p w:rsidR="00B41B66" w:rsidRDefault="00000000" w14:paraId="10AA6991" w14:textId="3FD47DB6">
          <w:pPr>
            <w:pStyle w:val="TOC3"/>
            <w:tabs>
              <w:tab w:val="left" w:pos="2552"/>
            </w:tabs>
            <w:rPr>
              <w:rFonts w:asciiTheme="minorHAnsi" w:hAnsiTheme="minorHAnsi" w:eastAsiaTheme="minorEastAsia" w:cstheme="minorBidi"/>
              <w:color w:val="auto"/>
              <w:kern w:val="2"/>
              <w14:ligatures w14:val="standardContextual"/>
            </w:rPr>
          </w:pPr>
          <w:hyperlink w:history="1" w:anchor="_Toc157090437">
            <w:r w:rsidRPr="00FD541B" w:rsidR="00B41B66">
              <w:rPr>
                <w:rStyle w:val="Hyperlink"/>
              </w:rPr>
              <w:t>4.1.2</w:t>
            </w:r>
            <w:r w:rsidR="00B41B66">
              <w:rPr>
                <w:rFonts w:asciiTheme="minorHAnsi" w:hAnsiTheme="minorHAnsi" w:eastAsiaTheme="minorEastAsia" w:cstheme="minorBidi"/>
                <w:color w:val="auto"/>
                <w:kern w:val="2"/>
                <w14:ligatures w14:val="standardContextual"/>
              </w:rPr>
              <w:tab/>
            </w:r>
            <w:r w:rsidRPr="00FD541B" w:rsidR="00B41B66">
              <w:rPr>
                <w:rStyle w:val="Hyperlink"/>
              </w:rPr>
              <w:t>Log Analytics Workspace Reliability Checklist</w:t>
            </w:r>
            <w:r w:rsidR="00B41B66">
              <w:rPr>
                <w:webHidden/>
              </w:rPr>
              <w:tab/>
            </w:r>
            <w:r w:rsidR="00B41B66">
              <w:rPr>
                <w:webHidden/>
              </w:rPr>
              <w:fldChar w:fldCharType="begin"/>
            </w:r>
            <w:r w:rsidR="00B41B66">
              <w:rPr>
                <w:webHidden/>
              </w:rPr>
              <w:instrText xml:space="preserve"> PAGEREF _Toc157090437 \h </w:instrText>
            </w:r>
            <w:r w:rsidR="00B41B66">
              <w:rPr>
                <w:webHidden/>
              </w:rPr>
            </w:r>
            <w:r w:rsidR="00B41B66">
              <w:rPr>
                <w:webHidden/>
              </w:rPr>
              <w:fldChar w:fldCharType="separate"/>
            </w:r>
            <w:r w:rsidR="00B41B66">
              <w:rPr>
                <w:webHidden/>
              </w:rPr>
              <w:t>9</w:t>
            </w:r>
            <w:r w:rsidR="00B41B66">
              <w:rPr>
                <w:webHidden/>
              </w:rPr>
              <w:fldChar w:fldCharType="end"/>
            </w:r>
          </w:hyperlink>
        </w:p>
        <w:p w:rsidR="00B41B66" w:rsidRDefault="00000000" w14:paraId="74A0AB0D" w14:textId="5E18284F">
          <w:pPr>
            <w:pStyle w:val="TOC2"/>
            <w:rPr>
              <w:rFonts w:asciiTheme="minorHAnsi" w:hAnsiTheme="minorHAnsi" w:eastAsiaTheme="minorEastAsia" w:cstheme="minorBidi"/>
              <w:color w:val="auto"/>
              <w:kern w:val="2"/>
              <w14:ligatures w14:val="standardContextual"/>
            </w:rPr>
          </w:pPr>
          <w:hyperlink w:history="1" w:anchor="_Toc157090438">
            <w:r w:rsidRPr="00FD541B" w:rsidR="00B41B66">
              <w:rPr>
                <w:rStyle w:val="Hyperlink"/>
                <w:spacing w:val="-8"/>
              </w:rPr>
              <w:t>4.2</w:t>
            </w:r>
            <w:r w:rsidR="00B41B66">
              <w:rPr>
                <w:rFonts w:asciiTheme="minorHAnsi" w:hAnsiTheme="minorHAnsi" w:eastAsiaTheme="minorEastAsia" w:cstheme="minorBidi"/>
                <w:color w:val="auto"/>
                <w:kern w:val="2"/>
                <w14:ligatures w14:val="standardContextual"/>
              </w:rPr>
              <w:tab/>
            </w:r>
            <w:r w:rsidRPr="00FD541B" w:rsidR="00B41B66">
              <w:rPr>
                <w:rStyle w:val="Hyperlink"/>
              </w:rPr>
              <w:t>Cost Optimisation</w:t>
            </w:r>
            <w:r w:rsidR="00B41B66">
              <w:rPr>
                <w:webHidden/>
              </w:rPr>
              <w:tab/>
            </w:r>
            <w:r w:rsidR="00B41B66">
              <w:rPr>
                <w:webHidden/>
              </w:rPr>
              <w:fldChar w:fldCharType="begin"/>
            </w:r>
            <w:r w:rsidR="00B41B66">
              <w:rPr>
                <w:webHidden/>
              </w:rPr>
              <w:instrText xml:space="preserve"> PAGEREF _Toc157090438 \h </w:instrText>
            </w:r>
            <w:r w:rsidR="00B41B66">
              <w:rPr>
                <w:webHidden/>
              </w:rPr>
            </w:r>
            <w:r w:rsidR="00B41B66">
              <w:rPr>
                <w:webHidden/>
              </w:rPr>
              <w:fldChar w:fldCharType="separate"/>
            </w:r>
            <w:r w:rsidR="00B41B66">
              <w:rPr>
                <w:webHidden/>
              </w:rPr>
              <w:t>10</w:t>
            </w:r>
            <w:r w:rsidR="00B41B66">
              <w:rPr>
                <w:webHidden/>
              </w:rPr>
              <w:fldChar w:fldCharType="end"/>
            </w:r>
          </w:hyperlink>
        </w:p>
        <w:p w:rsidR="00B41B66" w:rsidRDefault="00000000" w14:paraId="52CF0796" w14:textId="26174093">
          <w:pPr>
            <w:pStyle w:val="TOC3"/>
            <w:tabs>
              <w:tab w:val="left" w:pos="2552"/>
            </w:tabs>
            <w:rPr>
              <w:rFonts w:asciiTheme="minorHAnsi" w:hAnsiTheme="minorHAnsi" w:eastAsiaTheme="minorEastAsia" w:cstheme="minorBidi"/>
              <w:color w:val="auto"/>
              <w:kern w:val="2"/>
              <w14:ligatures w14:val="standardContextual"/>
            </w:rPr>
          </w:pPr>
          <w:hyperlink w:history="1" w:anchor="_Toc157090439">
            <w:r w:rsidRPr="00FD541B" w:rsidR="00B41B66">
              <w:rPr>
                <w:rStyle w:val="Hyperlink"/>
              </w:rPr>
              <w:t>4.2.1</w:t>
            </w:r>
            <w:r w:rsidR="00B41B66">
              <w:rPr>
                <w:rFonts w:asciiTheme="minorHAnsi" w:hAnsiTheme="minorHAnsi" w:eastAsiaTheme="minorEastAsia" w:cstheme="minorBidi"/>
                <w:color w:val="auto"/>
                <w:kern w:val="2"/>
                <w14:ligatures w14:val="standardContextual"/>
              </w:rPr>
              <w:tab/>
            </w:r>
            <w:r w:rsidRPr="00FD541B" w:rsidR="00B41B66">
              <w:rPr>
                <w:rStyle w:val="Hyperlink"/>
              </w:rPr>
              <w:t>Overview</w:t>
            </w:r>
            <w:r w:rsidR="00B41B66">
              <w:rPr>
                <w:webHidden/>
              </w:rPr>
              <w:tab/>
            </w:r>
            <w:r w:rsidR="00B41B66">
              <w:rPr>
                <w:webHidden/>
              </w:rPr>
              <w:fldChar w:fldCharType="begin"/>
            </w:r>
            <w:r w:rsidR="00B41B66">
              <w:rPr>
                <w:webHidden/>
              </w:rPr>
              <w:instrText xml:space="preserve"> PAGEREF _Toc157090439 \h </w:instrText>
            </w:r>
            <w:r w:rsidR="00B41B66">
              <w:rPr>
                <w:webHidden/>
              </w:rPr>
            </w:r>
            <w:r w:rsidR="00B41B66">
              <w:rPr>
                <w:webHidden/>
              </w:rPr>
              <w:fldChar w:fldCharType="separate"/>
            </w:r>
            <w:r w:rsidR="00B41B66">
              <w:rPr>
                <w:webHidden/>
              </w:rPr>
              <w:t>10</w:t>
            </w:r>
            <w:r w:rsidR="00B41B66">
              <w:rPr>
                <w:webHidden/>
              </w:rPr>
              <w:fldChar w:fldCharType="end"/>
            </w:r>
          </w:hyperlink>
        </w:p>
        <w:p w:rsidR="00B41B66" w:rsidRDefault="00000000" w14:paraId="6B62D4B0" w14:textId="1B0BAA3A">
          <w:pPr>
            <w:pStyle w:val="TOC3"/>
            <w:tabs>
              <w:tab w:val="left" w:pos="2552"/>
            </w:tabs>
            <w:rPr>
              <w:rFonts w:asciiTheme="minorHAnsi" w:hAnsiTheme="minorHAnsi" w:eastAsiaTheme="minorEastAsia" w:cstheme="minorBidi"/>
              <w:color w:val="auto"/>
              <w:kern w:val="2"/>
              <w14:ligatures w14:val="standardContextual"/>
            </w:rPr>
          </w:pPr>
          <w:hyperlink w:history="1" w:anchor="_Toc157090440">
            <w:r w:rsidRPr="00FD541B" w:rsidR="00B41B66">
              <w:rPr>
                <w:rStyle w:val="Hyperlink"/>
              </w:rPr>
              <w:t>4.2.2</w:t>
            </w:r>
            <w:r w:rsidR="00B41B66">
              <w:rPr>
                <w:rFonts w:asciiTheme="minorHAnsi" w:hAnsiTheme="minorHAnsi" w:eastAsiaTheme="minorEastAsia" w:cstheme="minorBidi"/>
                <w:color w:val="auto"/>
                <w:kern w:val="2"/>
                <w14:ligatures w14:val="standardContextual"/>
              </w:rPr>
              <w:tab/>
            </w:r>
            <w:r w:rsidRPr="00FD541B" w:rsidR="00B41B66">
              <w:rPr>
                <w:rStyle w:val="Hyperlink"/>
              </w:rPr>
              <w:t>Log Analytics Workspace Cost Optimisation Checklist</w:t>
            </w:r>
            <w:r w:rsidR="00B41B66">
              <w:rPr>
                <w:webHidden/>
              </w:rPr>
              <w:tab/>
            </w:r>
            <w:r w:rsidR="00B41B66">
              <w:rPr>
                <w:webHidden/>
              </w:rPr>
              <w:fldChar w:fldCharType="begin"/>
            </w:r>
            <w:r w:rsidR="00B41B66">
              <w:rPr>
                <w:webHidden/>
              </w:rPr>
              <w:instrText xml:space="preserve"> PAGEREF _Toc157090440 \h </w:instrText>
            </w:r>
            <w:r w:rsidR="00B41B66">
              <w:rPr>
                <w:webHidden/>
              </w:rPr>
            </w:r>
            <w:r w:rsidR="00B41B66">
              <w:rPr>
                <w:webHidden/>
              </w:rPr>
              <w:fldChar w:fldCharType="separate"/>
            </w:r>
            <w:r w:rsidR="00B41B66">
              <w:rPr>
                <w:webHidden/>
              </w:rPr>
              <w:t>10</w:t>
            </w:r>
            <w:r w:rsidR="00B41B66">
              <w:rPr>
                <w:webHidden/>
              </w:rPr>
              <w:fldChar w:fldCharType="end"/>
            </w:r>
          </w:hyperlink>
        </w:p>
        <w:p w:rsidR="00B41B66" w:rsidRDefault="00000000" w14:paraId="498663EA" w14:textId="25AC0C20">
          <w:pPr>
            <w:pStyle w:val="TOC2"/>
            <w:rPr>
              <w:rFonts w:asciiTheme="minorHAnsi" w:hAnsiTheme="minorHAnsi" w:eastAsiaTheme="minorEastAsia" w:cstheme="minorBidi"/>
              <w:color w:val="auto"/>
              <w:kern w:val="2"/>
              <w14:ligatures w14:val="standardContextual"/>
            </w:rPr>
          </w:pPr>
          <w:hyperlink w:history="1" w:anchor="_Toc157090441">
            <w:r w:rsidRPr="00FD541B" w:rsidR="00B41B66">
              <w:rPr>
                <w:rStyle w:val="Hyperlink"/>
                <w:spacing w:val="-8"/>
              </w:rPr>
              <w:t>4.3</w:t>
            </w:r>
            <w:r w:rsidR="00B41B66">
              <w:rPr>
                <w:rFonts w:asciiTheme="minorHAnsi" w:hAnsiTheme="minorHAnsi" w:eastAsiaTheme="minorEastAsia" w:cstheme="minorBidi"/>
                <w:color w:val="auto"/>
                <w:kern w:val="2"/>
                <w14:ligatures w14:val="standardContextual"/>
              </w:rPr>
              <w:tab/>
            </w:r>
            <w:r w:rsidRPr="00FD541B" w:rsidR="00B41B66">
              <w:rPr>
                <w:rStyle w:val="Hyperlink"/>
              </w:rPr>
              <w:t>Operational Excellence</w:t>
            </w:r>
            <w:r w:rsidR="00B41B66">
              <w:rPr>
                <w:webHidden/>
              </w:rPr>
              <w:tab/>
            </w:r>
            <w:r w:rsidR="00B41B66">
              <w:rPr>
                <w:webHidden/>
              </w:rPr>
              <w:fldChar w:fldCharType="begin"/>
            </w:r>
            <w:r w:rsidR="00B41B66">
              <w:rPr>
                <w:webHidden/>
              </w:rPr>
              <w:instrText xml:space="preserve"> PAGEREF _Toc157090441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43B3EB23" w14:textId="2E05ADD0">
          <w:pPr>
            <w:pStyle w:val="TOC3"/>
            <w:tabs>
              <w:tab w:val="left" w:pos="2552"/>
            </w:tabs>
            <w:rPr>
              <w:rFonts w:asciiTheme="minorHAnsi" w:hAnsiTheme="minorHAnsi" w:eastAsiaTheme="minorEastAsia" w:cstheme="minorBidi"/>
              <w:color w:val="auto"/>
              <w:kern w:val="2"/>
              <w14:ligatures w14:val="standardContextual"/>
            </w:rPr>
          </w:pPr>
          <w:hyperlink w:history="1" w:anchor="_Toc157090442">
            <w:r w:rsidRPr="00FD541B" w:rsidR="00B41B66">
              <w:rPr>
                <w:rStyle w:val="Hyperlink"/>
              </w:rPr>
              <w:t>4.3.1</w:t>
            </w:r>
            <w:r w:rsidR="00B41B66">
              <w:rPr>
                <w:rFonts w:asciiTheme="minorHAnsi" w:hAnsiTheme="minorHAnsi" w:eastAsiaTheme="minorEastAsia" w:cstheme="minorBidi"/>
                <w:color w:val="auto"/>
                <w:kern w:val="2"/>
                <w14:ligatures w14:val="standardContextual"/>
              </w:rPr>
              <w:tab/>
            </w:r>
            <w:r w:rsidRPr="00FD541B" w:rsidR="00B41B66">
              <w:rPr>
                <w:rStyle w:val="Hyperlink"/>
              </w:rPr>
              <w:t>Overview</w:t>
            </w:r>
            <w:r w:rsidR="00B41B66">
              <w:rPr>
                <w:webHidden/>
              </w:rPr>
              <w:tab/>
            </w:r>
            <w:r w:rsidR="00B41B66">
              <w:rPr>
                <w:webHidden/>
              </w:rPr>
              <w:fldChar w:fldCharType="begin"/>
            </w:r>
            <w:r w:rsidR="00B41B66">
              <w:rPr>
                <w:webHidden/>
              </w:rPr>
              <w:instrText xml:space="preserve"> PAGEREF _Toc157090442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68508377" w14:textId="42A10F43">
          <w:pPr>
            <w:pStyle w:val="TOC3"/>
            <w:tabs>
              <w:tab w:val="left" w:pos="2552"/>
            </w:tabs>
            <w:rPr>
              <w:rFonts w:asciiTheme="minorHAnsi" w:hAnsiTheme="minorHAnsi" w:eastAsiaTheme="minorEastAsia" w:cstheme="minorBidi"/>
              <w:color w:val="auto"/>
              <w:kern w:val="2"/>
              <w14:ligatures w14:val="standardContextual"/>
            </w:rPr>
          </w:pPr>
          <w:hyperlink w:history="1" w:anchor="_Toc157090443">
            <w:r w:rsidRPr="00FD541B" w:rsidR="00B41B66">
              <w:rPr>
                <w:rStyle w:val="Hyperlink"/>
              </w:rPr>
              <w:t>4.3.2</w:t>
            </w:r>
            <w:r w:rsidR="00B41B66">
              <w:rPr>
                <w:rFonts w:asciiTheme="minorHAnsi" w:hAnsiTheme="minorHAnsi" w:eastAsiaTheme="minorEastAsia" w:cstheme="minorBidi"/>
                <w:color w:val="auto"/>
                <w:kern w:val="2"/>
                <w14:ligatures w14:val="standardContextual"/>
              </w:rPr>
              <w:tab/>
            </w:r>
            <w:r w:rsidRPr="00FD541B" w:rsidR="00B41B66">
              <w:rPr>
                <w:rStyle w:val="Hyperlink"/>
              </w:rPr>
              <w:t>Log Analytics Workspace Operational Excellence Checklist</w:t>
            </w:r>
            <w:r w:rsidR="00B41B66">
              <w:rPr>
                <w:webHidden/>
              </w:rPr>
              <w:tab/>
            </w:r>
            <w:r w:rsidR="00B41B66">
              <w:rPr>
                <w:webHidden/>
              </w:rPr>
              <w:fldChar w:fldCharType="begin"/>
            </w:r>
            <w:r w:rsidR="00B41B66">
              <w:rPr>
                <w:webHidden/>
              </w:rPr>
              <w:instrText xml:space="preserve"> PAGEREF _Toc157090443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73D05FB1" w14:textId="32C9339C">
          <w:pPr>
            <w:pStyle w:val="TOC2"/>
            <w:rPr>
              <w:rFonts w:asciiTheme="minorHAnsi" w:hAnsiTheme="minorHAnsi" w:eastAsiaTheme="minorEastAsia" w:cstheme="minorBidi"/>
              <w:color w:val="auto"/>
              <w:kern w:val="2"/>
              <w14:ligatures w14:val="standardContextual"/>
            </w:rPr>
          </w:pPr>
          <w:hyperlink w:history="1" w:anchor="_Toc157090444">
            <w:r w:rsidRPr="00FD541B" w:rsidR="00B41B66">
              <w:rPr>
                <w:rStyle w:val="Hyperlink"/>
                <w:spacing w:val="-8"/>
              </w:rPr>
              <w:t>4.4</w:t>
            </w:r>
            <w:r w:rsidR="00B41B66">
              <w:rPr>
                <w:rFonts w:asciiTheme="minorHAnsi" w:hAnsiTheme="minorHAnsi" w:eastAsiaTheme="minorEastAsia" w:cstheme="minorBidi"/>
                <w:color w:val="auto"/>
                <w:kern w:val="2"/>
                <w14:ligatures w14:val="standardContextual"/>
              </w:rPr>
              <w:tab/>
            </w:r>
            <w:r w:rsidRPr="00FD541B" w:rsidR="00B41B66">
              <w:rPr>
                <w:rStyle w:val="Hyperlink"/>
              </w:rPr>
              <w:t>Performance Efficiency</w:t>
            </w:r>
            <w:r w:rsidR="00B41B66">
              <w:rPr>
                <w:webHidden/>
              </w:rPr>
              <w:tab/>
            </w:r>
            <w:r w:rsidR="00B41B66">
              <w:rPr>
                <w:webHidden/>
              </w:rPr>
              <w:fldChar w:fldCharType="begin"/>
            </w:r>
            <w:r w:rsidR="00B41B66">
              <w:rPr>
                <w:webHidden/>
              </w:rPr>
              <w:instrText xml:space="preserve"> PAGEREF _Toc157090444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1BF405FC" w14:textId="4061BAE1">
          <w:pPr>
            <w:pStyle w:val="TOC3"/>
            <w:tabs>
              <w:tab w:val="left" w:pos="2552"/>
            </w:tabs>
            <w:rPr>
              <w:rFonts w:asciiTheme="minorHAnsi" w:hAnsiTheme="minorHAnsi" w:eastAsiaTheme="minorEastAsia" w:cstheme="minorBidi"/>
              <w:color w:val="auto"/>
              <w:kern w:val="2"/>
              <w14:ligatures w14:val="standardContextual"/>
            </w:rPr>
          </w:pPr>
          <w:hyperlink w:history="1" w:anchor="_Toc157090445">
            <w:r w:rsidRPr="00FD541B" w:rsidR="00B41B66">
              <w:rPr>
                <w:rStyle w:val="Hyperlink"/>
              </w:rPr>
              <w:t>4.4.1</w:t>
            </w:r>
            <w:r w:rsidR="00B41B66">
              <w:rPr>
                <w:rFonts w:asciiTheme="minorHAnsi" w:hAnsiTheme="minorHAnsi" w:eastAsiaTheme="minorEastAsia" w:cstheme="minorBidi"/>
                <w:color w:val="auto"/>
                <w:kern w:val="2"/>
                <w14:ligatures w14:val="standardContextual"/>
              </w:rPr>
              <w:tab/>
            </w:r>
            <w:r w:rsidRPr="00FD541B" w:rsidR="00B41B66">
              <w:rPr>
                <w:rStyle w:val="Hyperlink"/>
              </w:rPr>
              <w:t>Overview</w:t>
            </w:r>
            <w:r w:rsidR="00B41B66">
              <w:rPr>
                <w:webHidden/>
              </w:rPr>
              <w:tab/>
            </w:r>
            <w:r w:rsidR="00B41B66">
              <w:rPr>
                <w:webHidden/>
              </w:rPr>
              <w:fldChar w:fldCharType="begin"/>
            </w:r>
            <w:r w:rsidR="00B41B66">
              <w:rPr>
                <w:webHidden/>
              </w:rPr>
              <w:instrText xml:space="preserve"> PAGEREF _Toc157090445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7B96519C" w14:textId="7C0635AC">
          <w:pPr>
            <w:pStyle w:val="TOC3"/>
            <w:tabs>
              <w:tab w:val="left" w:pos="2552"/>
            </w:tabs>
            <w:rPr>
              <w:rFonts w:asciiTheme="minorHAnsi" w:hAnsiTheme="minorHAnsi" w:eastAsiaTheme="minorEastAsia" w:cstheme="minorBidi"/>
              <w:color w:val="auto"/>
              <w:kern w:val="2"/>
              <w14:ligatures w14:val="standardContextual"/>
            </w:rPr>
          </w:pPr>
          <w:hyperlink w:history="1" w:anchor="_Toc157090446">
            <w:r w:rsidRPr="00FD541B" w:rsidR="00B41B66">
              <w:rPr>
                <w:rStyle w:val="Hyperlink"/>
              </w:rPr>
              <w:t>4.4.2</w:t>
            </w:r>
            <w:r w:rsidR="00B41B66">
              <w:rPr>
                <w:rFonts w:asciiTheme="minorHAnsi" w:hAnsiTheme="minorHAnsi" w:eastAsiaTheme="minorEastAsia" w:cstheme="minorBidi"/>
                <w:color w:val="auto"/>
                <w:kern w:val="2"/>
                <w14:ligatures w14:val="standardContextual"/>
              </w:rPr>
              <w:tab/>
            </w:r>
            <w:r w:rsidRPr="00FD541B" w:rsidR="00B41B66">
              <w:rPr>
                <w:rStyle w:val="Hyperlink"/>
              </w:rPr>
              <w:t>Log Analytics Workspace Performance Efficiency Checklist</w:t>
            </w:r>
            <w:r w:rsidR="00B41B66">
              <w:rPr>
                <w:webHidden/>
              </w:rPr>
              <w:tab/>
            </w:r>
            <w:r w:rsidR="00B41B66">
              <w:rPr>
                <w:webHidden/>
              </w:rPr>
              <w:fldChar w:fldCharType="begin"/>
            </w:r>
            <w:r w:rsidR="00B41B66">
              <w:rPr>
                <w:webHidden/>
              </w:rPr>
              <w:instrText xml:space="preserve"> PAGEREF _Toc157090446 \h </w:instrText>
            </w:r>
            <w:r w:rsidR="00B41B66">
              <w:rPr>
                <w:webHidden/>
              </w:rPr>
            </w:r>
            <w:r w:rsidR="00B41B66">
              <w:rPr>
                <w:webHidden/>
              </w:rPr>
              <w:fldChar w:fldCharType="separate"/>
            </w:r>
            <w:r w:rsidR="00B41B66">
              <w:rPr>
                <w:webHidden/>
              </w:rPr>
              <w:t>11</w:t>
            </w:r>
            <w:r w:rsidR="00B41B66">
              <w:rPr>
                <w:webHidden/>
              </w:rPr>
              <w:fldChar w:fldCharType="end"/>
            </w:r>
          </w:hyperlink>
        </w:p>
        <w:p w:rsidR="00B41B66" w:rsidRDefault="00000000" w14:paraId="50C5CF4C" w14:textId="0D0557F1">
          <w:pPr>
            <w:pStyle w:val="TOC2"/>
            <w:rPr>
              <w:rFonts w:asciiTheme="minorHAnsi" w:hAnsiTheme="minorHAnsi" w:eastAsiaTheme="minorEastAsia" w:cstheme="minorBidi"/>
              <w:color w:val="auto"/>
              <w:kern w:val="2"/>
              <w14:ligatures w14:val="standardContextual"/>
            </w:rPr>
          </w:pPr>
          <w:hyperlink w:history="1" w:anchor="_Toc157090447">
            <w:r w:rsidRPr="00FD541B" w:rsidR="00B41B66">
              <w:rPr>
                <w:rStyle w:val="Hyperlink"/>
                <w:spacing w:val="-8"/>
              </w:rPr>
              <w:t>4.5</w:t>
            </w:r>
            <w:r w:rsidR="00B41B66">
              <w:rPr>
                <w:rFonts w:asciiTheme="minorHAnsi" w:hAnsiTheme="minorHAnsi" w:eastAsiaTheme="minorEastAsia" w:cstheme="minorBidi"/>
                <w:color w:val="auto"/>
                <w:kern w:val="2"/>
                <w14:ligatures w14:val="standardContextual"/>
              </w:rPr>
              <w:tab/>
            </w:r>
            <w:r w:rsidRPr="00FD541B" w:rsidR="00B41B66">
              <w:rPr>
                <w:rStyle w:val="Hyperlink"/>
              </w:rPr>
              <w:t>Security</w:t>
            </w:r>
            <w:r w:rsidR="00B41B66">
              <w:rPr>
                <w:webHidden/>
              </w:rPr>
              <w:tab/>
            </w:r>
            <w:r w:rsidR="00B41B66">
              <w:rPr>
                <w:webHidden/>
              </w:rPr>
              <w:fldChar w:fldCharType="begin"/>
            </w:r>
            <w:r w:rsidR="00B41B66">
              <w:rPr>
                <w:webHidden/>
              </w:rPr>
              <w:instrText xml:space="preserve"> PAGEREF _Toc157090447 \h </w:instrText>
            </w:r>
            <w:r w:rsidR="00B41B66">
              <w:rPr>
                <w:webHidden/>
              </w:rPr>
            </w:r>
            <w:r w:rsidR="00B41B66">
              <w:rPr>
                <w:webHidden/>
              </w:rPr>
              <w:fldChar w:fldCharType="separate"/>
            </w:r>
            <w:r w:rsidR="00B41B66">
              <w:rPr>
                <w:webHidden/>
              </w:rPr>
              <w:t>12</w:t>
            </w:r>
            <w:r w:rsidR="00B41B66">
              <w:rPr>
                <w:webHidden/>
              </w:rPr>
              <w:fldChar w:fldCharType="end"/>
            </w:r>
          </w:hyperlink>
        </w:p>
        <w:p w:rsidR="00B41B66" w:rsidRDefault="00000000" w14:paraId="4FAE79BD" w14:textId="20389E56">
          <w:pPr>
            <w:pStyle w:val="TOC3"/>
            <w:tabs>
              <w:tab w:val="left" w:pos="2552"/>
            </w:tabs>
            <w:rPr>
              <w:rFonts w:asciiTheme="minorHAnsi" w:hAnsiTheme="minorHAnsi" w:eastAsiaTheme="minorEastAsia" w:cstheme="minorBidi"/>
              <w:color w:val="auto"/>
              <w:kern w:val="2"/>
              <w14:ligatures w14:val="standardContextual"/>
            </w:rPr>
          </w:pPr>
          <w:hyperlink w:history="1" w:anchor="_Toc157090448">
            <w:r w:rsidRPr="00FD541B" w:rsidR="00B41B66">
              <w:rPr>
                <w:rStyle w:val="Hyperlink"/>
              </w:rPr>
              <w:t>4.5.1</w:t>
            </w:r>
            <w:r w:rsidR="00B41B66">
              <w:rPr>
                <w:rFonts w:asciiTheme="minorHAnsi" w:hAnsiTheme="minorHAnsi" w:eastAsiaTheme="minorEastAsia" w:cstheme="minorBidi"/>
                <w:color w:val="auto"/>
                <w:kern w:val="2"/>
                <w14:ligatures w14:val="standardContextual"/>
              </w:rPr>
              <w:tab/>
            </w:r>
            <w:r w:rsidRPr="00FD541B" w:rsidR="00B41B66">
              <w:rPr>
                <w:rStyle w:val="Hyperlink"/>
              </w:rPr>
              <w:t>Overview</w:t>
            </w:r>
            <w:r w:rsidR="00B41B66">
              <w:rPr>
                <w:webHidden/>
              </w:rPr>
              <w:tab/>
            </w:r>
            <w:r w:rsidR="00B41B66">
              <w:rPr>
                <w:webHidden/>
              </w:rPr>
              <w:fldChar w:fldCharType="begin"/>
            </w:r>
            <w:r w:rsidR="00B41B66">
              <w:rPr>
                <w:webHidden/>
              </w:rPr>
              <w:instrText xml:space="preserve"> PAGEREF _Toc157090448 \h </w:instrText>
            </w:r>
            <w:r w:rsidR="00B41B66">
              <w:rPr>
                <w:webHidden/>
              </w:rPr>
            </w:r>
            <w:r w:rsidR="00B41B66">
              <w:rPr>
                <w:webHidden/>
              </w:rPr>
              <w:fldChar w:fldCharType="separate"/>
            </w:r>
            <w:r w:rsidR="00B41B66">
              <w:rPr>
                <w:webHidden/>
              </w:rPr>
              <w:t>12</w:t>
            </w:r>
            <w:r w:rsidR="00B41B66">
              <w:rPr>
                <w:webHidden/>
              </w:rPr>
              <w:fldChar w:fldCharType="end"/>
            </w:r>
          </w:hyperlink>
        </w:p>
        <w:p w:rsidR="00B41B66" w:rsidRDefault="00000000" w14:paraId="73812D69" w14:textId="5B44AD28">
          <w:pPr>
            <w:pStyle w:val="TOC3"/>
            <w:tabs>
              <w:tab w:val="left" w:pos="2552"/>
            </w:tabs>
            <w:rPr>
              <w:rFonts w:asciiTheme="minorHAnsi" w:hAnsiTheme="minorHAnsi" w:eastAsiaTheme="minorEastAsia" w:cstheme="minorBidi"/>
              <w:color w:val="auto"/>
              <w:kern w:val="2"/>
              <w14:ligatures w14:val="standardContextual"/>
            </w:rPr>
          </w:pPr>
          <w:hyperlink w:history="1" w:anchor="_Toc157090449">
            <w:r w:rsidRPr="00FD541B" w:rsidR="00B41B66">
              <w:rPr>
                <w:rStyle w:val="Hyperlink"/>
              </w:rPr>
              <w:t>4.5.2</w:t>
            </w:r>
            <w:r w:rsidR="00B41B66">
              <w:rPr>
                <w:rFonts w:asciiTheme="minorHAnsi" w:hAnsiTheme="minorHAnsi" w:eastAsiaTheme="minorEastAsia" w:cstheme="minorBidi"/>
                <w:color w:val="auto"/>
                <w:kern w:val="2"/>
                <w14:ligatures w14:val="standardContextual"/>
              </w:rPr>
              <w:tab/>
            </w:r>
            <w:r w:rsidRPr="00FD541B" w:rsidR="00B41B66">
              <w:rPr>
                <w:rStyle w:val="Hyperlink"/>
              </w:rPr>
              <w:t>Log Analytics Workspace Security Checklist</w:t>
            </w:r>
            <w:r w:rsidR="00B41B66">
              <w:rPr>
                <w:webHidden/>
              </w:rPr>
              <w:tab/>
            </w:r>
            <w:r w:rsidR="00B41B66">
              <w:rPr>
                <w:webHidden/>
              </w:rPr>
              <w:fldChar w:fldCharType="begin"/>
            </w:r>
            <w:r w:rsidR="00B41B66">
              <w:rPr>
                <w:webHidden/>
              </w:rPr>
              <w:instrText xml:space="preserve"> PAGEREF _Toc157090449 \h </w:instrText>
            </w:r>
            <w:r w:rsidR="00B41B66">
              <w:rPr>
                <w:webHidden/>
              </w:rPr>
            </w:r>
            <w:r w:rsidR="00B41B66">
              <w:rPr>
                <w:webHidden/>
              </w:rPr>
              <w:fldChar w:fldCharType="separate"/>
            </w:r>
            <w:r w:rsidR="00B41B66">
              <w:rPr>
                <w:webHidden/>
              </w:rPr>
              <w:t>12</w:t>
            </w:r>
            <w:r w:rsidR="00B41B66">
              <w:rPr>
                <w:webHidden/>
              </w:rPr>
              <w:fldChar w:fldCharType="end"/>
            </w:r>
          </w:hyperlink>
        </w:p>
        <w:p w:rsidR="00B41B66" w:rsidRDefault="00000000" w14:paraId="3DB8089C" w14:textId="730D018D">
          <w:pPr>
            <w:pStyle w:val="TOC3"/>
            <w:rPr>
              <w:rFonts w:asciiTheme="minorHAnsi" w:hAnsiTheme="minorHAnsi" w:eastAsiaTheme="minorEastAsia" w:cstheme="minorBidi"/>
              <w:color w:val="auto"/>
              <w:kern w:val="2"/>
              <w14:ligatures w14:val="standardContextual"/>
            </w:rPr>
          </w:pPr>
          <w:hyperlink w:history="1" w:anchor="_Toc157090450">
            <w:r w:rsidRPr="00FD541B" w:rsidR="00B41B66">
              <w:rPr>
                <w:rStyle w:val="Hyperlink"/>
                <w:rFonts w:cs="Arial"/>
              </w:rPr>
              <w:t>Continuously monitor inbound and outbound network traffic to identify unusual activity or trends that could indicate intrusion and/or compromise of data.</w:t>
            </w:r>
            <w:r w:rsidR="00B41B66">
              <w:rPr>
                <w:webHidden/>
              </w:rPr>
              <w:tab/>
            </w:r>
            <w:r w:rsidR="00B41B66">
              <w:rPr>
                <w:webHidden/>
              </w:rPr>
              <w:fldChar w:fldCharType="begin"/>
            </w:r>
            <w:r w:rsidR="00B41B66">
              <w:rPr>
                <w:webHidden/>
              </w:rPr>
              <w:instrText xml:space="preserve"> PAGEREF _Toc157090450 \h </w:instrText>
            </w:r>
            <w:r w:rsidR="00B41B66">
              <w:rPr>
                <w:webHidden/>
              </w:rPr>
            </w:r>
            <w:r w:rsidR="00B41B66">
              <w:rPr>
                <w:webHidden/>
              </w:rPr>
              <w:fldChar w:fldCharType="separate"/>
            </w:r>
            <w:r w:rsidR="00B41B66">
              <w:rPr>
                <w:webHidden/>
              </w:rPr>
              <w:t>13</w:t>
            </w:r>
            <w:r w:rsidR="00B41B66">
              <w:rPr>
                <w:webHidden/>
              </w:rPr>
              <w:fldChar w:fldCharType="end"/>
            </w:r>
          </w:hyperlink>
        </w:p>
        <w:p w:rsidR="00B41B66" w:rsidRDefault="00000000" w14:paraId="582F1F10" w14:textId="16E9597F">
          <w:pPr>
            <w:pStyle w:val="TOC1"/>
            <w:tabs>
              <w:tab w:val="left" w:pos="851"/>
            </w:tabs>
            <w:rPr>
              <w:rFonts w:asciiTheme="minorHAnsi" w:hAnsiTheme="minorHAnsi" w:eastAsiaTheme="minorEastAsia" w:cstheme="minorBidi"/>
              <w:color w:val="auto"/>
              <w:kern w:val="2"/>
              <w14:ligatures w14:val="standardContextual"/>
            </w:rPr>
          </w:pPr>
          <w:hyperlink w:history="1" w:anchor="_Toc157090451">
            <w:r w:rsidRPr="00FD541B" w:rsidR="00B41B66">
              <w:rPr>
                <w:rStyle w:val="Hyperlink"/>
                <w:rFonts w:cs="Arial"/>
              </w:rPr>
              <w:t>5.</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Architecture Summary</w:t>
            </w:r>
            <w:r w:rsidR="00B41B66">
              <w:rPr>
                <w:webHidden/>
              </w:rPr>
              <w:tab/>
            </w:r>
            <w:r w:rsidR="00B41B66">
              <w:rPr>
                <w:webHidden/>
              </w:rPr>
              <w:fldChar w:fldCharType="begin"/>
            </w:r>
            <w:r w:rsidR="00B41B66">
              <w:rPr>
                <w:webHidden/>
              </w:rPr>
              <w:instrText xml:space="preserve"> PAGEREF _Toc157090451 \h </w:instrText>
            </w:r>
            <w:r w:rsidR="00B41B66">
              <w:rPr>
                <w:webHidden/>
              </w:rPr>
            </w:r>
            <w:r w:rsidR="00B41B66">
              <w:rPr>
                <w:webHidden/>
              </w:rPr>
              <w:fldChar w:fldCharType="separate"/>
            </w:r>
            <w:r w:rsidR="00B41B66">
              <w:rPr>
                <w:webHidden/>
              </w:rPr>
              <w:t>14</w:t>
            </w:r>
            <w:r w:rsidR="00B41B66">
              <w:rPr>
                <w:webHidden/>
              </w:rPr>
              <w:fldChar w:fldCharType="end"/>
            </w:r>
          </w:hyperlink>
        </w:p>
        <w:p w:rsidR="00B41B66" w:rsidRDefault="00000000" w14:paraId="22C79336" w14:textId="608A3D9E">
          <w:pPr>
            <w:pStyle w:val="TOC2"/>
            <w:rPr>
              <w:rFonts w:asciiTheme="minorHAnsi" w:hAnsiTheme="minorHAnsi" w:eastAsiaTheme="minorEastAsia" w:cstheme="minorBidi"/>
              <w:color w:val="auto"/>
              <w:kern w:val="2"/>
              <w14:ligatures w14:val="standardContextual"/>
            </w:rPr>
          </w:pPr>
          <w:hyperlink w:history="1" w:anchor="_Toc157090452">
            <w:r w:rsidRPr="00FD541B" w:rsidR="00B41B66">
              <w:rPr>
                <w:rStyle w:val="Hyperlink"/>
                <w:spacing w:val="-8"/>
              </w:rPr>
              <w:t>5.1</w:t>
            </w:r>
            <w:r w:rsidR="00B41B66">
              <w:rPr>
                <w:rFonts w:asciiTheme="minorHAnsi" w:hAnsiTheme="minorHAnsi" w:eastAsiaTheme="minorEastAsia" w:cstheme="minorBidi"/>
                <w:color w:val="auto"/>
                <w:kern w:val="2"/>
                <w14:ligatures w14:val="standardContextual"/>
              </w:rPr>
              <w:tab/>
            </w:r>
            <w:r w:rsidRPr="00FD541B" w:rsidR="00B41B66">
              <w:rPr>
                <w:rStyle w:val="Hyperlink"/>
              </w:rPr>
              <w:t>Resource Overview</w:t>
            </w:r>
            <w:r w:rsidR="00B41B66">
              <w:rPr>
                <w:webHidden/>
              </w:rPr>
              <w:tab/>
            </w:r>
            <w:r w:rsidR="00B41B66">
              <w:rPr>
                <w:webHidden/>
              </w:rPr>
              <w:fldChar w:fldCharType="begin"/>
            </w:r>
            <w:r w:rsidR="00B41B66">
              <w:rPr>
                <w:webHidden/>
              </w:rPr>
              <w:instrText xml:space="preserve"> PAGEREF _Toc157090452 \h </w:instrText>
            </w:r>
            <w:r w:rsidR="00B41B66">
              <w:rPr>
                <w:webHidden/>
              </w:rPr>
            </w:r>
            <w:r w:rsidR="00B41B66">
              <w:rPr>
                <w:webHidden/>
              </w:rPr>
              <w:fldChar w:fldCharType="separate"/>
            </w:r>
            <w:r w:rsidR="00B41B66">
              <w:rPr>
                <w:webHidden/>
              </w:rPr>
              <w:t>14</w:t>
            </w:r>
            <w:r w:rsidR="00B41B66">
              <w:rPr>
                <w:webHidden/>
              </w:rPr>
              <w:fldChar w:fldCharType="end"/>
            </w:r>
          </w:hyperlink>
        </w:p>
        <w:p w:rsidR="00B41B66" w:rsidRDefault="00000000" w14:paraId="5D6755C2" w14:textId="640CBF11">
          <w:pPr>
            <w:pStyle w:val="TOC2"/>
            <w:rPr>
              <w:rFonts w:asciiTheme="minorHAnsi" w:hAnsiTheme="minorHAnsi" w:eastAsiaTheme="minorEastAsia" w:cstheme="minorBidi"/>
              <w:color w:val="auto"/>
              <w:kern w:val="2"/>
              <w14:ligatures w14:val="standardContextual"/>
            </w:rPr>
          </w:pPr>
          <w:hyperlink w:history="1" w:anchor="_Toc157090453">
            <w:r w:rsidRPr="00FD541B" w:rsidR="00B41B66">
              <w:rPr>
                <w:rStyle w:val="Hyperlink"/>
                <w:spacing w:val="-8"/>
              </w:rPr>
              <w:t>5.2</w:t>
            </w:r>
            <w:r w:rsidR="00B41B66">
              <w:rPr>
                <w:rFonts w:asciiTheme="minorHAnsi" w:hAnsiTheme="minorHAnsi" w:eastAsiaTheme="minorEastAsia" w:cstheme="minorBidi"/>
                <w:color w:val="auto"/>
                <w:kern w:val="2"/>
                <w14:ligatures w14:val="standardContextual"/>
              </w:rPr>
              <w:tab/>
            </w:r>
            <w:r w:rsidRPr="00FD541B" w:rsidR="00B41B66">
              <w:rPr>
                <w:rStyle w:val="Hyperlink"/>
              </w:rPr>
              <w:t>RBAC</w:t>
            </w:r>
            <w:r w:rsidR="00B41B66">
              <w:rPr>
                <w:webHidden/>
              </w:rPr>
              <w:tab/>
            </w:r>
            <w:r w:rsidR="00B41B66">
              <w:rPr>
                <w:webHidden/>
              </w:rPr>
              <w:fldChar w:fldCharType="begin"/>
            </w:r>
            <w:r w:rsidR="00B41B66">
              <w:rPr>
                <w:webHidden/>
              </w:rPr>
              <w:instrText xml:space="preserve"> PAGEREF _Toc157090453 \h </w:instrText>
            </w:r>
            <w:r w:rsidR="00B41B66">
              <w:rPr>
                <w:webHidden/>
              </w:rPr>
            </w:r>
            <w:r w:rsidR="00B41B66">
              <w:rPr>
                <w:webHidden/>
              </w:rPr>
              <w:fldChar w:fldCharType="separate"/>
            </w:r>
            <w:r w:rsidR="00B41B66">
              <w:rPr>
                <w:webHidden/>
              </w:rPr>
              <w:t>14</w:t>
            </w:r>
            <w:r w:rsidR="00B41B66">
              <w:rPr>
                <w:webHidden/>
              </w:rPr>
              <w:fldChar w:fldCharType="end"/>
            </w:r>
          </w:hyperlink>
        </w:p>
        <w:p w:rsidR="00B41B66" w:rsidRDefault="00000000" w14:paraId="6051D6D4" w14:textId="53312674">
          <w:pPr>
            <w:pStyle w:val="TOC2"/>
            <w:rPr>
              <w:rFonts w:asciiTheme="minorHAnsi" w:hAnsiTheme="minorHAnsi" w:eastAsiaTheme="minorEastAsia" w:cstheme="minorBidi"/>
              <w:color w:val="auto"/>
              <w:kern w:val="2"/>
              <w14:ligatures w14:val="standardContextual"/>
            </w:rPr>
          </w:pPr>
          <w:hyperlink w:history="1" w:anchor="_Toc157090454">
            <w:r w:rsidRPr="00FD541B" w:rsidR="00B41B66">
              <w:rPr>
                <w:rStyle w:val="Hyperlink"/>
                <w:spacing w:val="-8"/>
              </w:rPr>
              <w:t>5.3</w:t>
            </w:r>
            <w:r w:rsidR="00B41B66">
              <w:rPr>
                <w:rFonts w:asciiTheme="minorHAnsi" w:hAnsiTheme="minorHAnsi" w:eastAsiaTheme="minorEastAsia" w:cstheme="minorBidi"/>
                <w:color w:val="auto"/>
                <w:kern w:val="2"/>
                <w14:ligatures w14:val="standardContextual"/>
              </w:rPr>
              <w:tab/>
            </w:r>
            <w:r w:rsidRPr="00FD541B" w:rsidR="00B41B66">
              <w:rPr>
                <w:rStyle w:val="Hyperlink"/>
              </w:rPr>
              <w:t>Solution Diagram</w:t>
            </w:r>
            <w:r w:rsidR="00B41B66">
              <w:rPr>
                <w:webHidden/>
              </w:rPr>
              <w:tab/>
            </w:r>
            <w:r w:rsidR="00B41B66">
              <w:rPr>
                <w:webHidden/>
              </w:rPr>
              <w:fldChar w:fldCharType="begin"/>
            </w:r>
            <w:r w:rsidR="00B41B66">
              <w:rPr>
                <w:webHidden/>
              </w:rPr>
              <w:instrText xml:space="preserve"> PAGEREF _Toc157090454 \h </w:instrText>
            </w:r>
            <w:r w:rsidR="00B41B66">
              <w:rPr>
                <w:webHidden/>
              </w:rPr>
            </w:r>
            <w:r w:rsidR="00B41B66">
              <w:rPr>
                <w:webHidden/>
              </w:rPr>
              <w:fldChar w:fldCharType="separate"/>
            </w:r>
            <w:r w:rsidR="00B41B66">
              <w:rPr>
                <w:webHidden/>
              </w:rPr>
              <w:t>15</w:t>
            </w:r>
            <w:r w:rsidR="00B41B66">
              <w:rPr>
                <w:webHidden/>
              </w:rPr>
              <w:fldChar w:fldCharType="end"/>
            </w:r>
          </w:hyperlink>
        </w:p>
        <w:p w:rsidR="00B41B66" w:rsidRDefault="00000000" w14:paraId="3EAB7DAC" w14:textId="67A6AC18">
          <w:pPr>
            <w:pStyle w:val="TOC2"/>
            <w:rPr>
              <w:rFonts w:asciiTheme="minorHAnsi" w:hAnsiTheme="minorHAnsi" w:eastAsiaTheme="minorEastAsia" w:cstheme="minorBidi"/>
              <w:color w:val="auto"/>
              <w:kern w:val="2"/>
              <w14:ligatures w14:val="standardContextual"/>
            </w:rPr>
          </w:pPr>
          <w:hyperlink w:history="1" w:anchor="_Toc157090455">
            <w:r w:rsidRPr="00FD541B" w:rsidR="00B41B66">
              <w:rPr>
                <w:rStyle w:val="Hyperlink"/>
                <w:spacing w:val="-8"/>
              </w:rPr>
              <w:t>5.4</w:t>
            </w:r>
            <w:r w:rsidR="00B41B66">
              <w:rPr>
                <w:rFonts w:asciiTheme="minorHAnsi" w:hAnsiTheme="minorHAnsi" w:eastAsiaTheme="minorEastAsia" w:cstheme="minorBidi"/>
                <w:color w:val="auto"/>
                <w:kern w:val="2"/>
                <w14:ligatures w14:val="standardContextual"/>
              </w:rPr>
              <w:tab/>
            </w:r>
            <w:r w:rsidRPr="00FD541B" w:rsidR="00B41B66">
              <w:rPr>
                <w:rStyle w:val="Hyperlink"/>
              </w:rPr>
              <w:t>Design Decisions and Justifications</w:t>
            </w:r>
            <w:r w:rsidR="00B41B66">
              <w:rPr>
                <w:webHidden/>
              </w:rPr>
              <w:tab/>
            </w:r>
            <w:r w:rsidR="00B41B66">
              <w:rPr>
                <w:webHidden/>
              </w:rPr>
              <w:fldChar w:fldCharType="begin"/>
            </w:r>
            <w:r w:rsidR="00B41B66">
              <w:rPr>
                <w:webHidden/>
              </w:rPr>
              <w:instrText xml:space="preserve"> PAGEREF _Toc157090455 \h </w:instrText>
            </w:r>
            <w:r w:rsidR="00B41B66">
              <w:rPr>
                <w:webHidden/>
              </w:rPr>
            </w:r>
            <w:r w:rsidR="00B41B66">
              <w:rPr>
                <w:webHidden/>
              </w:rPr>
              <w:fldChar w:fldCharType="separate"/>
            </w:r>
            <w:r w:rsidR="00B41B66">
              <w:rPr>
                <w:webHidden/>
              </w:rPr>
              <w:t>16</w:t>
            </w:r>
            <w:r w:rsidR="00B41B66">
              <w:rPr>
                <w:webHidden/>
              </w:rPr>
              <w:fldChar w:fldCharType="end"/>
            </w:r>
          </w:hyperlink>
        </w:p>
        <w:p w:rsidR="00B41B66" w:rsidRDefault="00000000" w14:paraId="54011696" w14:textId="7A986BCF">
          <w:pPr>
            <w:pStyle w:val="TOC3"/>
            <w:tabs>
              <w:tab w:val="left" w:pos="2552"/>
            </w:tabs>
            <w:rPr>
              <w:rFonts w:asciiTheme="minorHAnsi" w:hAnsiTheme="minorHAnsi" w:eastAsiaTheme="minorEastAsia" w:cstheme="minorBidi"/>
              <w:color w:val="auto"/>
              <w:kern w:val="2"/>
              <w14:ligatures w14:val="standardContextual"/>
            </w:rPr>
          </w:pPr>
          <w:hyperlink w:history="1" w:anchor="_Toc157090456">
            <w:r w:rsidRPr="00FD541B" w:rsidR="00B41B66">
              <w:rPr>
                <w:rStyle w:val="Hyperlink"/>
              </w:rPr>
              <w:t>5.4.1</w:t>
            </w:r>
            <w:r w:rsidR="00B41B66">
              <w:rPr>
                <w:rFonts w:asciiTheme="minorHAnsi" w:hAnsiTheme="minorHAnsi" w:eastAsiaTheme="minorEastAsia" w:cstheme="minorBidi"/>
                <w:color w:val="auto"/>
                <w:kern w:val="2"/>
                <w14:ligatures w14:val="standardContextual"/>
              </w:rPr>
              <w:tab/>
            </w:r>
            <w:r w:rsidRPr="00FD541B" w:rsidR="00B41B66">
              <w:rPr>
                <w:rStyle w:val="Hyperlink"/>
              </w:rPr>
              <w:t>Number and Location of Log Analytics Workspaces</w:t>
            </w:r>
            <w:r w:rsidR="00B41B66">
              <w:rPr>
                <w:webHidden/>
              </w:rPr>
              <w:tab/>
            </w:r>
            <w:r w:rsidR="00B41B66">
              <w:rPr>
                <w:webHidden/>
              </w:rPr>
              <w:fldChar w:fldCharType="begin"/>
            </w:r>
            <w:r w:rsidR="00B41B66">
              <w:rPr>
                <w:webHidden/>
              </w:rPr>
              <w:instrText xml:space="preserve"> PAGEREF _Toc157090456 \h </w:instrText>
            </w:r>
            <w:r w:rsidR="00B41B66">
              <w:rPr>
                <w:webHidden/>
              </w:rPr>
            </w:r>
            <w:r w:rsidR="00B41B66">
              <w:rPr>
                <w:webHidden/>
              </w:rPr>
              <w:fldChar w:fldCharType="separate"/>
            </w:r>
            <w:r w:rsidR="00B41B66">
              <w:rPr>
                <w:webHidden/>
              </w:rPr>
              <w:t>16</w:t>
            </w:r>
            <w:r w:rsidR="00B41B66">
              <w:rPr>
                <w:webHidden/>
              </w:rPr>
              <w:fldChar w:fldCharType="end"/>
            </w:r>
          </w:hyperlink>
        </w:p>
        <w:p w:rsidR="00B41B66" w:rsidRDefault="00000000" w14:paraId="48CC4FEF" w14:textId="2EF026B7">
          <w:pPr>
            <w:pStyle w:val="TOC3"/>
            <w:tabs>
              <w:tab w:val="left" w:pos="2552"/>
            </w:tabs>
            <w:rPr>
              <w:rFonts w:asciiTheme="minorHAnsi" w:hAnsiTheme="minorHAnsi" w:eastAsiaTheme="minorEastAsia" w:cstheme="minorBidi"/>
              <w:color w:val="auto"/>
              <w:kern w:val="2"/>
              <w14:ligatures w14:val="standardContextual"/>
            </w:rPr>
          </w:pPr>
          <w:hyperlink w:history="1" w:anchor="_Toc157090457">
            <w:r w:rsidRPr="00FD541B" w:rsidR="00B41B66">
              <w:rPr>
                <w:rStyle w:val="Hyperlink"/>
              </w:rPr>
              <w:t>5.4.2</w:t>
            </w:r>
            <w:r w:rsidR="00B41B66">
              <w:rPr>
                <w:rFonts w:asciiTheme="minorHAnsi" w:hAnsiTheme="minorHAnsi" w:eastAsiaTheme="minorEastAsia" w:cstheme="minorBidi"/>
                <w:color w:val="auto"/>
                <w:kern w:val="2"/>
                <w14:ligatures w14:val="standardContextual"/>
              </w:rPr>
              <w:tab/>
            </w:r>
            <w:r w:rsidRPr="00FD541B" w:rsidR="00B41B66">
              <w:rPr>
                <w:rStyle w:val="Hyperlink"/>
              </w:rPr>
              <w:t>Logging and Monitoring</w:t>
            </w:r>
            <w:r w:rsidR="00B41B66">
              <w:rPr>
                <w:webHidden/>
              </w:rPr>
              <w:tab/>
            </w:r>
            <w:r w:rsidR="00B41B66">
              <w:rPr>
                <w:webHidden/>
              </w:rPr>
              <w:fldChar w:fldCharType="begin"/>
            </w:r>
            <w:r w:rsidR="00B41B66">
              <w:rPr>
                <w:webHidden/>
              </w:rPr>
              <w:instrText xml:space="preserve"> PAGEREF _Toc157090457 \h </w:instrText>
            </w:r>
            <w:r w:rsidR="00B41B66">
              <w:rPr>
                <w:webHidden/>
              </w:rPr>
            </w:r>
            <w:r w:rsidR="00B41B66">
              <w:rPr>
                <w:webHidden/>
              </w:rPr>
              <w:fldChar w:fldCharType="separate"/>
            </w:r>
            <w:r w:rsidR="00B41B66">
              <w:rPr>
                <w:webHidden/>
              </w:rPr>
              <w:t>16</w:t>
            </w:r>
            <w:r w:rsidR="00B41B66">
              <w:rPr>
                <w:webHidden/>
              </w:rPr>
              <w:fldChar w:fldCharType="end"/>
            </w:r>
          </w:hyperlink>
        </w:p>
        <w:p w:rsidR="00B41B66" w:rsidRDefault="00000000" w14:paraId="61235CB0" w14:textId="4E446168">
          <w:pPr>
            <w:pStyle w:val="TOC3"/>
            <w:tabs>
              <w:tab w:val="left" w:pos="2552"/>
            </w:tabs>
            <w:rPr>
              <w:rFonts w:asciiTheme="minorHAnsi" w:hAnsiTheme="minorHAnsi" w:eastAsiaTheme="minorEastAsia" w:cstheme="minorBidi"/>
              <w:color w:val="auto"/>
              <w:kern w:val="2"/>
              <w14:ligatures w14:val="standardContextual"/>
            </w:rPr>
          </w:pPr>
          <w:hyperlink w:history="1" w:anchor="_Toc157090458">
            <w:r w:rsidRPr="00FD541B" w:rsidR="00B41B66">
              <w:rPr>
                <w:rStyle w:val="Hyperlink"/>
              </w:rPr>
              <w:t>5.4.3</w:t>
            </w:r>
            <w:r w:rsidR="00B41B66">
              <w:rPr>
                <w:rFonts w:asciiTheme="minorHAnsi" w:hAnsiTheme="minorHAnsi" w:eastAsiaTheme="minorEastAsia" w:cstheme="minorBidi"/>
                <w:color w:val="auto"/>
                <w:kern w:val="2"/>
                <w14:ligatures w14:val="standardContextual"/>
              </w:rPr>
              <w:tab/>
            </w:r>
            <w:r w:rsidRPr="00FD541B" w:rsidR="00B41B66">
              <w:rPr>
                <w:rStyle w:val="Hyperlink"/>
              </w:rPr>
              <w:t>Data Retention Period</w:t>
            </w:r>
            <w:r w:rsidR="00B41B66">
              <w:rPr>
                <w:webHidden/>
              </w:rPr>
              <w:tab/>
            </w:r>
            <w:r w:rsidR="00B41B66">
              <w:rPr>
                <w:webHidden/>
              </w:rPr>
              <w:fldChar w:fldCharType="begin"/>
            </w:r>
            <w:r w:rsidR="00B41B66">
              <w:rPr>
                <w:webHidden/>
              </w:rPr>
              <w:instrText xml:space="preserve"> PAGEREF _Toc157090458 \h </w:instrText>
            </w:r>
            <w:r w:rsidR="00B41B66">
              <w:rPr>
                <w:webHidden/>
              </w:rPr>
            </w:r>
            <w:r w:rsidR="00B41B66">
              <w:rPr>
                <w:webHidden/>
              </w:rPr>
              <w:fldChar w:fldCharType="separate"/>
            </w:r>
            <w:r w:rsidR="00B41B66">
              <w:rPr>
                <w:webHidden/>
              </w:rPr>
              <w:t>16</w:t>
            </w:r>
            <w:r w:rsidR="00B41B66">
              <w:rPr>
                <w:webHidden/>
              </w:rPr>
              <w:fldChar w:fldCharType="end"/>
            </w:r>
          </w:hyperlink>
        </w:p>
        <w:p w:rsidR="00B41B66" w:rsidRDefault="00000000" w14:paraId="24A7B61D" w14:textId="21500458">
          <w:pPr>
            <w:pStyle w:val="TOC1"/>
            <w:tabs>
              <w:tab w:val="left" w:pos="851"/>
            </w:tabs>
            <w:rPr>
              <w:rFonts w:asciiTheme="minorHAnsi" w:hAnsiTheme="minorHAnsi" w:eastAsiaTheme="minorEastAsia" w:cstheme="minorBidi"/>
              <w:color w:val="auto"/>
              <w:kern w:val="2"/>
              <w14:ligatures w14:val="standardContextual"/>
            </w:rPr>
          </w:pPr>
          <w:hyperlink w:history="1" w:anchor="_Toc157090459">
            <w:r w:rsidRPr="00FD541B" w:rsidR="00B41B66">
              <w:rPr>
                <w:rStyle w:val="Hyperlink"/>
                <w:rFonts w:cs="Arial"/>
              </w:rPr>
              <w:t>6.</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Azure Policies</w:t>
            </w:r>
            <w:r w:rsidR="00B41B66">
              <w:rPr>
                <w:webHidden/>
              </w:rPr>
              <w:tab/>
            </w:r>
            <w:r w:rsidR="00B41B66">
              <w:rPr>
                <w:webHidden/>
              </w:rPr>
              <w:fldChar w:fldCharType="begin"/>
            </w:r>
            <w:r w:rsidR="00B41B66">
              <w:rPr>
                <w:webHidden/>
              </w:rPr>
              <w:instrText xml:space="preserve"> PAGEREF _Toc157090459 \h </w:instrText>
            </w:r>
            <w:r w:rsidR="00B41B66">
              <w:rPr>
                <w:webHidden/>
              </w:rPr>
            </w:r>
            <w:r w:rsidR="00B41B66">
              <w:rPr>
                <w:webHidden/>
              </w:rPr>
              <w:fldChar w:fldCharType="separate"/>
            </w:r>
            <w:r w:rsidR="00B41B66">
              <w:rPr>
                <w:webHidden/>
              </w:rPr>
              <w:t>17</w:t>
            </w:r>
            <w:r w:rsidR="00B41B66">
              <w:rPr>
                <w:webHidden/>
              </w:rPr>
              <w:fldChar w:fldCharType="end"/>
            </w:r>
          </w:hyperlink>
        </w:p>
        <w:p w:rsidR="00B41B66" w:rsidRDefault="00000000" w14:paraId="510238C5" w14:textId="6C78665A">
          <w:pPr>
            <w:pStyle w:val="TOC1"/>
            <w:tabs>
              <w:tab w:val="left" w:pos="851"/>
            </w:tabs>
            <w:rPr>
              <w:rFonts w:asciiTheme="minorHAnsi" w:hAnsiTheme="minorHAnsi" w:eastAsiaTheme="minorEastAsia" w:cstheme="minorBidi"/>
              <w:color w:val="auto"/>
              <w:kern w:val="2"/>
              <w14:ligatures w14:val="standardContextual"/>
            </w:rPr>
          </w:pPr>
          <w:hyperlink w:history="1" w:anchor="_Toc157090460">
            <w:r w:rsidRPr="00FD541B" w:rsidR="00B41B66">
              <w:rPr>
                <w:rStyle w:val="Hyperlink"/>
                <w:rFonts w:cs="Arial"/>
              </w:rPr>
              <w:t>7.</w:t>
            </w:r>
            <w:r w:rsidR="00B41B66">
              <w:rPr>
                <w:rFonts w:asciiTheme="minorHAnsi" w:hAnsiTheme="minorHAnsi" w:eastAsiaTheme="minorEastAsia" w:cstheme="minorBidi"/>
                <w:color w:val="auto"/>
                <w:kern w:val="2"/>
                <w14:ligatures w14:val="standardContextual"/>
              </w:rPr>
              <w:tab/>
            </w:r>
            <w:r w:rsidRPr="00FD541B" w:rsidR="00B41B66">
              <w:rPr>
                <w:rStyle w:val="Hyperlink"/>
                <w:rFonts w:cs="Arial"/>
              </w:rPr>
              <w:t>Configuration Templates</w:t>
            </w:r>
            <w:r w:rsidR="00B41B66">
              <w:rPr>
                <w:webHidden/>
              </w:rPr>
              <w:tab/>
            </w:r>
            <w:r w:rsidR="00B41B66">
              <w:rPr>
                <w:webHidden/>
              </w:rPr>
              <w:fldChar w:fldCharType="begin"/>
            </w:r>
            <w:r w:rsidR="00B41B66">
              <w:rPr>
                <w:webHidden/>
              </w:rPr>
              <w:instrText xml:space="preserve"> PAGEREF _Toc157090460 \h </w:instrText>
            </w:r>
            <w:r w:rsidR="00B41B66">
              <w:rPr>
                <w:webHidden/>
              </w:rPr>
            </w:r>
            <w:r w:rsidR="00B41B66">
              <w:rPr>
                <w:webHidden/>
              </w:rPr>
              <w:fldChar w:fldCharType="separate"/>
            </w:r>
            <w:r w:rsidR="00B41B66">
              <w:rPr>
                <w:webHidden/>
              </w:rPr>
              <w:t>19</w:t>
            </w:r>
            <w:r w:rsidR="00B41B66">
              <w:rPr>
                <w:webHidden/>
              </w:rPr>
              <w:fldChar w:fldCharType="end"/>
            </w:r>
          </w:hyperlink>
        </w:p>
        <w:p w:rsidR="00B41B66" w:rsidRDefault="00000000" w14:paraId="5D48CD48" w14:textId="5EBCFF68">
          <w:pPr>
            <w:pStyle w:val="TOC2"/>
            <w:rPr>
              <w:rFonts w:asciiTheme="minorHAnsi" w:hAnsiTheme="minorHAnsi" w:eastAsiaTheme="minorEastAsia" w:cstheme="minorBidi"/>
              <w:color w:val="auto"/>
              <w:kern w:val="2"/>
              <w14:ligatures w14:val="standardContextual"/>
            </w:rPr>
          </w:pPr>
          <w:hyperlink w:history="1" w:anchor="_Toc157090461">
            <w:r w:rsidRPr="00FD541B" w:rsidR="00B41B66">
              <w:rPr>
                <w:rStyle w:val="Hyperlink"/>
                <w:spacing w:val="-8"/>
              </w:rPr>
              <w:t>7.1</w:t>
            </w:r>
            <w:r w:rsidR="00B41B66">
              <w:rPr>
                <w:rFonts w:asciiTheme="minorHAnsi" w:hAnsiTheme="minorHAnsi" w:eastAsiaTheme="minorEastAsia" w:cstheme="minorBidi"/>
                <w:color w:val="auto"/>
                <w:kern w:val="2"/>
                <w14:ligatures w14:val="standardContextual"/>
              </w:rPr>
              <w:tab/>
            </w:r>
            <w:r w:rsidRPr="00FD541B" w:rsidR="00B41B66">
              <w:rPr>
                <w:rStyle w:val="Hyperlink"/>
              </w:rPr>
              <w:t>Primary Region Central Log Analytics Workspace</w:t>
            </w:r>
            <w:r w:rsidR="00B41B66">
              <w:rPr>
                <w:webHidden/>
              </w:rPr>
              <w:tab/>
            </w:r>
            <w:r w:rsidR="00B41B66">
              <w:rPr>
                <w:webHidden/>
              </w:rPr>
              <w:fldChar w:fldCharType="begin"/>
            </w:r>
            <w:r w:rsidR="00B41B66">
              <w:rPr>
                <w:webHidden/>
              </w:rPr>
              <w:instrText xml:space="preserve"> PAGEREF _Toc157090461 \h </w:instrText>
            </w:r>
            <w:r w:rsidR="00B41B66">
              <w:rPr>
                <w:webHidden/>
              </w:rPr>
            </w:r>
            <w:r w:rsidR="00B41B66">
              <w:rPr>
                <w:webHidden/>
              </w:rPr>
              <w:fldChar w:fldCharType="separate"/>
            </w:r>
            <w:r w:rsidR="00B41B66">
              <w:rPr>
                <w:webHidden/>
              </w:rPr>
              <w:t>19</w:t>
            </w:r>
            <w:r w:rsidR="00B41B66">
              <w:rPr>
                <w:webHidden/>
              </w:rPr>
              <w:fldChar w:fldCharType="end"/>
            </w:r>
          </w:hyperlink>
        </w:p>
        <w:p w:rsidR="00B41B66" w:rsidRDefault="00000000" w14:paraId="4CF83CB1" w14:textId="7E835B78">
          <w:pPr>
            <w:pStyle w:val="TOC2"/>
            <w:rPr>
              <w:rFonts w:asciiTheme="minorHAnsi" w:hAnsiTheme="minorHAnsi" w:eastAsiaTheme="minorEastAsia" w:cstheme="minorBidi"/>
              <w:color w:val="auto"/>
              <w:kern w:val="2"/>
              <w14:ligatures w14:val="standardContextual"/>
            </w:rPr>
          </w:pPr>
          <w:hyperlink w:history="1" w:anchor="_Toc157090462">
            <w:r w:rsidRPr="00FD541B" w:rsidR="00B41B66">
              <w:rPr>
                <w:rStyle w:val="Hyperlink"/>
                <w:spacing w:val="-8"/>
              </w:rPr>
              <w:t>7.2</w:t>
            </w:r>
            <w:r w:rsidR="00B41B66">
              <w:rPr>
                <w:rFonts w:asciiTheme="minorHAnsi" w:hAnsiTheme="minorHAnsi" w:eastAsiaTheme="minorEastAsia" w:cstheme="minorBidi"/>
                <w:color w:val="auto"/>
                <w:kern w:val="2"/>
                <w14:ligatures w14:val="standardContextual"/>
              </w:rPr>
              <w:tab/>
            </w:r>
            <w:r w:rsidRPr="00FD541B" w:rsidR="00B41B66">
              <w:rPr>
                <w:rStyle w:val="Hyperlink"/>
              </w:rPr>
              <w:t>Secondary</w:t>
            </w:r>
            <w:r w:rsidRPr="00FD541B" w:rsidR="00B41B66">
              <w:rPr>
                <w:rStyle w:val="Hyperlink"/>
                <w:b/>
              </w:rPr>
              <w:t xml:space="preserve"> </w:t>
            </w:r>
            <w:r w:rsidRPr="00FD541B" w:rsidR="00B41B66">
              <w:rPr>
                <w:rStyle w:val="Hyperlink"/>
              </w:rPr>
              <w:t>Region Central Log Analytics Workspace</w:t>
            </w:r>
            <w:r w:rsidR="00B41B66">
              <w:rPr>
                <w:webHidden/>
              </w:rPr>
              <w:tab/>
            </w:r>
            <w:r w:rsidR="00B41B66">
              <w:rPr>
                <w:webHidden/>
              </w:rPr>
              <w:fldChar w:fldCharType="begin"/>
            </w:r>
            <w:r w:rsidR="00B41B66">
              <w:rPr>
                <w:webHidden/>
              </w:rPr>
              <w:instrText xml:space="preserve"> PAGEREF _Toc157090462 \h </w:instrText>
            </w:r>
            <w:r w:rsidR="00B41B66">
              <w:rPr>
                <w:webHidden/>
              </w:rPr>
            </w:r>
            <w:r w:rsidR="00B41B66">
              <w:rPr>
                <w:webHidden/>
              </w:rPr>
              <w:fldChar w:fldCharType="separate"/>
            </w:r>
            <w:r w:rsidR="00B41B66">
              <w:rPr>
                <w:webHidden/>
              </w:rPr>
              <w:t>19</w:t>
            </w:r>
            <w:r w:rsidR="00B41B66">
              <w:rPr>
                <w:webHidden/>
              </w:rPr>
              <w:fldChar w:fldCharType="end"/>
            </w:r>
          </w:hyperlink>
        </w:p>
        <w:p w:rsidR="00B41B66" w:rsidRDefault="00000000" w14:paraId="6A3D1D9A" w14:textId="26ACF5BD">
          <w:pPr>
            <w:pStyle w:val="TOC2"/>
            <w:rPr>
              <w:rFonts w:asciiTheme="minorHAnsi" w:hAnsiTheme="minorHAnsi" w:eastAsiaTheme="minorEastAsia" w:cstheme="minorBidi"/>
              <w:color w:val="auto"/>
              <w:kern w:val="2"/>
              <w14:ligatures w14:val="standardContextual"/>
            </w:rPr>
          </w:pPr>
          <w:hyperlink w:history="1" w:anchor="_Toc157090463">
            <w:r w:rsidRPr="00FD541B" w:rsidR="00B41B66">
              <w:rPr>
                <w:rStyle w:val="Hyperlink"/>
                <w:spacing w:val="-8"/>
              </w:rPr>
              <w:t>7.3</w:t>
            </w:r>
            <w:r w:rsidR="00B41B66">
              <w:rPr>
                <w:rFonts w:asciiTheme="minorHAnsi" w:hAnsiTheme="minorHAnsi" w:eastAsiaTheme="minorEastAsia" w:cstheme="minorBidi"/>
                <w:color w:val="auto"/>
                <w:kern w:val="2"/>
                <w14:ligatures w14:val="standardContextual"/>
              </w:rPr>
              <w:tab/>
            </w:r>
            <w:r w:rsidRPr="00FD541B" w:rsidR="00B41B66">
              <w:rPr>
                <w:rStyle w:val="Hyperlink"/>
              </w:rPr>
              <w:t>Generic Primary Region Central Log Analytics Workspace</w:t>
            </w:r>
            <w:r w:rsidR="00B41B66">
              <w:rPr>
                <w:webHidden/>
              </w:rPr>
              <w:tab/>
            </w:r>
            <w:r w:rsidR="00B41B66">
              <w:rPr>
                <w:webHidden/>
              </w:rPr>
              <w:fldChar w:fldCharType="begin"/>
            </w:r>
            <w:r w:rsidR="00B41B66">
              <w:rPr>
                <w:webHidden/>
              </w:rPr>
              <w:instrText xml:space="preserve"> PAGEREF _Toc157090463 \h </w:instrText>
            </w:r>
            <w:r w:rsidR="00B41B66">
              <w:rPr>
                <w:webHidden/>
              </w:rPr>
            </w:r>
            <w:r w:rsidR="00B41B66">
              <w:rPr>
                <w:webHidden/>
              </w:rPr>
              <w:fldChar w:fldCharType="separate"/>
            </w:r>
            <w:r w:rsidR="00B41B66">
              <w:rPr>
                <w:webHidden/>
              </w:rPr>
              <w:t>19</w:t>
            </w:r>
            <w:r w:rsidR="00B41B66">
              <w:rPr>
                <w:webHidden/>
              </w:rPr>
              <w:fldChar w:fldCharType="end"/>
            </w:r>
          </w:hyperlink>
        </w:p>
        <w:p w:rsidR="00B41B66" w:rsidRDefault="00000000" w14:paraId="45A58BD7" w14:textId="76F09ED6">
          <w:pPr>
            <w:pStyle w:val="TOC2"/>
            <w:rPr>
              <w:rFonts w:asciiTheme="minorHAnsi" w:hAnsiTheme="minorHAnsi" w:eastAsiaTheme="minorEastAsia" w:cstheme="minorBidi"/>
              <w:color w:val="auto"/>
              <w:kern w:val="2"/>
              <w14:ligatures w14:val="standardContextual"/>
            </w:rPr>
          </w:pPr>
          <w:hyperlink w:history="1" w:anchor="_Toc157090464">
            <w:r w:rsidRPr="00FD541B" w:rsidR="00B41B66">
              <w:rPr>
                <w:rStyle w:val="Hyperlink"/>
                <w:spacing w:val="-8"/>
              </w:rPr>
              <w:t>7.4</w:t>
            </w:r>
            <w:r w:rsidR="00B41B66">
              <w:rPr>
                <w:rFonts w:asciiTheme="minorHAnsi" w:hAnsiTheme="minorHAnsi" w:eastAsiaTheme="minorEastAsia" w:cstheme="minorBidi"/>
                <w:color w:val="auto"/>
                <w:kern w:val="2"/>
                <w14:ligatures w14:val="standardContextual"/>
              </w:rPr>
              <w:tab/>
            </w:r>
            <w:r w:rsidRPr="00FD541B" w:rsidR="00B41B66">
              <w:rPr>
                <w:rStyle w:val="Hyperlink"/>
              </w:rPr>
              <w:t>Generic DR Region Central Log Analytics Workspace</w:t>
            </w:r>
            <w:r w:rsidR="00B41B66">
              <w:rPr>
                <w:webHidden/>
              </w:rPr>
              <w:tab/>
            </w:r>
            <w:r w:rsidR="00B41B66">
              <w:rPr>
                <w:webHidden/>
              </w:rPr>
              <w:fldChar w:fldCharType="begin"/>
            </w:r>
            <w:r w:rsidR="00B41B66">
              <w:rPr>
                <w:webHidden/>
              </w:rPr>
              <w:instrText xml:space="preserve"> PAGEREF _Toc157090464 \h </w:instrText>
            </w:r>
            <w:r w:rsidR="00B41B66">
              <w:rPr>
                <w:webHidden/>
              </w:rPr>
            </w:r>
            <w:r w:rsidR="00B41B66">
              <w:rPr>
                <w:webHidden/>
              </w:rPr>
              <w:fldChar w:fldCharType="separate"/>
            </w:r>
            <w:r w:rsidR="00B41B66">
              <w:rPr>
                <w:webHidden/>
              </w:rPr>
              <w:t>20</w:t>
            </w:r>
            <w:r w:rsidR="00B41B66">
              <w:rPr>
                <w:webHidden/>
              </w:rPr>
              <w:fldChar w:fldCharType="end"/>
            </w:r>
          </w:hyperlink>
        </w:p>
        <w:p w:rsidR="00B41B66" w:rsidRDefault="00000000" w14:paraId="7AF28A59" w14:textId="45DB92EF">
          <w:pPr>
            <w:pStyle w:val="TOC1"/>
            <w:tabs>
              <w:tab w:val="left" w:pos="851"/>
            </w:tabs>
            <w:rPr>
              <w:rFonts w:asciiTheme="minorHAnsi" w:hAnsiTheme="minorHAnsi" w:eastAsiaTheme="minorEastAsia" w:cstheme="minorBidi"/>
              <w:color w:val="auto"/>
              <w:kern w:val="2"/>
              <w14:ligatures w14:val="standardContextual"/>
            </w:rPr>
          </w:pPr>
          <w:hyperlink w:history="1" w:anchor="_Toc157090465">
            <w:r w:rsidRPr="00FD541B" w:rsidR="00B41B66">
              <w:rPr>
                <w:rStyle w:val="Hyperlink"/>
              </w:rPr>
              <w:t>8.</w:t>
            </w:r>
            <w:r w:rsidR="00B41B66">
              <w:rPr>
                <w:rFonts w:asciiTheme="minorHAnsi" w:hAnsiTheme="minorHAnsi" w:eastAsiaTheme="minorEastAsia" w:cstheme="minorBidi"/>
                <w:color w:val="auto"/>
                <w:kern w:val="2"/>
                <w14:ligatures w14:val="standardContextual"/>
              </w:rPr>
              <w:tab/>
            </w:r>
            <w:r w:rsidRPr="00FD541B" w:rsidR="00B41B66">
              <w:rPr>
                <w:rStyle w:val="Hyperlink"/>
              </w:rPr>
              <w:t>Acceptance</w:t>
            </w:r>
            <w:r w:rsidR="00B41B66">
              <w:rPr>
                <w:webHidden/>
              </w:rPr>
              <w:tab/>
            </w:r>
            <w:r w:rsidR="00B41B66">
              <w:rPr>
                <w:webHidden/>
              </w:rPr>
              <w:fldChar w:fldCharType="begin"/>
            </w:r>
            <w:r w:rsidR="00B41B66">
              <w:rPr>
                <w:webHidden/>
              </w:rPr>
              <w:instrText xml:space="preserve"> PAGEREF _Toc157090465 \h </w:instrText>
            </w:r>
            <w:r w:rsidR="00B41B66">
              <w:rPr>
                <w:webHidden/>
              </w:rPr>
            </w:r>
            <w:r w:rsidR="00B41B66">
              <w:rPr>
                <w:webHidden/>
              </w:rPr>
              <w:fldChar w:fldCharType="separate"/>
            </w:r>
            <w:r w:rsidR="00B41B66">
              <w:rPr>
                <w:webHidden/>
              </w:rPr>
              <w:t>21</w:t>
            </w:r>
            <w:r w:rsidR="00B41B66">
              <w:rPr>
                <w:webHidden/>
              </w:rPr>
              <w:fldChar w:fldCharType="end"/>
            </w:r>
          </w:hyperlink>
        </w:p>
        <w:p w:rsidR="00B035CE" w:rsidP="00B035CE" w:rsidRDefault="00B035CE" w14:paraId="62338099" w14:textId="45B270F7">
          <w:pPr>
            <w:spacing w:line="360" w:lineRule="auto"/>
          </w:pPr>
          <w:r>
            <w:rPr>
              <w:b/>
              <w:bCs/>
              <w:noProof/>
            </w:rPr>
            <w:fldChar w:fldCharType="end"/>
          </w:r>
        </w:p>
      </w:sdtContent>
    </w:sdt>
    <w:p w:rsidR="00001628" w:rsidP="00001628" w:rsidRDefault="00001628" w14:paraId="0ABF6DF2" w14:textId="77777777">
      <w:pPr>
        <w:pStyle w:val="BodyText"/>
        <w:rPr>
          <w:rFonts w:cs="Arial"/>
          <w:szCs w:val="18"/>
        </w:rPr>
      </w:pPr>
      <w:r w:rsidRPr="00633B64">
        <w:rPr>
          <w:rFonts w:cs="Arial"/>
          <w:szCs w:val="18"/>
        </w:rPr>
        <w:br w:type="page"/>
      </w:r>
    </w:p>
    <w:p w:rsidR="00820A6B" w:rsidP="00820A6B" w:rsidRDefault="00820A6B" w14:paraId="6CFC6C72" w14:textId="77777777">
      <w:pPr>
        <w:pStyle w:val="BodyText10ptAbove"/>
        <w:spacing w:before="0" w:after="0"/>
      </w:pPr>
    </w:p>
    <w:p w:rsidRPr="00633B64" w:rsidR="00001628" w:rsidP="00820A6B" w:rsidRDefault="00001628" w14:paraId="6CE991D0" w14:textId="4E45C1CD">
      <w:pPr>
        <w:pStyle w:val="Heading1"/>
        <w:spacing w:before="0"/>
        <w:rPr>
          <w:rFonts w:cs="Arial"/>
        </w:rPr>
      </w:pPr>
      <w:bookmarkStart w:name="_Toc157090428" w:id="0"/>
      <w:r w:rsidRPr="00633B64">
        <w:rPr>
          <w:rFonts w:cs="Arial"/>
        </w:rPr>
        <w:t>Overview</w:t>
      </w:r>
      <w:bookmarkEnd w:id="0"/>
      <w:r w:rsidRPr="00633B64">
        <w:rPr>
          <w:rFonts w:cs="Arial"/>
        </w:rPr>
        <w:t xml:space="preserve"> </w:t>
      </w:r>
    </w:p>
    <w:p w:rsidR="00006C3A" w:rsidP="006952F9" w:rsidRDefault="00874AFF" w14:paraId="7A66AFA1" w14:textId="4FE79F47">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9B660B">
            <w:rPr>
              <w:rFonts w:eastAsia="Arial"/>
              <w:sz w:val="22"/>
              <w:szCs w:val="28"/>
            </w:rPr>
            <w:t>Log Analytics Workspace</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9B660B">
            <w:rPr>
              <w:rFonts w:eastAsia="Arial"/>
              <w:sz w:val="22"/>
              <w:szCs w:val="28"/>
            </w:rPr>
            <w:t>Log Analytics Workspace</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9B660B">
            <w:rPr>
              <w:rFonts w:eastAsia="Arial"/>
              <w:sz w:val="22"/>
              <w:szCs w:val="28"/>
            </w:rPr>
            <w:t>Log Analytics Workspace</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7090429"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7090430" w:id="2"/>
      <w:r w:rsidRPr="00633B64">
        <w:rPr>
          <w:rFonts w:cs="Arial"/>
        </w:rPr>
        <w:t xml:space="preserve">Scope </w:t>
      </w:r>
      <w:r w:rsidR="000B5FB3">
        <w:rPr>
          <w:rFonts w:cs="Arial"/>
        </w:rPr>
        <w:t>and Key Deliverables</w:t>
      </w:r>
      <w:bookmarkEnd w:id="2"/>
    </w:p>
    <w:p w:rsidR="00B21721" w:rsidP="009937DD" w:rsidRDefault="00B21721" w14:paraId="1B652062" w14:textId="2553CFD1">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9B660B">
            <w:rPr>
              <w:rFonts w:cs="Arial"/>
            </w:rPr>
            <w:t>Log Analytics Workspace</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9937DD" w:rsidRDefault="00BF1F01" w14:paraId="16EAD968" w14:textId="699551CB">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9937DD" w:rsidRDefault="00BF1F01" w14:paraId="44E0119F" w14:textId="77777777">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Pr="00974427" w:rsidR="00974427">
        <w:rPr>
          <w:rFonts w:cs="Arial"/>
        </w:rPr>
        <w:t>standard such as size</w:t>
      </w:r>
    </w:p>
    <w:p w:rsidR="00A81BF5" w:rsidP="009937DD" w:rsidRDefault="00974427" w14:paraId="62935C75" w14:textId="6EFE9049">
      <w:pPr>
        <w:pStyle w:val="ListBullet2"/>
        <w:numPr>
          <w:ilvl w:val="0"/>
          <w:numId w:val="12"/>
        </w:numPr>
        <w:jc w:val="both"/>
        <w:rPr>
          <w:rFonts w:cs="Arial"/>
        </w:rPr>
      </w:pPr>
      <w:r w:rsidRPr="00974427">
        <w:rPr>
          <w:rFonts w:cs="Arial"/>
        </w:rPr>
        <w:t>IaC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7090431" w:id="3"/>
      <w:r w:rsidRPr="00AE7D6D">
        <w:rPr>
          <w:rFonts w:cs="Arial"/>
        </w:rPr>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11CBC"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611CBC" w:rsidR="00AE7D6D" w:rsidRDefault="00AE7D6D" w14:paraId="5BD73762" w14:textId="13538F2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611CBC" w:rsidR="00AE7D6D" w:rsidRDefault="00AE7D6D" w14:paraId="6A7496DF" w14:textId="77777777">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Pr="00611CBC"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746FD6D4" w14:textId="1FB7047D">
            <w:pPr>
              <w:spacing w:line="240" w:lineRule="auto"/>
              <w:jc w:val="both"/>
              <w:textAlignment w:val="baseline"/>
              <w:rPr>
                <w:rFonts w:cs="Arial"/>
                <w:b/>
                <w:bCs/>
              </w:rPr>
            </w:pPr>
            <w:r>
              <w:rPr>
                <w:rFonts w:cs="Arial"/>
                <w:b/>
                <w:bCs/>
              </w:rPr>
              <w:t>AV</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01917669" w14:textId="5DEF584A">
            <w:pPr>
              <w:spacing w:line="240" w:lineRule="auto"/>
              <w:textAlignment w:val="baseline"/>
              <w:rPr>
                <w:rFonts w:cs="Arial"/>
                <w:lang w:val="en-US"/>
              </w:rPr>
            </w:pPr>
            <w:r>
              <w:rPr>
                <w:rFonts w:cs="Arial"/>
                <w:lang w:val="en-US"/>
              </w:rPr>
              <w:t>Ambulance Victoria</w:t>
            </w:r>
          </w:p>
        </w:tc>
      </w:tr>
      <w:tr w:rsidRPr="00611CBC"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611CBC" w:rsidR="00AE7D6D" w:rsidRDefault="00AE7D6D" w14:paraId="6E10B7B2" w14:textId="62F155D3">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color="808080" w:sz="6" w:space="0"/>
              <w:left w:val="nil"/>
              <w:bottom w:val="single" w:color="808080" w:sz="6" w:space="0"/>
              <w:right w:val="nil"/>
            </w:tcBorders>
            <w:shd w:val="clear" w:color="auto" w:fill="auto"/>
            <w:vAlign w:val="center"/>
            <w:hideMark/>
          </w:tcPr>
          <w:p w:rsidRPr="00611CBC" w:rsidR="00AE7D6D" w:rsidRDefault="00AE7D6D" w14:paraId="12642BB1" w14:textId="1BCD04DC">
            <w:pPr>
              <w:spacing w:line="240" w:lineRule="auto"/>
              <w:textAlignment w:val="baseline"/>
              <w:rPr>
                <w:rFonts w:ascii="Segoe UI" w:hAnsi="Segoe UI" w:cs="Segoe UI"/>
                <w:b/>
                <w:bCs/>
                <w:sz w:val="18"/>
                <w:szCs w:val="18"/>
              </w:rPr>
            </w:pPr>
            <w:r>
              <w:rPr>
                <w:rFonts w:cs="Arial"/>
                <w:lang w:val="en-US"/>
              </w:rPr>
              <w:t>Well Architected Framework</w:t>
            </w:r>
          </w:p>
        </w:tc>
      </w:tr>
      <w:tr w:rsidRPr="00611CBC"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59B871BF" w14:textId="3B81A32B">
            <w:pPr>
              <w:spacing w:line="240" w:lineRule="auto"/>
              <w:jc w:val="both"/>
              <w:textAlignment w:val="baseline"/>
              <w:rPr>
                <w:rFonts w:cs="Arial"/>
                <w:b/>
                <w:bCs/>
              </w:rPr>
            </w:pPr>
            <w:r>
              <w:rPr>
                <w:rFonts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13F0A1BA" w14:textId="27EDDB1D">
            <w:pPr>
              <w:spacing w:line="240" w:lineRule="auto"/>
              <w:textAlignment w:val="baseline"/>
              <w:rPr>
                <w:rFonts w:cs="Arial"/>
                <w:lang w:val="en-US"/>
              </w:rPr>
            </w:pPr>
            <w:r>
              <w:rPr>
                <w:rFonts w:cs="Arial"/>
                <w:lang w:val="en-US"/>
              </w:rPr>
              <w:t>Cloud Adoption Framework</w:t>
            </w:r>
          </w:p>
        </w:tc>
      </w:tr>
      <w:tr w:rsidRPr="00611CBC"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11CBC" w:rsidR="00AE7D6D" w:rsidRDefault="00AE7D6D" w14:paraId="44959858" w14:textId="55A2E662">
            <w:pPr>
              <w:spacing w:line="240" w:lineRule="auto"/>
              <w:jc w:val="both"/>
              <w:textAlignment w:val="baseline"/>
              <w:rPr>
                <w:rFonts w:cs="Arial"/>
                <w:b/>
                <w:bCs/>
                <w:lang w:val="en-US"/>
              </w:rPr>
            </w:pPr>
            <w:r>
              <w:rPr>
                <w:rFonts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611CBC" w:rsidR="00AE7D6D" w:rsidRDefault="00AE7D6D" w14:paraId="3A02410F" w14:textId="49CDDF88">
            <w:pPr>
              <w:spacing w:line="240" w:lineRule="auto"/>
              <w:textAlignment w:val="baseline"/>
              <w:rPr>
                <w:rFonts w:cs="Arial"/>
                <w:lang w:val="en-US"/>
              </w:rPr>
            </w:pPr>
            <w:r>
              <w:rPr>
                <w:rFonts w:cs="Arial"/>
                <w:lang w:val="en-US"/>
              </w:rPr>
              <w:t>Refers to a resource that has been designed to a CAF standard</w:t>
            </w:r>
          </w:p>
        </w:tc>
      </w:tr>
      <w:tr w:rsidRPr="00611CBC"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11927954" w14:textId="3A9D5D92">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3B454702" w14:textId="2FD2F687">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61E0E87E" w14:textId="77777777">
            <w:pPr>
              <w:spacing w:line="240" w:lineRule="auto"/>
              <w:jc w:val="both"/>
              <w:textAlignment w:val="baseline"/>
              <w:rPr>
                <w:rFonts w:cs="Arial"/>
                <w:b/>
                <w:bCs/>
                <w:lang w:val="en-US"/>
              </w:rPr>
            </w:pPr>
            <w:r>
              <w:rPr>
                <w:rFonts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0C441A9E" w14:textId="0B2DC7C2">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2F7A4894" w14:textId="77777777">
            <w:pPr>
              <w:spacing w:line="240" w:lineRule="auto"/>
              <w:jc w:val="both"/>
              <w:textAlignment w:val="baseline"/>
              <w:rPr>
                <w:rFonts w:cs="Arial"/>
                <w:b/>
                <w:bCs/>
                <w:lang w:val="en-US"/>
              </w:rPr>
            </w:pPr>
            <w:r>
              <w:rPr>
                <w:rFonts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013F23EC" w14:textId="570F0FB0">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7373CB37" w14:textId="1B53B7AD">
            <w:pPr>
              <w:spacing w:line="240" w:lineRule="auto"/>
              <w:jc w:val="both"/>
              <w:textAlignment w:val="baseline"/>
              <w:rPr>
                <w:rFonts w:cs="Arial"/>
                <w:b/>
                <w:bCs/>
                <w:lang w:val="en-US"/>
              </w:rPr>
            </w:pPr>
            <w:r>
              <w:rPr>
                <w:rFonts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3C47DF36" w14:textId="4E6F6572">
            <w:pPr>
              <w:spacing w:line="240" w:lineRule="auto"/>
              <w:textAlignment w:val="baseline"/>
              <w:rPr>
                <w:rFonts w:cs="Arial"/>
                <w:lang w:val="en-US"/>
              </w:rPr>
            </w:pPr>
            <w:r>
              <w:rPr>
                <w:rFonts w:cs="Arial"/>
                <w:lang w:val="en-US"/>
              </w:rPr>
              <w:t xml:space="preserve">Service Level Agreement as defined by Microsoft </w:t>
            </w:r>
          </w:p>
        </w:tc>
      </w:tr>
      <w:tr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RDefault="00AE7D6D" w14:paraId="7755A8B0" w14:textId="635E1F26">
            <w:pPr>
              <w:spacing w:line="240" w:lineRule="auto"/>
              <w:jc w:val="both"/>
              <w:textAlignment w:val="baseline"/>
              <w:rPr>
                <w:rFonts w:cs="Arial"/>
                <w:b/>
                <w:bCs/>
                <w:lang w:val="en-US"/>
              </w:rPr>
            </w:pPr>
            <w:r>
              <w:rPr>
                <w:rFonts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00AE7D6D" w:rsidRDefault="00AE7D6D" w14:paraId="2C3556C2" w14:textId="72F8D0B9">
            <w:pPr>
              <w:spacing w:line="240" w:lineRule="auto"/>
              <w:textAlignment w:val="baseline"/>
              <w:rPr>
                <w:rFonts w:cs="Arial"/>
                <w:lang w:val="en-US"/>
              </w:rPr>
            </w:pPr>
            <w:r>
              <w:rPr>
                <w:rFonts w:cs="Arial"/>
                <w:lang w:val="en-US"/>
              </w:rPr>
              <w:t>Department of Health</w:t>
            </w:r>
          </w:p>
        </w:tc>
      </w:tr>
      <w:tr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0B2BBB" w:rsidRDefault="000B2BBB" w14:paraId="6064B1EC" w14:textId="04CE1E61">
            <w:pPr>
              <w:spacing w:line="240" w:lineRule="auto"/>
              <w:jc w:val="both"/>
              <w:textAlignment w:val="baseline"/>
              <w:rPr>
                <w:rFonts w:cs="Arial"/>
                <w:b/>
                <w:bCs/>
                <w:lang w:val="en-US"/>
              </w:rPr>
            </w:pPr>
            <w:r>
              <w:rPr>
                <w:rFonts w:cs="Arial"/>
                <w:b/>
                <w:bCs/>
                <w:lang w:val="en-US"/>
              </w:rPr>
              <w:t>IaC</w:t>
            </w:r>
          </w:p>
        </w:tc>
        <w:tc>
          <w:tcPr>
            <w:tcW w:w="7229" w:type="dxa"/>
            <w:tcBorders>
              <w:top w:val="single" w:color="808080" w:sz="6" w:space="0"/>
              <w:left w:val="nil"/>
              <w:bottom w:val="single" w:color="808080" w:sz="6" w:space="0"/>
              <w:right w:val="nil"/>
            </w:tcBorders>
            <w:shd w:val="clear" w:color="auto" w:fill="auto"/>
            <w:vAlign w:val="center"/>
          </w:tcPr>
          <w:p w:rsidR="000B2BBB" w:rsidRDefault="000B2BBB" w14:paraId="120A96C9" w14:textId="73C910A3">
            <w:pPr>
              <w:spacing w:line="240" w:lineRule="auto"/>
              <w:textAlignment w:val="baseline"/>
              <w:rPr>
                <w:rFonts w:cs="Arial"/>
                <w:lang w:val="en-US"/>
              </w:rPr>
            </w:pPr>
            <w:r>
              <w:rPr>
                <w:rFonts w:cs="Arial"/>
                <w:lang w:val="en-US"/>
              </w:rPr>
              <w:t>Infrastructure as Code</w:t>
            </w:r>
          </w:p>
        </w:tc>
      </w:tr>
      <w:tr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245C45" w:rsidRDefault="00245C45" w14:paraId="456AFB2D" w14:textId="2D9C7977">
            <w:pPr>
              <w:spacing w:line="240" w:lineRule="auto"/>
              <w:jc w:val="both"/>
              <w:textAlignment w:val="baseline"/>
              <w:rPr>
                <w:rFonts w:cs="Arial"/>
                <w:b/>
                <w:bCs/>
                <w:lang w:val="en-US"/>
              </w:rPr>
            </w:pPr>
            <w:r>
              <w:rPr>
                <w:rFonts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00245C45" w:rsidP="00411A13" w:rsidRDefault="00245C45" w14:paraId="3432BFFF" w14:textId="6166EE62">
            <w:pPr>
              <w:keepNext/>
              <w:spacing w:line="240" w:lineRule="auto"/>
              <w:textAlignment w:val="baseline"/>
              <w:rPr>
                <w:rFonts w:cs="Arial"/>
                <w:lang w:val="en-US"/>
              </w:rPr>
            </w:pPr>
            <w:r>
              <w:rPr>
                <w:rFonts w:cs="Arial"/>
                <w:lang w:val="en-US"/>
              </w:rPr>
              <w:t>Network Security Groups</w:t>
            </w:r>
          </w:p>
        </w:tc>
      </w:tr>
      <w:tr w:rsidR="00967B02" w:rsidTr="00AE7D6D" w14:paraId="323CD483"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967B02" w:rsidRDefault="00967B02" w14:paraId="5EB6E11A" w14:textId="52585BDE">
            <w:pPr>
              <w:spacing w:line="240" w:lineRule="auto"/>
              <w:jc w:val="both"/>
              <w:textAlignment w:val="baseline"/>
              <w:rPr>
                <w:rFonts w:cs="Arial"/>
                <w:b/>
                <w:bCs/>
                <w:lang w:val="en-US"/>
              </w:rPr>
            </w:pPr>
            <w:r>
              <w:rPr>
                <w:rFonts w:cs="Arial"/>
                <w:b/>
                <w:bCs/>
                <w:lang w:val="en-US"/>
              </w:rPr>
              <w:t>LAW</w:t>
            </w:r>
          </w:p>
        </w:tc>
        <w:tc>
          <w:tcPr>
            <w:tcW w:w="7229" w:type="dxa"/>
            <w:tcBorders>
              <w:top w:val="single" w:color="808080" w:sz="6" w:space="0"/>
              <w:left w:val="nil"/>
              <w:bottom w:val="single" w:color="808080" w:sz="6" w:space="0"/>
              <w:right w:val="nil"/>
            </w:tcBorders>
            <w:shd w:val="clear" w:color="auto" w:fill="auto"/>
            <w:vAlign w:val="center"/>
          </w:tcPr>
          <w:p w:rsidR="00967B02" w:rsidP="00411A13" w:rsidRDefault="00967B02" w14:paraId="28E69DB4" w14:textId="6CC3F964">
            <w:pPr>
              <w:keepNext/>
              <w:spacing w:line="240" w:lineRule="auto"/>
              <w:textAlignment w:val="baseline"/>
              <w:rPr>
                <w:rFonts w:cs="Arial"/>
                <w:lang w:val="en-US"/>
              </w:rPr>
            </w:pPr>
            <w:r>
              <w:rPr>
                <w:rFonts w:cs="Arial"/>
                <w:lang w:val="en-US"/>
              </w:rPr>
              <w:t>Log Analytics Workspace</w:t>
            </w:r>
          </w:p>
        </w:tc>
      </w:tr>
    </w:tbl>
    <w:p w:rsidR="00A81BF5" w:rsidP="00411A13" w:rsidRDefault="00411A13" w14:paraId="6B9B26CE" w14:textId="00BC1F86">
      <w:pPr>
        <w:pStyle w:val="Caption"/>
        <w:jc w:val="center"/>
        <w:rPr>
          <w:rFonts w:cs="Arial"/>
          <w:highlight w:val="yellow"/>
        </w:rPr>
      </w:pPr>
      <w:r>
        <w:t xml:space="preserve">Table </w:t>
      </w:r>
      <w:r>
        <w:fldChar w:fldCharType="begin"/>
      </w:r>
      <w:r>
        <w:instrText> SEQ Table \* ARABIC </w:instrText>
      </w:r>
      <w:r>
        <w:fldChar w:fldCharType="separate"/>
      </w:r>
      <w:r w:rsidR="000141AB">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81BF5" w:rsidRDefault="007D289F" w14:paraId="281F4C5E" w14:textId="77777777">
      <w:pPr>
        <w:pStyle w:val="ListBullet2"/>
        <w:numPr>
          <w:ilvl w:val="0"/>
          <w:numId w:val="0"/>
        </w:numPr>
        <w:ind w:left="454" w:hanging="227"/>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A81BF5" w:rsidRDefault="007D289F" w14:paraId="313604F2" w14:textId="77777777">
      <w:pPr>
        <w:pStyle w:val="ListBullet2"/>
        <w:numPr>
          <w:ilvl w:val="0"/>
          <w:numId w:val="0"/>
        </w:numPr>
        <w:ind w:left="454" w:hanging="227"/>
        <w:rPr>
          <w:rFonts w:cs="Arial"/>
          <w:highlight w:val="yellow"/>
        </w:rPr>
      </w:pPr>
    </w:p>
    <w:p w:rsidR="007D289F" w:rsidP="00A81BF5" w:rsidRDefault="007D289F" w14:paraId="6D1A26A9" w14:textId="77777777">
      <w:pPr>
        <w:pStyle w:val="ListBullet2"/>
        <w:numPr>
          <w:ilvl w:val="0"/>
          <w:numId w:val="0"/>
        </w:numPr>
        <w:ind w:left="454" w:hanging="227"/>
        <w:rPr>
          <w:rFonts w:cs="Arial"/>
          <w:highlight w:val="yellow"/>
        </w:rPr>
      </w:pPr>
    </w:p>
    <w:p w:rsidR="007D289F" w:rsidP="00A81BF5" w:rsidRDefault="007D289F" w14:paraId="270065AA" w14:textId="77777777">
      <w:pPr>
        <w:pStyle w:val="ListBullet2"/>
        <w:numPr>
          <w:ilvl w:val="0"/>
          <w:numId w:val="0"/>
        </w:numPr>
        <w:ind w:left="454" w:hanging="227"/>
        <w:rPr>
          <w:rFonts w:cs="Arial"/>
          <w:highlight w:val="yellow"/>
        </w:rPr>
      </w:pPr>
    </w:p>
    <w:p w:rsidR="007D289F" w:rsidP="00A81BF5" w:rsidRDefault="007D289F" w14:paraId="3531361C" w14:textId="77777777">
      <w:pPr>
        <w:pStyle w:val="ListBullet2"/>
        <w:numPr>
          <w:ilvl w:val="0"/>
          <w:numId w:val="0"/>
        </w:numPr>
        <w:ind w:left="454" w:hanging="227"/>
        <w:rPr>
          <w:rFonts w:cs="Arial"/>
          <w:highlight w:val="yellow"/>
        </w:rPr>
      </w:pPr>
    </w:p>
    <w:p w:rsidR="007D289F" w:rsidP="00A81BF5" w:rsidRDefault="007D289F" w14:paraId="11A98BBA" w14:textId="77777777">
      <w:pPr>
        <w:pStyle w:val="ListBullet2"/>
        <w:numPr>
          <w:ilvl w:val="0"/>
          <w:numId w:val="0"/>
        </w:numPr>
        <w:ind w:left="454" w:hanging="227"/>
        <w:rPr>
          <w:rFonts w:cs="Arial"/>
          <w:highlight w:val="yellow"/>
        </w:rPr>
      </w:pPr>
    </w:p>
    <w:p w:rsidRPr="00633B64" w:rsidR="00001628" w:rsidP="00001628" w:rsidRDefault="00001628" w14:paraId="6CF37BA3" w14:textId="397D42A3">
      <w:pPr>
        <w:pStyle w:val="Heading1"/>
        <w:rPr>
          <w:rFonts w:cs="Arial"/>
        </w:rPr>
      </w:pPr>
      <w:bookmarkStart w:name="_Toc157090432" w:id="4"/>
      <w:r w:rsidRPr="00633B64">
        <w:rPr>
          <w:rFonts w:cs="Arial"/>
        </w:rPr>
        <w:t>Executive Summar</w:t>
      </w:r>
      <w:r w:rsidR="00006C3A">
        <w:rPr>
          <w:rFonts w:cs="Arial"/>
        </w:rPr>
        <w:t>y</w:t>
      </w:r>
      <w:bookmarkEnd w:id="4"/>
    </w:p>
    <w:p w:rsidR="00245C45" w:rsidP="00F043C7" w:rsidRDefault="00245C45" w14:paraId="1CA06FD5" w14:textId="15B76C49">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9B660B">
            <w:rPr>
              <w:rFonts w:cs="Arial"/>
            </w:rPr>
            <w:t>Log Analytics Workspace</w:t>
          </w:r>
        </w:sdtContent>
      </w:sdt>
      <w:r w:rsidRPr="00245C45">
        <w:rPr>
          <w:rFonts w:cs="Arial"/>
        </w:rPr>
        <w:t xml:space="preserve"> Core Service. This service has been assessed against the five pillars of WAF as well as the Department of Health Security Controls. </w:t>
      </w:r>
    </w:p>
    <w:p w:rsidR="00245C45" w:rsidP="00F043C7" w:rsidRDefault="00245C45" w14:paraId="19A2BE95" w14:textId="77777777">
      <w:pPr>
        <w:jc w:val="both"/>
        <w:rPr>
          <w:rFonts w:cs="Arial"/>
        </w:rPr>
      </w:pPr>
    </w:p>
    <w:p w:rsidR="00245C45" w:rsidP="00245C45" w:rsidRDefault="00245C45" w14:paraId="23050421" w14:textId="47E345D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rsidR="00245C45" w:rsidP="00245C45" w:rsidRDefault="00245C45" w14:paraId="577A22AF" w14:textId="77777777">
      <w:pPr>
        <w:jc w:val="both"/>
        <w:rPr>
          <w:rFonts w:cs="Arial"/>
        </w:rPr>
      </w:pPr>
    </w:p>
    <w:p w:rsidR="00245C45" w:rsidP="00245C45" w:rsidRDefault="00245C45" w14:paraId="287E75DD" w14:textId="4F6AC771">
      <w:pPr>
        <w:jc w:val="both"/>
        <w:rPr>
          <w:rFonts w:cs="Arial"/>
        </w:rPr>
      </w:pPr>
      <w:r w:rsidRPr="0097623C">
        <w:rPr>
          <w:rFonts w:cs="Arial"/>
        </w:rPr>
        <w:t xml:space="preserve">Of the five WAF Pillars, it was found </w:t>
      </w:r>
      <w:r w:rsidRPr="0097623C" w:rsidR="003E6D10">
        <w:rPr>
          <w:rFonts w:cs="Arial"/>
        </w:rPr>
        <w:t xml:space="preserve">that </w:t>
      </w:r>
      <w:r w:rsidRPr="0097623C" w:rsidR="0097623C">
        <w:rPr>
          <w:rFonts w:cs="Arial"/>
        </w:rPr>
        <w:t xml:space="preserve">Cost Optimisation and Security </w:t>
      </w:r>
      <w:r w:rsidRPr="0097623C" w:rsidR="003E6D10">
        <w:rPr>
          <w:rFonts w:cs="Arial"/>
        </w:rPr>
        <w:t>were relevant</w:t>
      </w:r>
      <w:r w:rsidRPr="009D7B61">
        <w:rPr>
          <w:rFonts w:cs="Arial"/>
        </w:rPr>
        <w:t>.</w:t>
      </w:r>
    </w:p>
    <w:p w:rsidR="00245C45" w:rsidP="00245C45" w:rsidRDefault="00245C45" w14:paraId="73D76A36" w14:textId="77777777">
      <w:pPr>
        <w:jc w:val="both"/>
        <w:rPr>
          <w:rFonts w:cs="Arial"/>
        </w:rPr>
      </w:pPr>
    </w:p>
    <w:p w:rsidRPr="008E6E24" w:rsidR="00245C45" w:rsidP="00245C45" w:rsidRDefault="00245C45" w14:paraId="3E5413EA" w14:textId="3E2DFCF0">
      <w:pPr>
        <w:pStyle w:val="BodyText"/>
        <w:jc w:val="both"/>
      </w:pPr>
      <w:r w:rsidRPr="008E6E24">
        <w:t>For</w:t>
      </w:r>
      <w:r w:rsidRPr="008E6E24" w:rsidR="003E6D10">
        <w:t xml:space="preserve"> this service</w:t>
      </w:r>
      <w:r w:rsidRPr="008E6E24">
        <w:t xml:space="preserve"> the main baseline configurations include:</w:t>
      </w:r>
    </w:p>
    <w:p w:rsidRPr="008E6E24" w:rsidR="00245C45" w:rsidP="00245C45" w:rsidRDefault="0097623C" w14:paraId="3A8CC7D8" w14:textId="021D5735">
      <w:pPr>
        <w:pStyle w:val="BodyText"/>
        <w:numPr>
          <w:ilvl w:val="0"/>
          <w:numId w:val="31"/>
        </w:numPr>
        <w:jc w:val="both"/>
      </w:pPr>
      <w:r w:rsidRPr="008E6E24">
        <w:t>One primary Log Analytics Workspace will be created in each region and hosted in the AV ALZ Management subscription.</w:t>
      </w:r>
    </w:p>
    <w:p w:rsidRPr="008E6E24" w:rsidR="003E6D10" w:rsidP="003E6D10" w:rsidRDefault="0097623C" w14:paraId="03868C43" w14:textId="09DD548F">
      <w:pPr>
        <w:pStyle w:val="BodyText"/>
        <w:numPr>
          <w:ilvl w:val="0"/>
          <w:numId w:val="31"/>
        </w:numPr>
        <w:jc w:val="both"/>
      </w:pPr>
      <w:r w:rsidRPr="008E6E24">
        <w:t>A Sentinel specific Log Analytics Workspace will be created under the AV ALZ Security subscription.</w:t>
      </w:r>
    </w:p>
    <w:p w:rsidRPr="008E6E24" w:rsidR="003008C9" w:rsidP="00DB4CC5" w:rsidRDefault="0097623C" w14:paraId="42092A36" w14:textId="66677C77">
      <w:pPr>
        <w:pStyle w:val="BodyText"/>
        <w:numPr>
          <w:ilvl w:val="0"/>
          <w:numId w:val="31"/>
        </w:numPr>
        <w:jc w:val="both"/>
      </w:pPr>
      <w:r w:rsidRPr="008E6E24">
        <w:t xml:space="preserve">All resources within a region that require log collection will send their logs to the primary Log Analytics Workspace for that region. </w:t>
      </w:r>
    </w:p>
    <w:p w:rsidRPr="008E6E24" w:rsidR="008E6E24" w:rsidP="00DB4CC5" w:rsidRDefault="008E6E24" w14:paraId="298FB2B4" w14:textId="7BB977FA">
      <w:pPr>
        <w:pStyle w:val="BodyText"/>
        <w:numPr>
          <w:ilvl w:val="0"/>
          <w:numId w:val="31"/>
        </w:numPr>
        <w:jc w:val="both"/>
      </w:pPr>
      <w:r w:rsidRPr="008E6E24">
        <w:t>The Log Retention period will be set to 90 days.</w:t>
      </w:r>
    </w:p>
    <w:p w:rsidRPr="008E6E24" w:rsidR="00DB4CC5" w:rsidP="00DB4CC5" w:rsidRDefault="00DB4CC5" w14:paraId="57909577" w14:textId="58EC31C1">
      <w:pPr>
        <w:pStyle w:val="BodyText"/>
        <w:numPr>
          <w:ilvl w:val="0"/>
          <w:numId w:val="31"/>
        </w:numPr>
        <w:jc w:val="both"/>
      </w:pPr>
      <w:r w:rsidRPr="008E6E24">
        <w:t xml:space="preserve">If an Application Landing Zone requires its own Log Analytics Workspace it may be created in accordance with the Configuration Templates provided in this document. </w:t>
      </w:r>
    </w:p>
    <w:p w:rsidRPr="00633B64" w:rsidR="008211CA" w:rsidP="008211CA" w:rsidRDefault="008211CA" w14:paraId="34673AF0" w14:textId="4E80902F">
      <w:pPr>
        <w:pStyle w:val="Heading1"/>
        <w:rPr>
          <w:rFonts w:cs="Arial"/>
        </w:rPr>
      </w:pPr>
      <w:bookmarkStart w:name="_Toc157090433" w:id="5"/>
      <w:r>
        <w:rPr>
          <w:rFonts w:cs="Arial"/>
        </w:rPr>
        <w:t>Resource Cost</w:t>
      </w:r>
      <w:bookmarkEnd w:id="5"/>
    </w:p>
    <w:p w:rsidR="008211CA" w:rsidP="001C26DD" w:rsidRDefault="008D07FF" w14:paraId="1F164524" w14:textId="157ABF3A">
      <w:pPr>
        <w:pStyle w:val="BodyText"/>
      </w:pPr>
      <w:r>
        <w:t>The base costing for Log Analytics Workspace</w:t>
      </w:r>
      <w:r w:rsidR="00014792">
        <w:t xml:space="preserve"> is</w:t>
      </w:r>
      <w:r w:rsidR="00867A9A">
        <w:t xml:space="preserve"> shown below. The pricing varies based on the </w:t>
      </w:r>
      <w:r w:rsidR="000141AB">
        <w:t>number</w:t>
      </w:r>
      <w:r w:rsidR="00867A9A">
        <w:t xml:space="preserve"> of logs ingested and the retention periods set</w:t>
      </w:r>
      <w:r w:rsidR="000141AB">
        <w:rPr>
          <w:rStyle w:val="FootnoteReference"/>
        </w:rPr>
        <w:footnoteReference w:id="3"/>
      </w:r>
      <w:r w:rsidR="00867A9A">
        <w:t xml:space="preserve">. </w:t>
      </w:r>
      <w:r>
        <w:t xml:space="preserve"> </w:t>
      </w:r>
    </w:p>
    <w:tbl>
      <w:tblPr>
        <w:tblStyle w:val="AVTable11"/>
        <w:tblW w:w="10226" w:type="dxa"/>
        <w:tblLook w:val="04A0" w:firstRow="1" w:lastRow="0" w:firstColumn="1" w:lastColumn="0" w:noHBand="0" w:noVBand="1"/>
      </w:tblPr>
      <w:tblGrid>
        <w:gridCol w:w="995"/>
        <w:gridCol w:w="3419"/>
        <w:gridCol w:w="1614"/>
        <w:gridCol w:w="1902"/>
        <w:gridCol w:w="1228"/>
        <w:gridCol w:w="1068"/>
      </w:tblGrid>
      <w:tr w:rsidRPr="000141AB" w:rsidR="000141AB" w:rsidTr="000141AB" w14:paraId="5833CE08" w14:textId="77777777">
        <w:trPr>
          <w:cnfStyle w:val="100000000000" w:firstRow="1" w:lastRow="0" w:firstColumn="0" w:lastColumn="0" w:oddVBand="0" w:evenVBand="0" w:oddHBand="0" w:evenHBand="0" w:firstRowFirstColumn="0" w:firstRowLastColumn="0" w:lastRowFirstColumn="0" w:lastRowLastColumn="0"/>
        </w:trPr>
        <w:tc>
          <w:tcPr>
            <w:tcW w:w="881" w:type="dxa"/>
            <w:hideMark/>
          </w:tcPr>
          <w:p w:rsidRPr="000141AB" w:rsidR="000141AB" w:rsidP="000141AB" w:rsidRDefault="000141AB" w14:paraId="085F1A00" w14:textId="77777777">
            <w:pPr>
              <w:spacing w:after="360" w:line="240" w:lineRule="auto"/>
              <w:jc w:val="center"/>
              <w:rPr>
                <w:rFonts w:cs="Arial"/>
                <w:bCs/>
                <w:color w:val="auto"/>
              </w:rPr>
            </w:pPr>
            <w:r w:rsidRPr="000141AB">
              <w:rPr>
                <w:rFonts w:cs="Arial"/>
                <w:bCs/>
                <w:color w:val="auto"/>
              </w:rPr>
              <w:t>Plan</w:t>
            </w:r>
          </w:p>
        </w:tc>
        <w:tc>
          <w:tcPr>
            <w:tcW w:w="3419" w:type="dxa"/>
            <w:hideMark/>
          </w:tcPr>
          <w:p w:rsidRPr="000141AB" w:rsidR="000141AB" w:rsidP="000141AB" w:rsidRDefault="000141AB" w14:paraId="43753343" w14:textId="77777777">
            <w:pPr>
              <w:spacing w:after="360" w:line="240" w:lineRule="auto"/>
              <w:jc w:val="center"/>
              <w:rPr>
                <w:rFonts w:cs="Arial"/>
                <w:bCs/>
                <w:color w:val="auto"/>
              </w:rPr>
            </w:pPr>
            <w:r w:rsidRPr="000141AB">
              <w:rPr>
                <w:rFonts w:cs="Arial"/>
                <w:bCs/>
                <w:color w:val="auto"/>
              </w:rPr>
              <w:t>Capabilities</w:t>
            </w:r>
          </w:p>
        </w:tc>
        <w:tc>
          <w:tcPr>
            <w:tcW w:w="1796" w:type="dxa"/>
            <w:hideMark/>
          </w:tcPr>
          <w:p w:rsidRPr="000141AB" w:rsidR="000141AB" w:rsidP="000141AB" w:rsidRDefault="000141AB" w14:paraId="023C7333" w14:textId="77777777">
            <w:pPr>
              <w:spacing w:after="360" w:line="240" w:lineRule="auto"/>
              <w:jc w:val="center"/>
              <w:rPr>
                <w:rFonts w:cs="Arial"/>
                <w:bCs/>
                <w:color w:val="auto"/>
              </w:rPr>
            </w:pPr>
            <w:r w:rsidRPr="000141AB">
              <w:rPr>
                <w:rFonts w:cs="Arial"/>
                <w:bCs/>
                <w:color w:val="auto"/>
              </w:rPr>
              <w:t>Pricing Tier</w:t>
            </w:r>
          </w:p>
        </w:tc>
        <w:tc>
          <w:tcPr>
            <w:tcW w:w="1923" w:type="dxa"/>
            <w:hideMark/>
          </w:tcPr>
          <w:p w:rsidRPr="000141AB" w:rsidR="000141AB" w:rsidP="000141AB" w:rsidRDefault="000141AB" w14:paraId="641C278B" w14:textId="12EF6F9B">
            <w:pPr>
              <w:spacing w:after="360" w:line="240" w:lineRule="auto"/>
              <w:jc w:val="center"/>
              <w:rPr>
                <w:rFonts w:cs="Arial"/>
                <w:bCs/>
                <w:color w:val="auto"/>
              </w:rPr>
            </w:pPr>
            <w:r w:rsidRPr="000141AB">
              <w:rPr>
                <w:rFonts w:cs="Arial"/>
                <w:bCs/>
                <w:color w:val="auto"/>
              </w:rPr>
              <w:t>Price</w:t>
            </w:r>
          </w:p>
        </w:tc>
        <w:tc>
          <w:tcPr>
            <w:tcW w:w="1113" w:type="dxa"/>
            <w:hideMark/>
          </w:tcPr>
          <w:p w:rsidRPr="000141AB" w:rsidR="000141AB" w:rsidP="000141AB" w:rsidRDefault="000141AB" w14:paraId="2725EC4C" w14:textId="77777777">
            <w:pPr>
              <w:spacing w:after="360" w:line="240" w:lineRule="auto"/>
              <w:jc w:val="center"/>
              <w:rPr>
                <w:rFonts w:cs="Arial"/>
                <w:bCs/>
                <w:color w:val="auto"/>
              </w:rPr>
            </w:pPr>
            <w:r w:rsidRPr="000141AB">
              <w:rPr>
                <w:rFonts w:cs="Arial"/>
                <w:bCs/>
                <w:color w:val="auto"/>
              </w:rPr>
              <w:t>Effective Per GB Price</w:t>
            </w:r>
            <w:r w:rsidRPr="000141AB">
              <w:rPr>
                <w:rFonts w:cs="Arial"/>
                <w:bCs/>
                <w:color w:val="auto"/>
                <w:vertAlign w:val="superscript"/>
              </w:rPr>
              <w:t>1</w:t>
            </w:r>
          </w:p>
        </w:tc>
        <w:tc>
          <w:tcPr>
            <w:tcW w:w="1094" w:type="dxa"/>
            <w:hideMark/>
          </w:tcPr>
          <w:p w:rsidRPr="000141AB" w:rsidR="000141AB" w:rsidP="000141AB" w:rsidRDefault="000141AB" w14:paraId="74E6E032" w14:textId="77777777">
            <w:pPr>
              <w:spacing w:after="360" w:line="240" w:lineRule="auto"/>
              <w:jc w:val="center"/>
              <w:rPr>
                <w:rFonts w:cs="Arial"/>
                <w:bCs/>
                <w:color w:val="auto"/>
              </w:rPr>
            </w:pPr>
            <w:r w:rsidRPr="000141AB">
              <w:rPr>
                <w:rFonts w:cs="Arial"/>
                <w:bCs/>
                <w:color w:val="auto"/>
              </w:rPr>
              <w:t>Savings Over Pay-As-You-Go</w:t>
            </w:r>
          </w:p>
        </w:tc>
      </w:tr>
      <w:tr w:rsidRPr="000141AB" w:rsidR="000141AB" w:rsidTr="000141AB" w14:paraId="5D347EBB" w14:textId="77777777">
        <w:tc>
          <w:tcPr>
            <w:tcW w:w="881" w:type="dxa"/>
            <w:hideMark/>
          </w:tcPr>
          <w:p w:rsidRPr="000141AB" w:rsidR="000141AB" w:rsidP="000141AB" w:rsidRDefault="000141AB" w14:paraId="5673EA16" w14:textId="77777777">
            <w:pPr>
              <w:spacing w:line="240" w:lineRule="auto"/>
              <w:rPr>
                <w:rFonts w:cs="Arial"/>
                <w:color w:val="auto"/>
              </w:rPr>
            </w:pPr>
            <w:r w:rsidRPr="000141AB">
              <w:rPr>
                <w:rFonts w:cs="Arial"/>
                <w:color w:val="auto"/>
              </w:rPr>
              <w:t>Basic Logs</w:t>
            </w:r>
          </w:p>
        </w:tc>
        <w:tc>
          <w:tcPr>
            <w:tcW w:w="3419" w:type="dxa"/>
            <w:hideMark/>
          </w:tcPr>
          <w:p w:rsidRPr="000141AB" w:rsidR="000141AB" w:rsidP="000141AB" w:rsidRDefault="000141AB" w14:paraId="37E83E63" w14:textId="77777777">
            <w:pPr>
              <w:numPr>
                <w:ilvl w:val="0"/>
                <w:numId w:val="34"/>
              </w:numPr>
              <w:spacing w:before="100" w:beforeAutospacing="1" w:after="180" w:line="240" w:lineRule="auto"/>
              <w:rPr>
                <w:rFonts w:cs="Arial"/>
                <w:color w:val="auto"/>
              </w:rPr>
            </w:pPr>
            <w:r w:rsidRPr="000141AB">
              <w:rPr>
                <w:rFonts w:cs="Arial"/>
                <w:color w:val="auto"/>
              </w:rPr>
              <w:t>8 days included interactive retention</w:t>
            </w:r>
          </w:p>
          <w:p w:rsidRPr="000141AB" w:rsidR="000141AB" w:rsidP="000141AB" w:rsidRDefault="000141AB" w14:paraId="63AE211F" w14:textId="77777777">
            <w:pPr>
              <w:numPr>
                <w:ilvl w:val="0"/>
                <w:numId w:val="34"/>
              </w:numPr>
              <w:spacing w:before="100" w:beforeAutospacing="1" w:after="180" w:line="240" w:lineRule="auto"/>
              <w:rPr>
                <w:rFonts w:cs="Arial"/>
                <w:color w:val="auto"/>
              </w:rPr>
            </w:pPr>
            <w:r w:rsidRPr="000141AB">
              <w:rPr>
                <w:rFonts w:cs="Arial"/>
                <w:color w:val="auto"/>
              </w:rPr>
              <w:t>Log search</w:t>
            </w:r>
            <w:r w:rsidRPr="000141AB">
              <w:rPr>
                <w:rFonts w:cs="Arial"/>
                <w:color w:val="auto"/>
                <w:vertAlign w:val="superscript"/>
              </w:rPr>
              <w:t>2</w:t>
            </w:r>
            <w:r w:rsidRPr="000141AB">
              <w:rPr>
                <w:rFonts w:cs="Arial"/>
                <w:color w:val="auto"/>
              </w:rPr>
              <w:t> queries</w:t>
            </w:r>
          </w:p>
          <w:p w:rsidRPr="000141AB" w:rsidR="000141AB" w:rsidP="000141AB" w:rsidRDefault="000141AB" w14:paraId="2A399534" w14:textId="77777777">
            <w:pPr>
              <w:numPr>
                <w:ilvl w:val="0"/>
                <w:numId w:val="34"/>
              </w:numPr>
              <w:spacing w:before="100" w:beforeAutospacing="1" w:line="240" w:lineRule="auto"/>
              <w:rPr>
                <w:rFonts w:cs="Arial"/>
                <w:color w:val="auto"/>
              </w:rPr>
            </w:pPr>
            <w:r w:rsidRPr="000141AB">
              <w:rPr>
                <w:rFonts w:cs="Arial"/>
                <w:color w:val="auto"/>
              </w:rPr>
              <w:t>Up to 12 years data archive</w:t>
            </w:r>
            <w:r w:rsidRPr="000141AB">
              <w:rPr>
                <w:rFonts w:cs="Arial"/>
                <w:color w:val="auto"/>
                <w:vertAlign w:val="superscript"/>
              </w:rPr>
              <w:t>2</w:t>
            </w:r>
          </w:p>
        </w:tc>
        <w:tc>
          <w:tcPr>
            <w:tcW w:w="1796" w:type="dxa"/>
            <w:hideMark/>
          </w:tcPr>
          <w:p w:rsidRPr="000141AB" w:rsidR="000141AB" w:rsidP="000141AB" w:rsidRDefault="000141AB" w14:paraId="7E1DB7CA" w14:textId="77777777">
            <w:pPr>
              <w:spacing w:line="240" w:lineRule="auto"/>
              <w:rPr>
                <w:rFonts w:cs="Arial"/>
                <w:color w:val="auto"/>
              </w:rPr>
            </w:pPr>
            <w:r w:rsidRPr="000141AB">
              <w:rPr>
                <w:rFonts w:cs="Arial"/>
                <w:color w:val="auto"/>
              </w:rPr>
              <w:t>Pay-As-You-Go</w:t>
            </w:r>
          </w:p>
        </w:tc>
        <w:tc>
          <w:tcPr>
            <w:tcW w:w="1923" w:type="dxa"/>
            <w:hideMark/>
          </w:tcPr>
          <w:p w:rsidRPr="000141AB" w:rsidR="000141AB" w:rsidP="000141AB" w:rsidRDefault="000141AB" w14:paraId="5520C0A9" w14:textId="65130B79">
            <w:pPr>
              <w:spacing w:line="240" w:lineRule="auto"/>
              <w:rPr>
                <w:rFonts w:cs="Arial"/>
                <w:color w:val="auto"/>
              </w:rPr>
            </w:pPr>
            <w:r w:rsidRPr="000141AB">
              <w:rPr>
                <w:rFonts w:cs="Arial"/>
                <w:b/>
                <w:bCs/>
                <w:color w:val="auto"/>
              </w:rPr>
              <w:t>$1.022</w:t>
            </w:r>
            <w:r w:rsidRPr="000141AB">
              <w:rPr>
                <w:rFonts w:cs="Arial"/>
                <w:color w:val="auto"/>
              </w:rPr>
              <w:t> </w:t>
            </w:r>
            <w:r>
              <w:rPr>
                <w:rFonts w:cs="Arial"/>
                <w:color w:val="auto"/>
              </w:rPr>
              <w:t>/</w:t>
            </w:r>
            <w:r w:rsidRPr="000141AB">
              <w:rPr>
                <w:rFonts w:cs="Arial"/>
                <w:color w:val="auto"/>
              </w:rPr>
              <w:t>GB</w:t>
            </w:r>
          </w:p>
        </w:tc>
        <w:tc>
          <w:tcPr>
            <w:tcW w:w="1113" w:type="dxa"/>
            <w:hideMark/>
          </w:tcPr>
          <w:p w:rsidRPr="000141AB" w:rsidR="000141AB" w:rsidP="000141AB" w:rsidRDefault="000141AB" w14:paraId="648BEC08" w14:textId="28964D9B">
            <w:pPr>
              <w:spacing w:line="240" w:lineRule="auto"/>
              <w:rPr>
                <w:rFonts w:cs="Arial"/>
                <w:color w:val="auto"/>
              </w:rPr>
            </w:pPr>
            <w:r w:rsidRPr="000141AB">
              <w:rPr>
                <w:rFonts w:cs="Arial"/>
                <w:b/>
                <w:bCs/>
                <w:color w:val="auto"/>
              </w:rPr>
              <w:t>$1.022</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66EAEA89" w14:textId="77777777">
            <w:pPr>
              <w:spacing w:line="240" w:lineRule="auto"/>
              <w:jc w:val="center"/>
              <w:rPr>
                <w:rFonts w:cs="Arial"/>
                <w:color w:val="auto"/>
              </w:rPr>
            </w:pPr>
            <w:r w:rsidRPr="000141AB">
              <w:rPr>
                <w:rFonts w:cs="Arial"/>
                <w:color w:val="auto"/>
              </w:rPr>
              <w:t>N/A</w:t>
            </w:r>
          </w:p>
        </w:tc>
      </w:tr>
      <w:tr w:rsidRPr="000141AB" w:rsidR="000141AB" w:rsidTr="000141AB" w14:paraId="6472B576" w14:textId="77777777">
        <w:tc>
          <w:tcPr>
            <w:tcW w:w="881" w:type="dxa"/>
            <w:vMerge w:val="restart"/>
            <w:hideMark/>
          </w:tcPr>
          <w:p w:rsidRPr="000141AB" w:rsidR="000141AB" w:rsidP="000141AB" w:rsidRDefault="000141AB" w14:paraId="41EEBA87" w14:textId="77777777">
            <w:pPr>
              <w:spacing w:line="240" w:lineRule="auto"/>
              <w:rPr>
                <w:rFonts w:cs="Arial"/>
                <w:color w:val="auto"/>
              </w:rPr>
            </w:pPr>
            <w:r w:rsidRPr="000141AB">
              <w:rPr>
                <w:rFonts w:cs="Arial"/>
                <w:color w:val="auto"/>
              </w:rPr>
              <w:t>Analytics Logs</w:t>
            </w:r>
          </w:p>
        </w:tc>
        <w:tc>
          <w:tcPr>
            <w:tcW w:w="3419" w:type="dxa"/>
            <w:vMerge w:val="restart"/>
            <w:hideMark/>
          </w:tcPr>
          <w:p w:rsidRPr="000141AB" w:rsidR="000141AB" w:rsidP="000141AB" w:rsidRDefault="000141AB" w14:paraId="7E76AAC6" w14:textId="77777777">
            <w:pPr>
              <w:numPr>
                <w:ilvl w:val="0"/>
                <w:numId w:val="35"/>
              </w:numPr>
              <w:spacing w:before="100" w:beforeAutospacing="1" w:after="180" w:line="240" w:lineRule="auto"/>
              <w:rPr>
                <w:rFonts w:cs="Arial"/>
                <w:color w:val="auto"/>
              </w:rPr>
            </w:pPr>
            <w:r w:rsidRPr="000141AB">
              <w:rPr>
                <w:rFonts w:cs="Arial"/>
                <w:color w:val="auto"/>
              </w:rPr>
              <w:t>30/90</w:t>
            </w:r>
            <w:r w:rsidRPr="000141AB">
              <w:rPr>
                <w:rFonts w:cs="Arial"/>
                <w:color w:val="auto"/>
                <w:vertAlign w:val="superscript"/>
              </w:rPr>
              <w:t>*</w:t>
            </w:r>
            <w:r w:rsidRPr="000141AB">
              <w:rPr>
                <w:rFonts w:cs="Arial"/>
                <w:color w:val="auto"/>
              </w:rPr>
              <w:t> days included interactive retention</w:t>
            </w:r>
          </w:p>
          <w:p w:rsidRPr="000141AB" w:rsidR="000141AB" w:rsidP="000141AB" w:rsidRDefault="000141AB" w14:paraId="2982770D" w14:textId="77777777">
            <w:pPr>
              <w:numPr>
                <w:ilvl w:val="0"/>
                <w:numId w:val="35"/>
              </w:numPr>
              <w:spacing w:before="100" w:beforeAutospacing="1" w:after="180" w:line="240" w:lineRule="auto"/>
              <w:rPr>
                <w:rFonts w:cs="Arial"/>
                <w:color w:val="auto"/>
              </w:rPr>
            </w:pPr>
            <w:r w:rsidRPr="000141AB">
              <w:rPr>
                <w:rFonts w:cs="Arial"/>
                <w:color w:val="auto"/>
              </w:rPr>
              <w:t>All queries supported enabling powerful analytics</w:t>
            </w:r>
          </w:p>
          <w:p w:rsidRPr="000141AB" w:rsidR="000141AB" w:rsidP="000141AB" w:rsidRDefault="000141AB" w14:paraId="0D1DF0C9" w14:textId="77777777">
            <w:pPr>
              <w:numPr>
                <w:ilvl w:val="0"/>
                <w:numId w:val="35"/>
              </w:numPr>
              <w:spacing w:before="100" w:beforeAutospacing="1" w:after="180" w:line="240" w:lineRule="auto"/>
              <w:rPr>
                <w:rFonts w:cs="Arial"/>
                <w:color w:val="auto"/>
              </w:rPr>
            </w:pPr>
            <w:r w:rsidRPr="000141AB">
              <w:rPr>
                <w:rFonts w:cs="Arial"/>
                <w:color w:val="auto"/>
              </w:rPr>
              <w:t>Out-of-the-box monitoring insights built on analytic logs</w:t>
            </w:r>
          </w:p>
          <w:p w:rsidRPr="000141AB" w:rsidR="000141AB" w:rsidP="000141AB" w:rsidRDefault="000141AB" w14:paraId="50AB184C" w14:textId="77777777">
            <w:pPr>
              <w:numPr>
                <w:ilvl w:val="0"/>
                <w:numId w:val="35"/>
              </w:numPr>
              <w:spacing w:before="100" w:beforeAutospacing="1" w:after="180" w:line="240" w:lineRule="auto"/>
              <w:rPr>
                <w:rFonts w:cs="Arial"/>
                <w:color w:val="auto"/>
              </w:rPr>
            </w:pPr>
            <w:r w:rsidRPr="000141AB">
              <w:rPr>
                <w:rFonts w:cs="Arial"/>
                <w:color w:val="auto"/>
              </w:rPr>
              <w:t>Supports workbooks and dashboards</w:t>
            </w:r>
          </w:p>
          <w:p w:rsidRPr="000141AB" w:rsidR="000141AB" w:rsidP="000141AB" w:rsidRDefault="000141AB" w14:paraId="4ED00E2D" w14:textId="77777777">
            <w:pPr>
              <w:numPr>
                <w:ilvl w:val="0"/>
                <w:numId w:val="35"/>
              </w:numPr>
              <w:spacing w:before="100" w:beforeAutospacing="1" w:after="180" w:line="240" w:lineRule="auto"/>
              <w:rPr>
                <w:rFonts w:cs="Arial"/>
                <w:color w:val="auto"/>
              </w:rPr>
            </w:pPr>
            <w:r w:rsidRPr="000141AB">
              <w:rPr>
                <w:rFonts w:cs="Arial"/>
                <w:color w:val="auto"/>
              </w:rPr>
              <w:t>Up to 2 years interactive retention</w:t>
            </w:r>
            <w:r w:rsidRPr="000141AB">
              <w:rPr>
                <w:rFonts w:cs="Arial"/>
                <w:color w:val="auto"/>
                <w:vertAlign w:val="superscript"/>
              </w:rPr>
              <w:t>2</w:t>
            </w:r>
          </w:p>
          <w:p w:rsidRPr="000141AB" w:rsidR="000141AB" w:rsidP="000141AB" w:rsidRDefault="000141AB" w14:paraId="1EBCA3C6" w14:textId="77777777">
            <w:pPr>
              <w:numPr>
                <w:ilvl w:val="0"/>
                <w:numId w:val="35"/>
              </w:numPr>
              <w:spacing w:before="100" w:beforeAutospacing="1" w:after="180" w:line="240" w:lineRule="auto"/>
              <w:rPr>
                <w:rFonts w:cs="Arial"/>
                <w:color w:val="auto"/>
              </w:rPr>
            </w:pPr>
            <w:r w:rsidRPr="000141AB">
              <w:rPr>
                <w:rFonts w:cs="Arial"/>
                <w:color w:val="auto"/>
              </w:rPr>
              <w:t>Up to 12 years archive</w:t>
            </w:r>
            <w:r w:rsidRPr="000141AB">
              <w:rPr>
                <w:rFonts w:cs="Arial"/>
                <w:color w:val="auto"/>
                <w:vertAlign w:val="superscript"/>
              </w:rPr>
              <w:t>2</w:t>
            </w:r>
          </w:p>
          <w:p w:rsidRPr="000141AB" w:rsidR="000141AB" w:rsidP="000141AB" w:rsidRDefault="000141AB" w14:paraId="45E3AB16" w14:textId="77777777">
            <w:pPr>
              <w:numPr>
                <w:ilvl w:val="0"/>
                <w:numId w:val="35"/>
              </w:numPr>
              <w:spacing w:before="100" w:beforeAutospacing="1" w:line="240" w:lineRule="auto"/>
              <w:rPr>
                <w:rFonts w:cs="Arial"/>
                <w:color w:val="auto"/>
              </w:rPr>
            </w:pPr>
            <w:r w:rsidRPr="000141AB">
              <w:rPr>
                <w:rFonts w:cs="Arial"/>
                <w:color w:val="auto"/>
              </w:rPr>
              <w:t>Alerting</w:t>
            </w:r>
            <w:r w:rsidRPr="000141AB">
              <w:rPr>
                <w:rFonts w:cs="Arial"/>
                <w:color w:val="auto"/>
                <w:vertAlign w:val="superscript"/>
              </w:rPr>
              <w:t>2</w:t>
            </w:r>
          </w:p>
        </w:tc>
        <w:tc>
          <w:tcPr>
            <w:tcW w:w="1796" w:type="dxa"/>
            <w:hideMark/>
          </w:tcPr>
          <w:p w:rsidRPr="000141AB" w:rsidR="000141AB" w:rsidP="000141AB" w:rsidRDefault="000141AB" w14:paraId="4A2741C2" w14:textId="77777777">
            <w:pPr>
              <w:spacing w:line="240" w:lineRule="auto"/>
              <w:rPr>
                <w:rFonts w:cs="Arial"/>
                <w:color w:val="auto"/>
              </w:rPr>
            </w:pPr>
            <w:r w:rsidRPr="000141AB">
              <w:rPr>
                <w:rFonts w:cs="Arial"/>
                <w:color w:val="auto"/>
              </w:rPr>
              <w:t>Pay-As-You-Go</w:t>
            </w:r>
          </w:p>
        </w:tc>
        <w:tc>
          <w:tcPr>
            <w:tcW w:w="1923" w:type="dxa"/>
            <w:hideMark/>
          </w:tcPr>
          <w:p w:rsidRPr="000141AB" w:rsidR="000141AB" w:rsidP="000141AB" w:rsidRDefault="000141AB" w14:paraId="5F12965A" w14:textId="364835F2">
            <w:pPr>
              <w:spacing w:line="240" w:lineRule="auto"/>
              <w:rPr>
                <w:rFonts w:cs="Arial"/>
                <w:color w:val="auto"/>
              </w:rPr>
            </w:pPr>
            <w:r w:rsidRPr="000141AB">
              <w:rPr>
                <w:rFonts w:cs="Arial"/>
                <w:b/>
                <w:bCs/>
                <w:color w:val="auto"/>
              </w:rPr>
              <w:t>$4.877</w:t>
            </w:r>
            <w:r w:rsidRPr="000141AB">
              <w:rPr>
                <w:rFonts w:cs="Arial"/>
                <w:color w:val="auto"/>
              </w:rPr>
              <w:t> </w:t>
            </w:r>
            <w:r>
              <w:rPr>
                <w:rFonts w:cs="Arial"/>
                <w:color w:val="auto"/>
              </w:rPr>
              <w:t>/</w:t>
            </w:r>
            <w:r w:rsidRPr="000141AB">
              <w:rPr>
                <w:rFonts w:cs="Arial"/>
                <w:color w:val="auto"/>
              </w:rPr>
              <w:t>GB</w:t>
            </w:r>
          </w:p>
        </w:tc>
        <w:tc>
          <w:tcPr>
            <w:tcW w:w="1113" w:type="dxa"/>
            <w:hideMark/>
          </w:tcPr>
          <w:p w:rsidRPr="000141AB" w:rsidR="000141AB" w:rsidP="000141AB" w:rsidRDefault="000141AB" w14:paraId="671EE398" w14:textId="00182CC3">
            <w:pPr>
              <w:spacing w:line="240" w:lineRule="auto"/>
              <w:rPr>
                <w:rFonts w:cs="Arial"/>
                <w:color w:val="auto"/>
              </w:rPr>
            </w:pPr>
            <w:r w:rsidRPr="000141AB">
              <w:rPr>
                <w:rFonts w:cs="Arial"/>
                <w:b/>
                <w:bCs/>
                <w:color w:val="auto"/>
              </w:rPr>
              <w:t>$4.877</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270E2373" w14:textId="77777777">
            <w:pPr>
              <w:spacing w:line="240" w:lineRule="auto"/>
              <w:jc w:val="center"/>
              <w:rPr>
                <w:rFonts w:cs="Arial"/>
                <w:color w:val="auto"/>
              </w:rPr>
            </w:pPr>
            <w:r w:rsidRPr="000141AB">
              <w:rPr>
                <w:rFonts w:cs="Arial"/>
                <w:color w:val="auto"/>
              </w:rPr>
              <w:t>N/A</w:t>
            </w:r>
          </w:p>
        </w:tc>
      </w:tr>
      <w:tr w:rsidRPr="000141AB" w:rsidR="000141AB" w:rsidTr="000141AB" w14:paraId="0793FF22" w14:textId="77777777">
        <w:tc>
          <w:tcPr>
            <w:tcW w:w="881" w:type="dxa"/>
            <w:vMerge/>
            <w:hideMark/>
          </w:tcPr>
          <w:p w:rsidRPr="000141AB" w:rsidR="000141AB" w:rsidP="000141AB" w:rsidRDefault="000141AB" w14:paraId="1FA86309" w14:textId="77777777">
            <w:pPr>
              <w:spacing w:line="240" w:lineRule="auto"/>
              <w:rPr>
                <w:rFonts w:cs="Arial"/>
                <w:color w:val="auto"/>
              </w:rPr>
            </w:pPr>
          </w:p>
        </w:tc>
        <w:tc>
          <w:tcPr>
            <w:tcW w:w="3419" w:type="dxa"/>
            <w:vMerge/>
            <w:hideMark/>
          </w:tcPr>
          <w:p w:rsidRPr="000141AB" w:rsidR="000141AB" w:rsidP="000141AB" w:rsidRDefault="000141AB" w14:paraId="19EC0AB7" w14:textId="77777777">
            <w:pPr>
              <w:spacing w:line="240" w:lineRule="auto"/>
              <w:rPr>
                <w:rFonts w:cs="Arial"/>
                <w:color w:val="auto"/>
              </w:rPr>
            </w:pPr>
          </w:p>
        </w:tc>
        <w:tc>
          <w:tcPr>
            <w:tcW w:w="1796" w:type="dxa"/>
            <w:hideMark/>
          </w:tcPr>
          <w:p w:rsidRPr="000141AB" w:rsidR="000141AB" w:rsidP="000141AB" w:rsidRDefault="000141AB" w14:paraId="0F63DC09" w14:textId="77777777">
            <w:pPr>
              <w:spacing w:line="240" w:lineRule="auto"/>
              <w:rPr>
                <w:rFonts w:cs="Arial"/>
                <w:color w:val="auto"/>
              </w:rPr>
            </w:pPr>
            <w:r w:rsidRPr="000141AB">
              <w:rPr>
                <w:rFonts w:cs="Arial"/>
                <w:color w:val="auto"/>
              </w:rPr>
              <w:t>100 GB per day</w:t>
            </w:r>
          </w:p>
        </w:tc>
        <w:tc>
          <w:tcPr>
            <w:tcW w:w="1923" w:type="dxa"/>
            <w:hideMark/>
          </w:tcPr>
          <w:p w:rsidRPr="000141AB" w:rsidR="000141AB" w:rsidP="000141AB" w:rsidRDefault="000141AB" w14:paraId="04FCF8AD" w14:textId="77FAAE1B">
            <w:pPr>
              <w:spacing w:line="240" w:lineRule="auto"/>
              <w:rPr>
                <w:rFonts w:cs="Arial"/>
                <w:color w:val="auto"/>
              </w:rPr>
            </w:pPr>
            <w:r w:rsidRPr="000141AB">
              <w:rPr>
                <w:rFonts w:cs="Arial"/>
                <w:b/>
                <w:bCs/>
                <w:color w:val="auto"/>
              </w:rPr>
              <w:t>$400.62</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77DCA92F" w14:textId="33E6FCD1">
            <w:pPr>
              <w:spacing w:line="240" w:lineRule="auto"/>
              <w:rPr>
                <w:rFonts w:cs="Arial"/>
                <w:color w:val="auto"/>
              </w:rPr>
            </w:pPr>
            <w:r w:rsidRPr="000141AB">
              <w:rPr>
                <w:rFonts w:cs="Arial"/>
                <w:b/>
                <w:bCs/>
                <w:color w:val="auto"/>
              </w:rPr>
              <w:t>$4.01</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675373F2" w14:textId="77777777">
            <w:pPr>
              <w:spacing w:line="240" w:lineRule="auto"/>
              <w:jc w:val="center"/>
              <w:rPr>
                <w:rFonts w:cs="Arial"/>
                <w:color w:val="auto"/>
              </w:rPr>
            </w:pPr>
            <w:r w:rsidRPr="000141AB">
              <w:rPr>
                <w:rFonts w:cs="Arial"/>
                <w:color w:val="auto"/>
              </w:rPr>
              <w:t>18%</w:t>
            </w:r>
          </w:p>
        </w:tc>
      </w:tr>
      <w:tr w:rsidRPr="000141AB" w:rsidR="000141AB" w:rsidTr="000141AB" w14:paraId="1BBD04EA" w14:textId="77777777">
        <w:tc>
          <w:tcPr>
            <w:tcW w:w="881" w:type="dxa"/>
            <w:vMerge/>
            <w:hideMark/>
          </w:tcPr>
          <w:p w:rsidRPr="000141AB" w:rsidR="000141AB" w:rsidP="000141AB" w:rsidRDefault="000141AB" w14:paraId="53AF6443" w14:textId="77777777">
            <w:pPr>
              <w:spacing w:line="240" w:lineRule="auto"/>
              <w:rPr>
                <w:rFonts w:cs="Arial"/>
                <w:color w:val="auto"/>
              </w:rPr>
            </w:pPr>
          </w:p>
        </w:tc>
        <w:tc>
          <w:tcPr>
            <w:tcW w:w="3419" w:type="dxa"/>
            <w:vMerge/>
            <w:hideMark/>
          </w:tcPr>
          <w:p w:rsidRPr="000141AB" w:rsidR="000141AB" w:rsidP="000141AB" w:rsidRDefault="000141AB" w14:paraId="0AA63EED" w14:textId="77777777">
            <w:pPr>
              <w:spacing w:line="240" w:lineRule="auto"/>
              <w:rPr>
                <w:rFonts w:cs="Arial"/>
                <w:color w:val="auto"/>
              </w:rPr>
            </w:pPr>
          </w:p>
        </w:tc>
        <w:tc>
          <w:tcPr>
            <w:tcW w:w="1796" w:type="dxa"/>
            <w:hideMark/>
          </w:tcPr>
          <w:p w:rsidRPr="000141AB" w:rsidR="000141AB" w:rsidP="000141AB" w:rsidRDefault="000141AB" w14:paraId="26C8C2BF" w14:textId="77777777">
            <w:pPr>
              <w:spacing w:line="240" w:lineRule="auto"/>
              <w:rPr>
                <w:rFonts w:cs="Arial"/>
                <w:color w:val="auto"/>
              </w:rPr>
            </w:pPr>
            <w:r w:rsidRPr="000141AB">
              <w:rPr>
                <w:rFonts w:cs="Arial"/>
                <w:color w:val="auto"/>
              </w:rPr>
              <w:t>200 GB per day</w:t>
            </w:r>
          </w:p>
        </w:tc>
        <w:tc>
          <w:tcPr>
            <w:tcW w:w="1923" w:type="dxa"/>
            <w:hideMark/>
          </w:tcPr>
          <w:p w:rsidRPr="000141AB" w:rsidR="000141AB" w:rsidP="000141AB" w:rsidRDefault="000141AB" w14:paraId="7EE3D926" w14:textId="684A8EA8">
            <w:pPr>
              <w:spacing w:line="240" w:lineRule="auto"/>
              <w:rPr>
                <w:rFonts w:cs="Arial"/>
                <w:color w:val="auto"/>
              </w:rPr>
            </w:pPr>
            <w:r w:rsidRPr="000141AB">
              <w:rPr>
                <w:rFonts w:cs="Arial"/>
                <w:b/>
                <w:bCs/>
                <w:color w:val="auto"/>
              </w:rPr>
              <w:t>$752.18</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060E76C0" w14:textId="14807EBE">
            <w:pPr>
              <w:spacing w:line="240" w:lineRule="auto"/>
              <w:rPr>
                <w:rFonts w:cs="Arial"/>
                <w:color w:val="auto"/>
              </w:rPr>
            </w:pPr>
            <w:r w:rsidRPr="000141AB">
              <w:rPr>
                <w:rFonts w:cs="Arial"/>
                <w:b/>
                <w:bCs/>
                <w:color w:val="auto"/>
              </w:rPr>
              <w:t>$3.77</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73EE659C" w14:textId="77777777">
            <w:pPr>
              <w:spacing w:line="240" w:lineRule="auto"/>
              <w:jc w:val="center"/>
              <w:rPr>
                <w:rFonts w:cs="Arial"/>
                <w:color w:val="auto"/>
              </w:rPr>
            </w:pPr>
            <w:r w:rsidRPr="000141AB">
              <w:rPr>
                <w:rFonts w:cs="Arial"/>
                <w:color w:val="auto"/>
              </w:rPr>
              <w:t>23%</w:t>
            </w:r>
          </w:p>
        </w:tc>
      </w:tr>
      <w:tr w:rsidRPr="000141AB" w:rsidR="000141AB" w:rsidTr="000141AB" w14:paraId="05886966" w14:textId="77777777">
        <w:tc>
          <w:tcPr>
            <w:tcW w:w="881" w:type="dxa"/>
            <w:vMerge/>
            <w:hideMark/>
          </w:tcPr>
          <w:p w:rsidRPr="000141AB" w:rsidR="000141AB" w:rsidP="000141AB" w:rsidRDefault="000141AB" w14:paraId="3D724692" w14:textId="77777777">
            <w:pPr>
              <w:spacing w:line="240" w:lineRule="auto"/>
              <w:rPr>
                <w:rFonts w:cs="Arial"/>
                <w:color w:val="auto"/>
              </w:rPr>
            </w:pPr>
          </w:p>
        </w:tc>
        <w:tc>
          <w:tcPr>
            <w:tcW w:w="3419" w:type="dxa"/>
            <w:vMerge/>
            <w:hideMark/>
          </w:tcPr>
          <w:p w:rsidRPr="000141AB" w:rsidR="000141AB" w:rsidP="000141AB" w:rsidRDefault="000141AB" w14:paraId="640A2667" w14:textId="77777777">
            <w:pPr>
              <w:spacing w:line="240" w:lineRule="auto"/>
              <w:rPr>
                <w:rFonts w:cs="Arial"/>
                <w:color w:val="auto"/>
              </w:rPr>
            </w:pPr>
          </w:p>
        </w:tc>
        <w:tc>
          <w:tcPr>
            <w:tcW w:w="1796" w:type="dxa"/>
            <w:hideMark/>
          </w:tcPr>
          <w:p w:rsidRPr="000141AB" w:rsidR="000141AB" w:rsidP="000141AB" w:rsidRDefault="000141AB" w14:paraId="747035AD" w14:textId="77777777">
            <w:pPr>
              <w:spacing w:line="240" w:lineRule="auto"/>
              <w:rPr>
                <w:rFonts w:cs="Arial"/>
                <w:color w:val="auto"/>
              </w:rPr>
            </w:pPr>
            <w:r w:rsidRPr="000141AB">
              <w:rPr>
                <w:rFonts w:cs="Arial"/>
                <w:color w:val="auto"/>
              </w:rPr>
              <w:t>300 GB per day</w:t>
            </w:r>
          </w:p>
        </w:tc>
        <w:tc>
          <w:tcPr>
            <w:tcW w:w="1923" w:type="dxa"/>
            <w:hideMark/>
          </w:tcPr>
          <w:p w:rsidRPr="000141AB" w:rsidR="000141AB" w:rsidP="000141AB" w:rsidRDefault="000141AB" w14:paraId="0FC81C25" w14:textId="4B3C94AA">
            <w:pPr>
              <w:spacing w:line="240" w:lineRule="auto"/>
              <w:rPr>
                <w:rFonts w:cs="Arial"/>
                <w:color w:val="auto"/>
              </w:rPr>
            </w:pPr>
            <w:r w:rsidRPr="000141AB">
              <w:rPr>
                <w:rFonts w:cs="Arial"/>
                <w:b/>
                <w:bCs/>
                <w:color w:val="auto"/>
              </w:rPr>
              <w:t>$1,103.74</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0AEC794F" w14:textId="3E8AB183">
            <w:pPr>
              <w:spacing w:line="240" w:lineRule="auto"/>
              <w:rPr>
                <w:rFonts w:cs="Arial"/>
                <w:color w:val="auto"/>
              </w:rPr>
            </w:pPr>
            <w:r w:rsidRPr="000141AB">
              <w:rPr>
                <w:rFonts w:cs="Arial"/>
                <w:b/>
                <w:bCs/>
                <w:color w:val="auto"/>
              </w:rPr>
              <w:t>$3.68</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2CF67237" w14:textId="77777777">
            <w:pPr>
              <w:spacing w:line="240" w:lineRule="auto"/>
              <w:jc w:val="center"/>
              <w:rPr>
                <w:rFonts w:cs="Arial"/>
                <w:color w:val="auto"/>
              </w:rPr>
            </w:pPr>
            <w:r w:rsidRPr="000141AB">
              <w:rPr>
                <w:rFonts w:cs="Arial"/>
                <w:color w:val="auto"/>
              </w:rPr>
              <w:t>25%</w:t>
            </w:r>
          </w:p>
        </w:tc>
      </w:tr>
      <w:tr w:rsidRPr="000141AB" w:rsidR="000141AB" w:rsidTr="000141AB" w14:paraId="69DACCD8" w14:textId="77777777">
        <w:tc>
          <w:tcPr>
            <w:tcW w:w="881" w:type="dxa"/>
            <w:vMerge/>
            <w:hideMark/>
          </w:tcPr>
          <w:p w:rsidRPr="000141AB" w:rsidR="000141AB" w:rsidP="000141AB" w:rsidRDefault="000141AB" w14:paraId="5D40111F" w14:textId="77777777">
            <w:pPr>
              <w:spacing w:line="240" w:lineRule="auto"/>
              <w:rPr>
                <w:rFonts w:cs="Arial"/>
                <w:color w:val="auto"/>
              </w:rPr>
            </w:pPr>
          </w:p>
        </w:tc>
        <w:tc>
          <w:tcPr>
            <w:tcW w:w="3419" w:type="dxa"/>
            <w:vMerge/>
            <w:hideMark/>
          </w:tcPr>
          <w:p w:rsidRPr="000141AB" w:rsidR="000141AB" w:rsidP="000141AB" w:rsidRDefault="000141AB" w14:paraId="7DDDAC66" w14:textId="77777777">
            <w:pPr>
              <w:spacing w:line="240" w:lineRule="auto"/>
              <w:rPr>
                <w:rFonts w:cs="Arial"/>
                <w:color w:val="auto"/>
              </w:rPr>
            </w:pPr>
          </w:p>
        </w:tc>
        <w:tc>
          <w:tcPr>
            <w:tcW w:w="1796" w:type="dxa"/>
            <w:hideMark/>
          </w:tcPr>
          <w:p w:rsidRPr="000141AB" w:rsidR="000141AB" w:rsidP="000141AB" w:rsidRDefault="000141AB" w14:paraId="3C2BB29A" w14:textId="77777777">
            <w:pPr>
              <w:spacing w:line="240" w:lineRule="auto"/>
              <w:rPr>
                <w:rFonts w:cs="Arial"/>
                <w:color w:val="auto"/>
              </w:rPr>
            </w:pPr>
            <w:r w:rsidRPr="000141AB">
              <w:rPr>
                <w:rFonts w:cs="Arial"/>
                <w:color w:val="auto"/>
              </w:rPr>
              <w:t>400 GB per day</w:t>
            </w:r>
          </w:p>
        </w:tc>
        <w:tc>
          <w:tcPr>
            <w:tcW w:w="1923" w:type="dxa"/>
            <w:hideMark/>
          </w:tcPr>
          <w:p w:rsidRPr="000141AB" w:rsidR="000141AB" w:rsidP="000141AB" w:rsidRDefault="000141AB" w14:paraId="736F86FF" w14:textId="07D02D6D">
            <w:pPr>
              <w:spacing w:line="240" w:lineRule="auto"/>
              <w:rPr>
                <w:rFonts w:cs="Arial"/>
                <w:color w:val="auto"/>
              </w:rPr>
            </w:pPr>
            <w:r w:rsidRPr="000141AB">
              <w:rPr>
                <w:rFonts w:cs="Arial"/>
                <w:b/>
                <w:bCs/>
                <w:color w:val="auto"/>
              </w:rPr>
              <w:t>$1,438.94</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189AE8AA" w14:textId="286B1D53">
            <w:pPr>
              <w:spacing w:line="240" w:lineRule="auto"/>
              <w:rPr>
                <w:rFonts w:cs="Arial"/>
                <w:color w:val="auto"/>
              </w:rPr>
            </w:pPr>
            <w:r w:rsidRPr="000141AB">
              <w:rPr>
                <w:rFonts w:cs="Arial"/>
                <w:b/>
                <w:bCs/>
                <w:color w:val="auto"/>
              </w:rPr>
              <w:t>$3.60</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09DC7756" w14:textId="77777777">
            <w:pPr>
              <w:spacing w:line="240" w:lineRule="auto"/>
              <w:jc w:val="center"/>
              <w:rPr>
                <w:rFonts w:cs="Arial"/>
                <w:color w:val="auto"/>
              </w:rPr>
            </w:pPr>
            <w:r w:rsidRPr="000141AB">
              <w:rPr>
                <w:rFonts w:cs="Arial"/>
                <w:color w:val="auto"/>
              </w:rPr>
              <w:t>26%</w:t>
            </w:r>
          </w:p>
        </w:tc>
      </w:tr>
      <w:tr w:rsidRPr="000141AB" w:rsidR="000141AB" w:rsidTr="000141AB" w14:paraId="312D156E" w14:textId="77777777">
        <w:tc>
          <w:tcPr>
            <w:tcW w:w="881" w:type="dxa"/>
            <w:vMerge/>
            <w:hideMark/>
          </w:tcPr>
          <w:p w:rsidRPr="000141AB" w:rsidR="000141AB" w:rsidP="000141AB" w:rsidRDefault="000141AB" w14:paraId="09F179ED" w14:textId="77777777">
            <w:pPr>
              <w:spacing w:line="240" w:lineRule="auto"/>
              <w:rPr>
                <w:rFonts w:cs="Arial"/>
                <w:color w:val="auto"/>
              </w:rPr>
            </w:pPr>
          </w:p>
        </w:tc>
        <w:tc>
          <w:tcPr>
            <w:tcW w:w="3419" w:type="dxa"/>
            <w:vMerge/>
            <w:hideMark/>
          </w:tcPr>
          <w:p w:rsidRPr="000141AB" w:rsidR="000141AB" w:rsidP="000141AB" w:rsidRDefault="000141AB" w14:paraId="0FDF2B74" w14:textId="77777777">
            <w:pPr>
              <w:spacing w:line="240" w:lineRule="auto"/>
              <w:rPr>
                <w:rFonts w:cs="Arial"/>
                <w:color w:val="auto"/>
              </w:rPr>
            </w:pPr>
          </w:p>
        </w:tc>
        <w:tc>
          <w:tcPr>
            <w:tcW w:w="1796" w:type="dxa"/>
            <w:hideMark/>
          </w:tcPr>
          <w:p w:rsidRPr="000141AB" w:rsidR="000141AB" w:rsidP="000141AB" w:rsidRDefault="000141AB" w14:paraId="7F92B703" w14:textId="77777777">
            <w:pPr>
              <w:spacing w:line="240" w:lineRule="auto"/>
              <w:rPr>
                <w:rFonts w:cs="Arial"/>
                <w:color w:val="auto"/>
              </w:rPr>
            </w:pPr>
            <w:r w:rsidRPr="000141AB">
              <w:rPr>
                <w:rFonts w:cs="Arial"/>
                <w:color w:val="auto"/>
              </w:rPr>
              <w:t>500 GB per day</w:t>
            </w:r>
          </w:p>
        </w:tc>
        <w:tc>
          <w:tcPr>
            <w:tcW w:w="1923" w:type="dxa"/>
            <w:hideMark/>
          </w:tcPr>
          <w:p w:rsidRPr="000141AB" w:rsidR="000141AB" w:rsidP="000141AB" w:rsidRDefault="000141AB" w14:paraId="3A83DEEF" w14:textId="573B08B4">
            <w:pPr>
              <w:spacing w:line="240" w:lineRule="auto"/>
              <w:rPr>
                <w:rFonts w:cs="Arial"/>
                <w:color w:val="auto"/>
              </w:rPr>
            </w:pPr>
            <w:r w:rsidRPr="000141AB">
              <w:rPr>
                <w:rFonts w:cs="Arial"/>
                <w:b/>
                <w:bCs/>
                <w:color w:val="auto"/>
              </w:rPr>
              <w:t>$1,768.02</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700C3F94" w14:textId="287FC9CC">
            <w:pPr>
              <w:spacing w:line="240" w:lineRule="auto"/>
              <w:rPr>
                <w:rFonts w:cs="Arial"/>
                <w:color w:val="auto"/>
              </w:rPr>
            </w:pPr>
            <w:r w:rsidRPr="000141AB">
              <w:rPr>
                <w:rFonts w:cs="Arial"/>
                <w:b/>
                <w:bCs/>
                <w:color w:val="auto"/>
              </w:rPr>
              <w:t>$3.54</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20EFF8EB" w14:textId="77777777">
            <w:pPr>
              <w:spacing w:line="240" w:lineRule="auto"/>
              <w:jc w:val="center"/>
              <w:rPr>
                <w:rFonts w:cs="Arial"/>
                <w:color w:val="auto"/>
              </w:rPr>
            </w:pPr>
            <w:r w:rsidRPr="000141AB">
              <w:rPr>
                <w:rFonts w:cs="Arial"/>
                <w:color w:val="auto"/>
              </w:rPr>
              <w:t>27%</w:t>
            </w:r>
          </w:p>
        </w:tc>
      </w:tr>
      <w:tr w:rsidRPr="000141AB" w:rsidR="000141AB" w:rsidTr="000141AB" w14:paraId="2B37A4E1" w14:textId="77777777">
        <w:tc>
          <w:tcPr>
            <w:tcW w:w="881" w:type="dxa"/>
            <w:vMerge/>
            <w:hideMark/>
          </w:tcPr>
          <w:p w:rsidRPr="000141AB" w:rsidR="000141AB" w:rsidP="000141AB" w:rsidRDefault="000141AB" w14:paraId="299BF06F" w14:textId="77777777">
            <w:pPr>
              <w:spacing w:line="240" w:lineRule="auto"/>
              <w:rPr>
                <w:rFonts w:cs="Arial"/>
                <w:color w:val="auto"/>
              </w:rPr>
            </w:pPr>
          </w:p>
        </w:tc>
        <w:tc>
          <w:tcPr>
            <w:tcW w:w="3419" w:type="dxa"/>
            <w:vMerge/>
            <w:hideMark/>
          </w:tcPr>
          <w:p w:rsidRPr="000141AB" w:rsidR="000141AB" w:rsidP="000141AB" w:rsidRDefault="000141AB" w14:paraId="5E639323" w14:textId="77777777">
            <w:pPr>
              <w:spacing w:line="240" w:lineRule="auto"/>
              <w:rPr>
                <w:rFonts w:cs="Arial"/>
                <w:color w:val="auto"/>
              </w:rPr>
            </w:pPr>
          </w:p>
        </w:tc>
        <w:tc>
          <w:tcPr>
            <w:tcW w:w="1796" w:type="dxa"/>
            <w:hideMark/>
          </w:tcPr>
          <w:p w:rsidRPr="000141AB" w:rsidR="000141AB" w:rsidP="000141AB" w:rsidRDefault="000141AB" w14:paraId="2D108420" w14:textId="77777777">
            <w:pPr>
              <w:spacing w:line="240" w:lineRule="auto"/>
              <w:rPr>
                <w:rFonts w:cs="Arial"/>
                <w:color w:val="auto"/>
              </w:rPr>
            </w:pPr>
            <w:r w:rsidRPr="000141AB">
              <w:rPr>
                <w:rFonts w:cs="Arial"/>
                <w:color w:val="auto"/>
              </w:rPr>
              <w:t>1,000 GB per day</w:t>
            </w:r>
          </w:p>
        </w:tc>
        <w:tc>
          <w:tcPr>
            <w:tcW w:w="1923" w:type="dxa"/>
            <w:hideMark/>
          </w:tcPr>
          <w:p w:rsidRPr="000141AB" w:rsidR="000141AB" w:rsidP="000141AB" w:rsidRDefault="000141AB" w14:paraId="6DA9945E" w14:textId="4D5D8EE4">
            <w:pPr>
              <w:spacing w:line="240" w:lineRule="auto"/>
              <w:rPr>
                <w:rFonts w:cs="Arial"/>
                <w:color w:val="auto"/>
              </w:rPr>
            </w:pPr>
            <w:r w:rsidRPr="000141AB">
              <w:rPr>
                <w:rFonts w:cs="Arial"/>
                <w:b/>
                <w:bCs/>
                <w:color w:val="auto"/>
              </w:rPr>
              <w:t>$3,474.71</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1DADC4B3" w14:textId="0609FF1A">
            <w:pPr>
              <w:spacing w:line="240" w:lineRule="auto"/>
              <w:rPr>
                <w:rFonts w:cs="Arial"/>
                <w:color w:val="auto"/>
              </w:rPr>
            </w:pPr>
            <w:r w:rsidRPr="000141AB">
              <w:rPr>
                <w:rFonts w:cs="Arial"/>
                <w:b/>
                <w:bCs/>
                <w:color w:val="auto"/>
              </w:rPr>
              <w:t>$3.48</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2E5FC5E5" w14:textId="77777777">
            <w:pPr>
              <w:spacing w:line="240" w:lineRule="auto"/>
              <w:jc w:val="center"/>
              <w:rPr>
                <w:rFonts w:cs="Arial"/>
                <w:color w:val="auto"/>
              </w:rPr>
            </w:pPr>
            <w:r w:rsidRPr="000141AB">
              <w:rPr>
                <w:rFonts w:cs="Arial"/>
                <w:color w:val="auto"/>
              </w:rPr>
              <w:t>29%</w:t>
            </w:r>
          </w:p>
        </w:tc>
      </w:tr>
      <w:tr w:rsidRPr="000141AB" w:rsidR="000141AB" w:rsidTr="000141AB" w14:paraId="4A9D58D3" w14:textId="77777777">
        <w:tc>
          <w:tcPr>
            <w:tcW w:w="881" w:type="dxa"/>
            <w:vMerge/>
            <w:hideMark/>
          </w:tcPr>
          <w:p w:rsidRPr="000141AB" w:rsidR="000141AB" w:rsidP="000141AB" w:rsidRDefault="000141AB" w14:paraId="10BD188B" w14:textId="77777777">
            <w:pPr>
              <w:spacing w:line="240" w:lineRule="auto"/>
              <w:rPr>
                <w:rFonts w:cs="Arial"/>
                <w:color w:val="auto"/>
              </w:rPr>
            </w:pPr>
          </w:p>
        </w:tc>
        <w:tc>
          <w:tcPr>
            <w:tcW w:w="3419" w:type="dxa"/>
            <w:vMerge/>
            <w:hideMark/>
          </w:tcPr>
          <w:p w:rsidRPr="000141AB" w:rsidR="000141AB" w:rsidP="000141AB" w:rsidRDefault="000141AB" w14:paraId="416346F1" w14:textId="77777777">
            <w:pPr>
              <w:spacing w:line="240" w:lineRule="auto"/>
              <w:rPr>
                <w:rFonts w:cs="Arial"/>
                <w:color w:val="auto"/>
              </w:rPr>
            </w:pPr>
          </w:p>
        </w:tc>
        <w:tc>
          <w:tcPr>
            <w:tcW w:w="1796" w:type="dxa"/>
            <w:hideMark/>
          </w:tcPr>
          <w:p w:rsidRPr="000141AB" w:rsidR="000141AB" w:rsidP="000141AB" w:rsidRDefault="000141AB" w14:paraId="18A5591B" w14:textId="77777777">
            <w:pPr>
              <w:spacing w:line="240" w:lineRule="auto"/>
              <w:rPr>
                <w:rFonts w:cs="Arial"/>
                <w:color w:val="auto"/>
              </w:rPr>
            </w:pPr>
            <w:r w:rsidRPr="000141AB">
              <w:rPr>
                <w:rFonts w:cs="Arial"/>
                <w:color w:val="auto"/>
              </w:rPr>
              <w:t>2,000 GB per day</w:t>
            </w:r>
          </w:p>
        </w:tc>
        <w:tc>
          <w:tcPr>
            <w:tcW w:w="1923" w:type="dxa"/>
            <w:hideMark/>
          </w:tcPr>
          <w:p w:rsidRPr="000141AB" w:rsidR="000141AB" w:rsidP="000141AB" w:rsidRDefault="000141AB" w14:paraId="1A581436" w14:textId="1F366774">
            <w:pPr>
              <w:spacing w:line="240" w:lineRule="auto"/>
              <w:rPr>
                <w:rFonts w:cs="Arial"/>
                <w:color w:val="auto"/>
              </w:rPr>
            </w:pPr>
            <w:r w:rsidRPr="000141AB">
              <w:rPr>
                <w:rFonts w:cs="Arial"/>
                <w:b/>
                <w:bCs/>
                <w:color w:val="auto"/>
              </w:rPr>
              <w:t>$6,785.90</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400C2652" w14:textId="655B5702">
            <w:pPr>
              <w:spacing w:line="240" w:lineRule="auto"/>
              <w:rPr>
                <w:rFonts w:cs="Arial"/>
                <w:color w:val="auto"/>
              </w:rPr>
            </w:pPr>
            <w:r w:rsidRPr="000141AB">
              <w:rPr>
                <w:rFonts w:cs="Arial"/>
                <w:b/>
                <w:bCs/>
                <w:color w:val="auto"/>
              </w:rPr>
              <w:t>$3.40</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2D26F54D" w14:textId="77777777">
            <w:pPr>
              <w:spacing w:line="240" w:lineRule="auto"/>
              <w:jc w:val="center"/>
              <w:rPr>
                <w:rFonts w:cs="Arial"/>
                <w:color w:val="auto"/>
              </w:rPr>
            </w:pPr>
            <w:r w:rsidRPr="000141AB">
              <w:rPr>
                <w:rFonts w:cs="Arial"/>
                <w:color w:val="auto"/>
              </w:rPr>
              <w:t>30%</w:t>
            </w:r>
          </w:p>
        </w:tc>
      </w:tr>
      <w:tr w:rsidRPr="000141AB" w:rsidR="000141AB" w:rsidTr="000141AB" w14:paraId="59298EC5" w14:textId="77777777">
        <w:tc>
          <w:tcPr>
            <w:tcW w:w="881" w:type="dxa"/>
            <w:vMerge/>
            <w:hideMark/>
          </w:tcPr>
          <w:p w:rsidRPr="000141AB" w:rsidR="000141AB" w:rsidP="000141AB" w:rsidRDefault="000141AB" w14:paraId="116565EE" w14:textId="77777777">
            <w:pPr>
              <w:spacing w:line="240" w:lineRule="auto"/>
              <w:rPr>
                <w:rFonts w:cs="Arial"/>
                <w:color w:val="auto"/>
              </w:rPr>
            </w:pPr>
          </w:p>
        </w:tc>
        <w:tc>
          <w:tcPr>
            <w:tcW w:w="3419" w:type="dxa"/>
            <w:vMerge/>
            <w:hideMark/>
          </w:tcPr>
          <w:p w:rsidRPr="000141AB" w:rsidR="000141AB" w:rsidP="000141AB" w:rsidRDefault="000141AB" w14:paraId="7A0415AD" w14:textId="77777777">
            <w:pPr>
              <w:spacing w:line="240" w:lineRule="auto"/>
              <w:rPr>
                <w:rFonts w:cs="Arial"/>
                <w:color w:val="auto"/>
              </w:rPr>
            </w:pPr>
          </w:p>
        </w:tc>
        <w:tc>
          <w:tcPr>
            <w:tcW w:w="1796" w:type="dxa"/>
            <w:hideMark/>
          </w:tcPr>
          <w:p w:rsidRPr="000141AB" w:rsidR="000141AB" w:rsidP="000141AB" w:rsidRDefault="000141AB" w14:paraId="09C09339" w14:textId="77777777">
            <w:pPr>
              <w:spacing w:line="240" w:lineRule="auto"/>
              <w:rPr>
                <w:rFonts w:cs="Arial"/>
                <w:color w:val="auto"/>
              </w:rPr>
            </w:pPr>
            <w:r w:rsidRPr="000141AB">
              <w:rPr>
                <w:rFonts w:cs="Arial"/>
                <w:color w:val="auto"/>
              </w:rPr>
              <w:t>5,000 GB per day</w:t>
            </w:r>
          </w:p>
        </w:tc>
        <w:tc>
          <w:tcPr>
            <w:tcW w:w="1923" w:type="dxa"/>
            <w:hideMark/>
          </w:tcPr>
          <w:p w:rsidRPr="000141AB" w:rsidR="000141AB" w:rsidP="000141AB" w:rsidRDefault="000141AB" w14:paraId="3BDCB179" w14:textId="4B64BA13">
            <w:pPr>
              <w:spacing w:line="240" w:lineRule="auto"/>
              <w:rPr>
                <w:rFonts w:cs="Arial"/>
                <w:color w:val="auto"/>
              </w:rPr>
            </w:pPr>
            <w:r w:rsidRPr="000141AB">
              <w:rPr>
                <w:rFonts w:cs="Arial"/>
                <w:b/>
                <w:bCs/>
                <w:color w:val="auto"/>
              </w:rPr>
              <w:t>$16,453.76</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1C91388A" w14:textId="3B2B4885">
            <w:pPr>
              <w:spacing w:line="240" w:lineRule="auto"/>
              <w:rPr>
                <w:rFonts w:cs="Arial"/>
                <w:color w:val="auto"/>
              </w:rPr>
            </w:pPr>
            <w:r w:rsidRPr="000141AB">
              <w:rPr>
                <w:rFonts w:cs="Arial"/>
                <w:b/>
                <w:bCs/>
                <w:color w:val="auto"/>
              </w:rPr>
              <w:t>$3.30</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0A32C7D9" w14:textId="77777777">
            <w:pPr>
              <w:spacing w:line="240" w:lineRule="auto"/>
              <w:jc w:val="center"/>
              <w:rPr>
                <w:rFonts w:cs="Arial"/>
                <w:color w:val="auto"/>
              </w:rPr>
            </w:pPr>
            <w:r w:rsidRPr="000141AB">
              <w:rPr>
                <w:rFonts w:cs="Arial"/>
                <w:color w:val="auto"/>
              </w:rPr>
              <w:t>33%</w:t>
            </w:r>
          </w:p>
        </w:tc>
      </w:tr>
      <w:tr w:rsidRPr="000141AB" w:rsidR="000141AB" w:rsidTr="000141AB" w14:paraId="24BBAD46" w14:textId="77777777">
        <w:tc>
          <w:tcPr>
            <w:tcW w:w="881" w:type="dxa"/>
            <w:vMerge/>
            <w:hideMark/>
          </w:tcPr>
          <w:p w:rsidRPr="000141AB" w:rsidR="000141AB" w:rsidP="000141AB" w:rsidRDefault="000141AB" w14:paraId="2A570B96" w14:textId="77777777">
            <w:pPr>
              <w:spacing w:line="240" w:lineRule="auto"/>
              <w:rPr>
                <w:rFonts w:cs="Arial"/>
                <w:color w:val="auto"/>
              </w:rPr>
            </w:pPr>
          </w:p>
        </w:tc>
        <w:tc>
          <w:tcPr>
            <w:tcW w:w="3419" w:type="dxa"/>
            <w:vMerge/>
            <w:hideMark/>
          </w:tcPr>
          <w:p w:rsidRPr="000141AB" w:rsidR="000141AB" w:rsidP="000141AB" w:rsidRDefault="000141AB" w14:paraId="6864422C" w14:textId="77777777">
            <w:pPr>
              <w:spacing w:line="240" w:lineRule="auto"/>
              <w:rPr>
                <w:rFonts w:cs="Arial"/>
                <w:color w:val="auto"/>
              </w:rPr>
            </w:pPr>
          </w:p>
        </w:tc>
        <w:tc>
          <w:tcPr>
            <w:tcW w:w="1796" w:type="dxa"/>
            <w:hideMark/>
          </w:tcPr>
          <w:p w:rsidRPr="000141AB" w:rsidR="000141AB" w:rsidP="000141AB" w:rsidRDefault="000141AB" w14:paraId="694B732A" w14:textId="7F94D012">
            <w:pPr>
              <w:spacing w:line="240" w:lineRule="auto"/>
              <w:rPr>
                <w:rFonts w:cs="Arial"/>
                <w:color w:val="auto"/>
              </w:rPr>
            </w:pPr>
            <w:r>
              <w:rPr>
                <w:rFonts w:cs="Arial"/>
                <w:color w:val="auto"/>
              </w:rPr>
              <w:t>1</w:t>
            </w:r>
            <w:r w:rsidRPr="000141AB">
              <w:rPr>
                <w:rFonts w:cs="Arial"/>
                <w:color w:val="auto"/>
              </w:rPr>
              <w:t>0,000 GB per day</w:t>
            </w:r>
          </w:p>
        </w:tc>
        <w:tc>
          <w:tcPr>
            <w:tcW w:w="1923" w:type="dxa"/>
            <w:hideMark/>
          </w:tcPr>
          <w:p w:rsidRPr="000141AB" w:rsidR="000141AB" w:rsidP="000141AB" w:rsidRDefault="000141AB" w14:paraId="0E8E02A7" w14:textId="047483E2">
            <w:pPr>
              <w:spacing w:line="240" w:lineRule="auto"/>
              <w:rPr>
                <w:rFonts w:cs="Arial"/>
                <w:color w:val="auto"/>
              </w:rPr>
            </w:pPr>
            <w:r w:rsidRPr="000141AB">
              <w:rPr>
                <w:rFonts w:cs="Arial"/>
                <w:b/>
                <w:bCs/>
                <w:color w:val="auto"/>
              </w:rPr>
              <w:t>$31,967.30</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790885D3" w14:textId="56823D95">
            <w:pPr>
              <w:spacing w:line="240" w:lineRule="auto"/>
              <w:rPr>
                <w:rFonts w:cs="Arial"/>
                <w:color w:val="auto"/>
              </w:rPr>
            </w:pPr>
            <w:r w:rsidRPr="000141AB">
              <w:rPr>
                <w:rFonts w:cs="Arial"/>
                <w:b/>
                <w:bCs/>
                <w:color w:val="auto"/>
              </w:rPr>
              <w:t>$3.20</w:t>
            </w:r>
            <w:r w:rsidRPr="000141AB">
              <w:rPr>
                <w:rFonts w:cs="Arial"/>
                <w:color w:val="auto"/>
              </w:rPr>
              <w:t> </w:t>
            </w:r>
            <w:r>
              <w:rPr>
                <w:rFonts w:cs="Arial"/>
                <w:color w:val="auto"/>
              </w:rPr>
              <w:t>/G</w:t>
            </w:r>
            <w:r w:rsidRPr="000141AB">
              <w:rPr>
                <w:rFonts w:cs="Arial"/>
                <w:color w:val="auto"/>
              </w:rPr>
              <w:t>B</w:t>
            </w:r>
          </w:p>
        </w:tc>
        <w:tc>
          <w:tcPr>
            <w:tcW w:w="1094" w:type="dxa"/>
            <w:hideMark/>
          </w:tcPr>
          <w:p w:rsidRPr="000141AB" w:rsidR="000141AB" w:rsidP="000141AB" w:rsidRDefault="000141AB" w14:paraId="5702E297" w14:textId="77777777">
            <w:pPr>
              <w:spacing w:line="240" w:lineRule="auto"/>
              <w:jc w:val="center"/>
              <w:rPr>
                <w:rFonts w:cs="Arial"/>
                <w:color w:val="auto"/>
              </w:rPr>
            </w:pPr>
            <w:r w:rsidRPr="000141AB">
              <w:rPr>
                <w:rFonts w:cs="Arial"/>
                <w:color w:val="auto"/>
              </w:rPr>
              <w:t>34%</w:t>
            </w:r>
          </w:p>
        </w:tc>
      </w:tr>
      <w:tr w:rsidRPr="000141AB" w:rsidR="000141AB" w:rsidTr="000141AB" w14:paraId="474BDCC9" w14:textId="77777777">
        <w:tc>
          <w:tcPr>
            <w:tcW w:w="881" w:type="dxa"/>
            <w:vMerge/>
            <w:hideMark/>
          </w:tcPr>
          <w:p w:rsidRPr="000141AB" w:rsidR="000141AB" w:rsidP="000141AB" w:rsidRDefault="000141AB" w14:paraId="4EF317EB" w14:textId="77777777">
            <w:pPr>
              <w:spacing w:line="240" w:lineRule="auto"/>
              <w:rPr>
                <w:rFonts w:cs="Arial"/>
                <w:color w:val="auto"/>
              </w:rPr>
            </w:pPr>
          </w:p>
        </w:tc>
        <w:tc>
          <w:tcPr>
            <w:tcW w:w="3419" w:type="dxa"/>
            <w:vMerge/>
            <w:hideMark/>
          </w:tcPr>
          <w:p w:rsidRPr="000141AB" w:rsidR="000141AB" w:rsidP="000141AB" w:rsidRDefault="000141AB" w14:paraId="5EE962C5" w14:textId="77777777">
            <w:pPr>
              <w:spacing w:line="240" w:lineRule="auto"/>
              <w:rPr>
                <w:rFonts w:cs="Arial"/>
                <w:color w:val="auto"/>
              </w:rPr>
            </w:pPr>
          </w:p>
        </w:tc>
        <w:tc>
          <w:tcPr>
            <w:tcW w:w="1796" w:type="dxa"/>
            <w:hideMark/>
          </w:tcPr>
          <w:p w:rsidRPr="000141AB" w:rsidR="000141AB" w:rsidP="000141AB" w:rsidRDefault="000141AB" w14:paraId="3A7EF596" w14:textId="77777777">
            <w:pPr>
              <w:spacing w:line="240" w:lineRule="auto"/>
              <w:rPr>
                <w:rFonts w:cs="Arial"/>
                <w:color w:val="auto"/>
              </w:rPr>
            </w:pPr>
            <w:r w:rsidRPr="000141AB">
              <w:rPr>
                <w:rFonts w:cs="Arial"/>
                <w:color w:val="auto"/>
              </w:rPr>
              <w:t>25,000 GB per day</w:t>
            </w:r>
          </w:p>
        </w:tc>
        <w:tc>
          <w:tcPr>
            <w:tcW w:w="1923" w:type="dxa"/>
            <w:hideMark/>
          </w:tcPr>
          <w:p w:rsidRPr="000141AB" w:rsidR="000141AB" w:rsidP="000141AB" w:rsidRDefault="000141AB" w14:paraId="33A0430D" w14:textId="511FB180">
            <w:pPr>
              <w:spacing w:line="240" w:lineRule="auto"/>
              <w:rPr>
                <w:rFonts w:cs="Arial"/>
                <w:color w:val="auto"/>
              </w:rPr>
            </w:pPr>
            <w:r w:rsidRPr="000141AB">
              <w:rPr>
                <w:rFonts w:cs="Arial"/>
                <w:b/>
                <w:bCs/>
                <w:color w:val="auto"/>
              </w:rPr>
              <w:t>$77,567.71</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26390F1C" w14:textId="14B8F8B9">
            <w:pPr>
              <w:spacing w:line="240" w:lineRule="auto"/>
              <w:rPr>
                <w:rFonts w:cs="Arial"/>
                <w:color w:val="auto"/>
              </w:rPr>
            </w:pPr>
            <w:r w:rsidRPr="000141AB">
              <w:rPr>
                <w:rFonts w:cs="Arial"/>
                <w:b/>
                <w:bCs/>
                <w:color w:val="auto"/>
              </w:rPr>
              <w:t>$3.11</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7605604A" w14:textId="77777777">
            <w:pPr>
              <w:spacing w:line="240" w:lineRule="auto"/>
              <w:jc w:val="center"/>
              <w:rPr>
                <w:rFonts w:cs="Arial"/>
                <w:color w:val="auto"/>
              </w:rPr>
            </w:pPr>
            <w:r w:rsidRPr="000141AB">
              <w:rPr>
                <w:rFonts w:cs="Arial"/>
                <w:color w:val="auto"/>
              </w:rPr>
              <w:t>36%</w:t>
            </w:r>
          </w:p>
        </w:tc>
      </w:tr>
      <w:tr w:rsidRPr="000141AB" w:rsidR="000141AB" w:rsidTr="000141AB" w14:paraId="4E39747A" w14:textId="77777777">
        <w:tc>
          <w:tcPr>
            <w:tcW w:w="881" w:type="dxa"/>
            <w:vMerge/>
            <w:hideMark/>
          </w:tcPr>
          <w:p w:rsidRPr="000141AB" w:rsidR="000141AB" w:rsidP="000141AB" w:rsidRDefault="000141AB" w14:paraId="4461E60F" w14:textId="77777777">
            <w:pPr>
              <w:spacing w:line="240" w:lineRule="auto"/>
              <w:rPr>
                <w:rFonts w:cs="Arial"/>
                <w:color w:val="auto"/>
              </w:rPr>
            </w:pPr>
          </w:p>
        </w:tc>
        <w:tc>
          <w:tcPr>
            <w:tcW w:w="3419" w:type="dxa"/>
            <w:vMerge/>
            <w:hideMark/>
          </w:tcPr>
          <w:p w:rsidRPr="000141AB" w:rsidR="000141AB" w:rsidP="000141AB" w:rsidRDefault="000141AB" w14:paraId="7AC39B85" w14:textId="77777777">
            <w:pPr>
              <w:spacing w:line="240" w:lineRule="auto"/>
              <w:rPr>
                <w:rFonts w:cs="Arial"/>
                <w:color w:val="auto"/>
              </w:rPr>
            </w:pPr>
          </w:p>
        </w:tc>
        <w:tc>
          <w:tcPr>
            <w:tcW w:w="1796" w:type="dxa"/>
            <w:hideMark/>
          </w:tcPr>
          <w:p w:rsidRPr="000141AB" w:rsidR="000141AB" w:rsidP="000141AB" w:rsidRDefault="000141AB" w14:paraId="3D3247DC" w14:textId="77777777">
            <w:pPr>
              <w:spacing w:line="240" w:lineRule="auto"/>
              <w:rPr>
                <w:rFonts w:cs="Arial"/>
                <w:color w:val="auto"/>
              </w:rPr>
            </w:pPr>
            <w:r w:rsidRPr="000141AB">
              <w:rPr>
                <w:rFonts w:cs="Arial"/>
                <w:color w:val="auto"/>
              </w:rPr>
              <w:t>50,000 GB per day</w:t>
            </w:r>
          </w:p>
        </w:tc>
        <w:tc>
          <w:tcPr>
            <w:tcW w:w="1923" w:type="dxa"/>
            <w:hideMark/>
          </w:tcPr>
          <w:p w:rsidRPr="000141AB" w:rsidR="000141AB" w:rsidP="000141AB" w:rsidRDefault="000141AB" w14:paraId="4CFB9737" w14:textId="2E9B4DFA">
            <w:pPr>
              <w:spacing w:line="240" w:lineRule="auto"/>
              <w:rPr>
                <w:rFonts w:cs="Arial"/>
                <w:color w:val="auto"/>
              </w:rPr>
            </w:pPr>
            <w:r w:rsidRPr="000141AB">
              <w:rPr>
                <w:rFonts w:cs="Arial"/>
                <w:b/>
                <w:bCs/>
                <w:color w:val="auto"/>
              </w:rPr>
              <w:t>$150,434.34</w:t>
            </w:r>
            <w:r w:rsidRPr="000141AB">
              <w:rPr>
                <w:rFonts w:cs="Arial"/>
                <w:color w:val="auto"/>
              </w:rPr>
              <w:t> </w:t>
            </w:r>
            <w:r>
              <w:rPr>
                <w:rFonts w:cs="Arial"/>
                <w:color w:val="auto"/>
              </w:rPr>
              <w:t>/</w:t>
            </w:r>
            <w:r w:rsidRPr="000141AB">
              <w:rPr>
                <w:rFonts w:cs="Arial"/>
                <w:color w:val="auto"/>
              </w:rPr>
              <w:t>day</w:t>
            </w:r>
          </w:p>
        </w:tc>
        <w:tc>
          <w:tcPr>
            <w:tcW w:w="1113" w:type="dxa"/>
            <w:hideMark/>
          </w:tcPr>
          <w:p w:rsidRPr="000141AB" w:rsidR="000141AB" w:rsidP="000141AB" w:rsidRDefault="000141AB" w14:paraId="6AE50014" w14:textId="36749CE4">
            <w:pPr>
              <w:spacing w:line="240" w:lineRule="auto"/>
              <w:rPr>
                <w:rFonts w:cs="Arial"/>
                <w:color w:val="auto"/>
              </w:rPr>
            </w:pPr>
            <w:r w:rsidRPr="000141AB">
              <w:rPr>
                <w:rFonts w:cs="Arial"/>
                <w:b/>
                <w:bCs/>
                <w:color w:val="auto"/>
              </w:rPr>
              <w:t>$3.01</w:t>
            </w:r>
            <w:r w:rsidRPr="000141AB">
              <w:rPr>
                <w:rFonts w:cs="Arial"/>
                <w:color w:val="auto"/>
              </w:rPr>
              <w:t> </w:t>
            </w:r>
            <w:r>
              <w:rPr>
                <w:rFonts w:cs="Arial"/>
                <w:color w:val="auto"/>
              </w:rPr>
              <w:t>/</w:t>
            </w:r>
            <w:r w:rsidRPr="000141AB">
              <w:rPr>
                <w:rFonts w:cs="Arial"/>
                <w:color w:val="auto"/>
              </w:rPr>
              <w:t>GB</w:t>
            </w:r>
          </w:p>
        </w:tc>
        <w:tc>
          <w:tcPr>
            <w:tcW w:w="1094" w:type="dxa"/>
            <w:hideMark/>
          </w:tcPr>
          <w:p w:rsidRPr="000141AB" w:rsidR="000141AB" w:rsidP="000141AB" w:rsidRDefault="000141AB" w14:paraId="6E40FD11" w14:textId="77777777">
            <w:pPr>
              <w:keepNext/>
              <w:spacing w:line="240" w:lineRule="auto"/>
              <w:jc w:val="center"/>
              <w:rPr>
                <w:rFonts w:cs="Arial"/>
                <w:color w:val="auto"/>
              </w:rPr>
            </w:pPr>
            <w:r w:rsidRPr="000141AB">
              <w:rPr>
                <w:rFonts w:cs="Arial"/>
                <w:color w:val="auto"/>
              </w:rPr>
              <w:t>38%</w:t>
            </w:r>
          </w:p>
        </w:tc>
      </w:tr>
    </w:tbl>
    <w:p w:rsidR="008D07FF" w:rsidP="000141AB" w:rsidRDefault="000141AB" w14:paraId="7DB7A6FE" w14:textId="529E9EB8">
      <w:pPr>
        <w:pStyle w:val="Caption"/>
        <w:jc w:val="center"/>
      </w:pPr>
      <w:r>
        <w:t xml:space="preserve">Table </w:t>
      </w:r>
      <w:r>
        <w:fldChar w:fldCharType="begin"/>
      </w:r>
      <w:r>
        <w:instrText> SEQ Table \* ARABIC </w:instrText>
      </w:r>
      <w:r>
        <w:fldChar w:fldCharType="separate"/>
      </w:r>
      <w:r>
        <w:rPr>
          <w:noProof/>
        </w:rPr>
        <w:t>2</w:t>
      </w:r>
      <w:r>
        <w:fldChar w:fldCharType="end"/>
      </w:r>
      <w:r>
        <w:t>: Baseline pricing construct</w:t>
      </w:r>
    </w:p>
    <w:p w:rsidR="008D07FF" w:rsidP="001C26DD" w:rsidRDefault="008D07FF" w14:paraId="343E91EA" w14:textId="77777777">
      <w:pPr>
        <w:pStyle w:val="BodyText"/>
      </w:pPr>
    </w:p>
    <w:p w:rsidR="008D07FF" w:rsidP="001C26DD" w:rsidRDefault="008D07FF" w14:paraId="041BCF7F" w14:textId="77777777">
      <w:pPr>
        <w:pStyle w:val="BodyText"/>
      </w:pPr>
    </w:p>
    <w:p w:rsidR="008D07FF" w:rsidP="001C26DD" w:rsidRDefault="008D07FF" w14:paraId="742C1B40" w14:textId="77777777">
      <w:pPr>
        <w:pStyle w:val="BodyText"/>
      </w:pPr>
    </w:p>
    <w:p w:rsidR="008D07FF" w:rsidP="001C26DD" w:rsidRDefault="008D07FF" w14:paraId="4F2AA940" w14:textId="77777777">
      <w:pPr>
        <w:pStyle w:val="BodyText"/>
      </w:pPr>
    </w:p>
    <w:p w:rsidR="008D07FF" w:rsidP="001C26DD" w:rsidRDefault="008D07FF" w14:paraId="0EFFB1B8" w14:textId="77777777">
      <w:pPr>
        <w:pStyle w:val="BodyText"/>
      </w:pPr>
    </w:p>
    <w:p w:rsidR="008D07FF" w:rsidP="001C26DD" w:rsidRDefault="008D07FF" w14:paraId="3F7B0B30" w14:textId="77777777">
      <w:pPr>
        <w:pStyle w:val="BodyText"/>
      </w:pPr>
    </w:p>
    <w:p w:rsidR="008D07FF" w:rsidP="001C26DD" w:rsidRDefault="008D07FF" w14:paraId="2EB21F20" w14:textId="77777777">
      <w:pPr>
        <w:pStyle w:val="BodyText"/>
      </w:pPr>
    </w:p>
    <w:p w:rsidR="008D07FF" w:rsidP="001C26DD" w:rsidRDefault="008D07FF" w14:paraId="0AFC7D45" w14:textId="77777777">
      <w:pPr>
        <w:pStyle w:val="BodyText"/>
      </w:pPr>
    </w:p>
    <w:p w:rsidR="008D07FF" w:rsidP="001C26DD" w:rsidRDefault="008D07FF" w14:paraId="6591ECEA" w14:textId="77777777">
      <w:pPr>
        <w:pStyle w:val="BodyText"/>
      </w:pPr>
    </w:p>
    <w:p w:rsidR="008D07FF" w:rsidP="001C26DD" w:rsidRDefault="008D07FF" w14:paraId="565A3B0D" w14:textId="77777777">
      <w:pPr>
        <w:pStyle w:val="BodyText"/>
      </w:pPr>
    </w:p>
    <w:p w:rsidR="008D07FF" w:rsidP="001C26DD" w:rsidRDefault="008D07FF" w14:paraId="74FA7252" w14:textId="77777777">
      <w:pPr>
        <w:pStyle w:val="BodyText"/>
      </w:pPr>
    </w:p>
    <w:p w:rsidR="008D07FF" w:rsidP="001C26DD" w:rsidRDefault="008D07FF" w14:paraId="40D74E51" w14:textId="77777777">
      <w:pPr>
        <w:pStyle w:val="BodyText"/>
      </w:pPr>
    </w:p>
    <w:p w:rsidR="008D07FF" w:rsidP="001C26DD" w:rsidRDefault="008D07FF" w14:paraId="2092DF2B" w14:textId="77777777">
      <w:pPr>
        <w:pStyle w:val="BodyText"/>
      </w:pPr>
    </w:p>
    <w:p w:rsidR="008D07FF" w:rsidP="001C26DD" w:rsidRDefault="008D07FF" w14:paraId="0FA1804E" w14:textId="77777777">
      <w:pPr>
        <w:pStyle w:val="BodyText"/>
      </w:pPr>
    </w:p>
    <w:p w:rsidR="008D07FF" w:rsidP="001C26DD" w:rsidRDefault="008D07FF" w14:paraId="24508E93" w14:textId="77777777">
      <w:pPr>
        <w:pStyle w:val="BodyText"/>
      </w:pPr>
    </w:p>
    <w:p w:rsidR="008D07FF" w:rsidP="001C26DD" w:rsidRDefault="008D07FF" w14:paraId="4BF83772" w14:textId="77777777">
      <w:pPr>
        <w:pStyle w:val="BodyText"/>
      </w:pPr>
    </w:p>
    <w:p w:rsidR="00092625" w:rsidP="001C26DD" w:rsidRDefault="00092625" w14:paraId="0FD83157" w14:textId="77777777">
      <w:pPr>
        <w:pStyle w:val="BodyText"/>
      </w:pPr>
    </w:p>
    <w:p w:rsidR="00092625" w:rsidP="001C26DD" w:rsidRDefault="00092625" w14:paraId="640F3A85" w14:textId="77777777">
      <w:pPr>
        <w:pStyle w:val="BodyText"/>
      </w:pPr>
    </w:p>
    <w:p w:rsidR="008D07FF" w:rsidP="001C26DD" w:rsidRDefault="008D07FF" w14:paraId="299CB049" w14:textId="77777777">
      <w:pPr>
        <w:pStyle w:val="BodyText"/>
      </w:pPr>
    </w:p>
    <w:p w:rsidR="00150AD0" w:rsidP="00150AD0" w:rsidRDefault="007D289F" w14:paraId="7CA67623" w14:textId="70C06BA1">
      <w:pPr>
        <w:pStyle w:val="Heading1"/>
        <w:jc w:val="both"/>
        <w:rPr>
          <w:rFonts w:cs="Arial"/>
        </w:rPr>
      </w:pPr>
      <w:bookmarkStart w:name="_Toc157090434" w:id="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000000" w14:paraId="47FAE910" w14:textId="77777777">
      <w:pPr>
        <w:pStyle w:val="ListParagraph"/>
        <w:numPr>
          <w:ilvl w:val="0"/>
          <w:numId w:val="15"/>
        </w:numPr>
        <w:jc w:val="both"/>
        <w:rPr>
          <w:rFonts w:cs="Arial"/>
        </w:rPr>
      </w:pPr>
      <w:hyperlink w:history="1" w:anchor="reliability" r:id="rId12">
        <w:r w:rsidRPr="00442D9E" w:rsidR="00442D9E">
          <w:rPr>
            <w:rFonts w:cs="Arial"/>
          </w:rPr>
          <w:t>Reliability</w:t>
        </w:r>
      </w:hyperlink>
    </w:p>
    <w:p w:rsidRPr="00442D9E" w:rsidR="00442D9E" w:rsidP="00A93204" w:rsidRDefault="00000000" w14:paraId="4D461E5F" w14:textId="77777777">
      <w:pPr>
        <w:pStyle w:val="ListParagraph"/>
        <w:numPr>
          <w:ilvl w:val="0"/>
          <w:numId w:val="15"/>
        </w:numPr>
        <w:jc w:val="both"/>
        <w:rPr>
          <w:rFonts w:cs="Arial"/>
        </w:rPr>
      </w:pPr>
      <w:hyperlink w:history="1" w:anchor="cost-optimization" r:id="rId13">
        <w:r w:rsidRPr="00442D9E" w:rsidR="00442D9E">
          <w:rPr>
            <w:rFonts w:cs="Arial"/>
          </w:rPr>
          <w:t>Cost optimization</w:t>
        </w:r>
      </w:hyperlink>
    </w:p>
    <w:p w:rsidRPr="00442D9E" w:rsidR="00442D9E" w:rsidP="00A93204" w:rsidRDefault="00000000" w14:paraId="16080B57" w14:textId="77777777">
      <w:pPr>
        <w:pStyle w:val="ListParagraph"/>
        <w:numPr>
          <w:ilvl w:val="0"/>
          <w:numId w:val="15"/>
        </w:numPr>
        <w:jc w:val="both"/>
        <w:rPr>
          <w:rFonts w:cs="Arial"/>
        </w:rPr>
      </w:pPr>
      <w:hyperlink w:history="1" w:anchor="operational-excellence" r:id="rId14">
        <w:r w:rsidRPr="00442D9E" w:rsidR="00442D9E">
          <w:rPr>
            <w:rFonts w:cs="Arial"/>
          </w:rPr>
          <w:t>Operational excellence</w:t>
        </w:r>
      </w:hyperlink>
    </w:p>
    <w:p w:rsidRPr="00442D9E" w:rsidR="00442D9E" w:rsidP="00A93204" w:rsidRDefault="00000000" w14:paraId="4DA7C080" w14:textId="77777777">
      <w:pPr>
        <w:pStyle w:val="ListParagraph"/>
        <w:numPr>
          <w:ilvl w:val="0"/>
          <w:numId w:val="15"/>
        </w:numPr>
        <w:jc w:val="both"/>
        <w:rPr>
          <w:rFonts w:cs="Arial"/>
        </w:rPr>
      </w:pPr>
      <w:hyperlink w:history="1" w:anchor="performance-efficiency" r:id="rId15">
        <w:r w:rsidRPr="00442D9E" w:rsidR="00442D9E">
          <w:rPr>
            <w:rFonts w:cs="Arial"/>
          </w:rPr>
          <w:t>Performance efficiency</w:t>
        </w:r>
      </w:hyperlink>
    </w:p>
    <w:p w:rsidR="00442D9E" w:rsidP="00A93204" w:rsidRDefault="00000000" w14:paraId="08564AE5" w14:textId="33FFA401">
      <w:pPr>
        <w:pStyle w:val="ListParagraph"/>
        <w:numPr>
          <w:ilvl w:val="0"/>
          <w:numId w:val="15"/>
        </w:numPr>
        <w:jc w:val="both"/>
        <w:rPr>
          <w:rFonts w:cs="Arial"/>
        </w:rPr>
      </w:pPr>
      <w:hyperlink w:history="1" w:anchor="security" r:id="rId16">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Pr="00050F61" w:rsidR="00150AD0" w:rsidP="00150AD0" w:rsidRDefault="00442D9E" w14:paraId="190F2144" w14:textId="581120F1">
      <w:pPr>
        <w:pStyle w:val="Heading2"/>
        <w:rPr>
          <w:sz w:val="40"/>
          <w:szCs w:val="40"/>
        </w:rPr>
      </w:pPr>
      <w:bookmarkStart w:name="_Toc157090435" w:id="7"/>
      <w:r w:rsidRPr="00050F61">
        <w:rPr>
          <w:sz w:val="40"/>
          <w:szCs w:val="40"/>
        </w:rPr>
        <w:t>Reliability</w:t>
      </w:r>
      <w:bookmarkEnd w:id="7"/>
    </w:p>
    <w:p w:rsidR="005C31FB" w:rsidP="009937DD" w:rsidRDefault="000F3B77" w14:paraId="37BED485" w14:textId="0FFDA7AB">
      <w:pPr>
        <w:pStyle w:val="Heading3"/>
        <w:numPr>
          <w:ilvl w:val="2"/>
          <w:numId w:val="7"/>
        </w:numPr>
      </w:pPr>
      <w:bookmarkStart w:name="_Toc157090436" w:id="8"/>
      <w:r w:rsidRPr="000F3B77">
        <w:t>Overview</w:t>
      </w:r>
      <w:bookmarkEnd w:id="8"/>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61B7AB4D">
      <w:pPr>
        <w:pStyle w:val="BodyText"/>
        <w:numPr>
          <w:ilvl w:val="0"/>
          <w:numId w:val="18"/>
        </w:numPr>
      </w:pPr>
      <w:r>
        <w:t>Observe application health</w:t>
      </w:r>
    </w:p>
    <w:p w:rsidR="00A57121" w:rsidP="003F755A" w:rsidRDefault="000E1E10" w14:paraId="2E0FCCB1" w14:textId="6B5BB1C3">
      <w:pPr>
        <w:pStyle w:val="BodyText"/>
        <w:numPr>
          <w:ilvl w:val="0"/>
          <w:numId w:val="18"/>
        </w:numPr>
      </w:pPr>
      <w:r>
        <w:t>Drive Automation</w:t>
      </w:r>
    </w:p>
    <w:bookmarkStart w:name="_Toc157090437" w:id="9"/>
    <w:p w:rsidR="00E14D42" w:rsidP="00087F3E" w:rsidRDefault="00000000" w14:paraId="7E917FA8" w14:textId="79213F48">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rsidR="00A57121">
        <w:t xml:space="preserve"> </w:t>
      </w:r>
      <w:r w:rsidR="002348C5">
        <w:t>Reliability Checklist</w:t>
      </w:r>
      <w:bookmarkEnd w:id="9"/>
    </w:p>
    <w:p w:rsidRPr="003C3737" w:rsidR="0040068E" w:rsidP="000F3B77" w:rsidRDefault="003C3737" w14:paraId="3C9E8095" w14:textId="45718B37">
      <w:pPr>
        <w:pStyle w:val="BodyText"/>
      </w:pPr>
      <w:r>
        <w:t xml:space="preserve">There is no guidance for Log Analytics Workspace under the Reliability pillar. </w:t>
      </w:r>
    </w:p>
    <w:p w:rsidR="00DD6259" w:rsidP="000F3B77" w:rsidRDefault="00DD6259" w14:paraId="0275DB6D" w14:textId="77777777">
      <w:pPr>
        <w:pStyle w:val="BodyText"/>
        <w:rPr>
          <w:b/>
          <w:bCs/>
        </w:rPr>
      </w:pPr>
    </w:p>
    <w:p w:rsidR="00092625" w:rsidP="000F3B77" w:rsidRDefault="00092625" w14:paraId="337120F9" w14:textId="77777777">
      <w:pPr>
        <w:pStyle w:val="BodyText"/>
        <w:rPr>
          <w:b/>
          <w:bCs/>
        </w:rPr>
      </w:pPr>
    </w:p>
    <w:p w:rsidR="00092625" w:rsidP="000F3B77" w:rsidRDefault="00092625" w14:paraId="3405D98E" w14:textId="77777777">
      <w:pPr>
        <w:pStyle w:val="BodyText"/>
        <w:rPr>
          <w:b/>
          <w:bCs/>
        </w:rPr>
      </w:pPr>
    </w:p>
    <w:p w:rsidR="00092625" w:rsidP="000F3B77" w:rsidRDefault="00092625" w14:paraId="583FA0BC" w14:textId="77777777">
      <w:pPr>
        <w:pStyle w:val="BodyText"/>
        <w:rPr>
          <w:b/>
          <w:bCs/>
        </w:rPr>
      </w:pPr>
    </w:p>
    <w:p w:rsidR="00092625" w:rsidP="000F3B77" w:rsidRDefault="00092625" w14:paraId="1EE58743" w14:textId="77777777">
      <w:pPr>
        <w:pStyle w:val="BodyText"/>
        <w:rPr>
          <w:b/>
          <w:bCs/>
        </w:rPr>
      </w:pPr>
    </w:p>
    <w:p w:rsidR="00092625" w:rsidP="000F3B77" w:rsidRDefault="00092625" w14:paraId="4D6631D1" w14:textId="77777777">
      <w:pPr>
        <w:pStyle w:val="BodyText"/>
        <w:rPr>
          <w:b/>
          <w:bCs/>
        </w:rPr>
      </w:pPr>
    </w:p>
    <w:p w:rsidR="00092625" w:rsidP="000F3B77" w:rsidRDefault="00092625" w14:paraId="7F304FE9" w14:textId="77777777">
      <w:pPr>
        <w:pStyle w:val="BodyText"/>
        <w:rPr>
          <w:b/>
          <w:bCs/>
        </w:rPr>
      </w:pPr>
    </w:p>
    <w:p w:rsidR="00092625" w:rsidP="000F3B77" w:rsidRDefault="00092625" w14:paraId="50094D8A" w14:textId="77777777">
      <w:pPr>
        <w:pStyle w:val="BodyText"/>
        <w:rPr>
          <w:b/>
          <w:bCs/>
        </w:rPr>
      </w:pPr>
    </w:p>
    <w:p w:rsidR="00092625" w:rsidP="000F3B77" w:rsidRDefault="00092625" w14:paraId="1FF83787" w14:textId="77777777">
      <w:pPr>
        <w:pStyle w:val="BodyText"/>
        <w:rPr>
          <w:b/>
          <w:bCs/>
        </w:rPr>
      </w:pPr>
    </w:p>
    <w:p w:rsidRPr="00050F61" w:rsidR="00442D9E" w:rsidP="00442D9E" w:rsidRDefault="00442D9E" w14:paraId="7A30FF92" w14:textId="1ACE6CCD">
      <w:pPr>
        <w:pStyle w:val="Heading2"/>
        <w:rPr>
          <w:sz w:val="40"/>
          <w:szCs w:val="40"/>
        </w:rPr>
      </w:pPr>
      <w:bookmarkStart w:name="_Toc157090438" w:id="10"/>
      <w:r w:rsidRPr="00050F61">
        <w:rPr>
          <w:sz w:val="40"/>
          <w:szCs w:val="40"/>
        </w:rPr>
        <w:t>Cost Optimisation</w:t>
      </w:r>
      <w:bookmarkEnd w:id="10"/>
    </w:p>
    <w:p w:rsidR="009937DD" w:rsidP="009937DD" w:rsidRDefault="009937DD" w14:paraId="045676B4" w14:textId="77777777">
      <w:pPr>
        <w:pStyle w:val="Heading3"/>
        <w:numPr>
          <w:ilvl w:val="2"/>
          <w:numId w:val="7"/>
        </w:numPr>
      </w:pPr>
      <w:bookmarkStart w:name="_Toc157090439" w:id="11"/>
      <w:r w:rsidRPr="000F3B77">
        <w:t>Overview</w:t>
      </w:r>
      <w:bookmarkEnd w:id="11"/>
    </w:p>
    <w:p w:rsidR="008B7613" w:rsidP="008B7613" w:rsidRDefault="009937DD" w14:paraId="6BD7F196" w14:textId="77777777">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rsidR="009937DD" w:rsidP="008B7613" w:rsidRDefault="008B7613" w14:paraId="40CBF270" w14:textId="214E7C47">
      <w:pPr>
        <w:pStyle w:val="BodyText"/>
        <w:numPr>
          <w:ilvl w:val="0"/>
          <w:numId w:val="25"/>
        </w:numPr>
      </w:pPr>
      <w:r>
        <w:t>Choosing the correct resources</w:t>
      </w:r>
    </w:p>
    <w:p w:rsidR="008B7613" w:rsidP="008B7613" w:rsidRDefault="008B7613" w14:paraId="0BA0775F" w14:textId="4F8C78D4">
      <w:pPr>
        <w:pStyle w:val="BodyText"/>
        <w:numPr>
          <w:ilvl w:val="0"/>
          <w:numId w:val="25"/>
        </w:numPr>
      </w:pPr>
      <w:r>
        <w:t>Setting up budgets and maintaining cost constraints</w:t>
      </w:r>
    </w:p>
    <w:p w:rsidR="008B7613" w:rsidP="008B7613" w:rsidRDefault="008B7613" w14:paraId="4EEC7C5F" w14:textId="28F137BD">
      <w:pPr>
        <w:pStyle w:val="BodyText"/>
        <w:numPr>
          <w:ilvl w:val="0"/>
          <w:numId w:val="25"/>
        </w:numPr>
      </w:pPr>
      <w:r>
        <w:t>Dynamically allocate and deallocate resources</w:t>
      </w:r>
    </w:p>
    <w:p w:rsidR="008B7613" w:rsidP="008B7613" w:rsidRDefault="008B7613" w14:paraId="5945EF0D" w14:textId="64AD54BF">
      <w:pPr>
        <w:pStyle w:val="BodyText"/>
        <w:numPr>
          <w:ilvl w:val="0"/>
          <w:numId w:val="25"/>
        </w:numPr>
      </w:pPr>
      <w:r>
        <w:t>Optimising workloads whilst aiming for scalable costs</w:t>
      </w:r>
    </w:p>
    <w:p w:rsidR="008B7613" w:rsidP="008B7613" w:rsidRDefault="008B7613" w14:paraId="51EC5815" w14:textId="67AB1B98">
      <w:pPr>
        <w:pStyle w:val="BodyText"/>
        <w:numPr>
          <w:ilvl w:val="0"/>
          <w:numId w:val="25"/>
        </w:numPr>
      </w:pPr>
      <w:r>
        <w:t>Continuously monitoring and cost managing</w:t>
      </w:r>
    </w:p>
    <w:bookmarkStart w:name="_Toc157090440" w:id="12"/>
    <w:bookmarkStart w:name="_Log_Analytics_Workspace_1" w:id="13"/>
    <w:bookmarkEnd w:id="13"/>
    <w:p w:rsidR="002B1410" w:rsidP="002B1410" w:rsidRDefault="00000000" w14:paraId="5115B1F0" w14:textId="5BC25974">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rsidR="002B1410">
        <w:t xml:space="preserve"> Cost Optimisation Checklist</w:t>
      </w:r>
      <w:bookmarkEnd w:id="12"/>
    </w:p>
    <w:tbl>
      <w:tblPr>
        <w:tblStyle w:val="AVTable1"/>
        <w:tblW w:w="9015" w:type="dxa"/>
        <w:tblLayout w:type="fixed"/>
        <w:tblLook w:val="04A0" w:firstRow="1" w:lastRow="0" w:firstColumn="1" w:lastColumn="0" w:noHBand="0" w:noVBand="1"/>
      </w:tblPr>
      <w:tblGrid>
        <w:gridCol w:w="699"/>
        <w:gridCol w:w="2511"/>
        <w:gridCol w:w="1436"/>
        <w:gridCol w:w="1591"/>
        <w:gridCol w:w="1355"/>
        <w:gridCol w:w="1423"/>
      </w:tblGrid>
      <w:tr w:rsidRPr="002348C5" w:rsidR="007E524A" w:rsidTr="00527A0B" w14:paraId="6F144AC3" w14:textId="77777777">
        <w:trPr>
          <w:cnfStyle w:val="100000000000" w:firstRow="1" w:lastRow="0" w:firstColumn="0" w:lastColumn="0" w:oddVBand="0" w:evenVBand="0" w:oddHBand="0" w:evenHBand="0" w:firstRowFirstColumn="0" w:firstRowLastColumn="0" w:lastRowFirstColumn="0" w:lastRowLastColumn="0"/>
          <w:trHeight w:val="290"/>
        </w:trPr>
        <w:tc>
          <w:tcPr>
            <w:tcW w:w="699" w:type="dxa"/>
            <w:tcBorders>
              <w:bottom w:val="single" w:color="002776" w:sz="4" w:space="0"/>
            </w:tcBorders>
            <w:noWrap/>
            <w:hideMark/>
          </w:tcPr>
          <w:p w:rsidRPr="002348C5" w:rsidR="007E524A" w:rsidRDefault="007E524A" w14:paraId="2D2E0E03" w14:textId="77777777">
            <w:pPr>
              <w:pStyle w:val="BodyText"/>
              <w:rPr>
                <w:bCs/>
                <w:color w:val="FFFFFF" w:themeColor="background1"/>
              </w:rPr>
            </w:pPr>
            <w:r w:rsidRPr="002348C5">
              <w:rPr>
                <w:bCs/>
                <w:color w:val="FFFFFF" w:themeColor="background1"/>
              </w:rPr>
              <w:t>ID</w:t>
            </w:r>
          </w:p>
        </w:tc>
        <w:tc>
          <w:tcPr>
            <w:tcW w:w="2511" w:type="dxa"/>
            <w:tcBorders>
              <w:bottom w:val="single" w:color="002776" w:sz="4" w:space="0"/>
            </w:tcBorders>
            <w:hideMark/>
          </w:tcPr>
          <w:p w:rsidRPr="002348C5" w:rsidR="007E524A" w:rsidRDefault="007E524A" w14:paraId="5ADC458E" w14:textId="77777777">
            <w:pPr>
              <w:pStyle w:val="BodyText"/>
              <w:rPr>
                <w:bCs/>
                <w:color w:val="FFFFFF" w:themeColor="background1"/>
              </w:rPr>
            </w:pPr>
            <w:r w:rsidRPr="002348C5">
              <w:rPr>
                <w:bCs/>
                <w:color w:val="FFFFFF" w:themeColor="background1"/>
              </w:rPr>
              <w:t>Checklist Item</w:t>
            </w:r>
          </w:p>
        </w:tc>
        <w:tc>
          <w:tcPr>
            <w:tcW w:w="1436" w:type="dxa"/>
            <w:tcBorders>
              <w:bottom w:val="single" w:color="002776" w:sz="4" w:space="0"/>
            </w:tcBorders>
            <w:noWrap/>
            <w:hideMark/>
          </w:tcPr>
          <w:p w:rsidRPr="002348C5" w:rsidR="007E524A" w:rsidRDefault="007E524A" w14:paraId="4F6548D4" w14:textId="77777777">
            <w:pPr>
              <w:pStyle w:val="BodyText"/>
              <w:rPr>
                <w:bCs/>
                <w:color w:val="FFFFFF" w:themeColor="background1"/>
              </w:rPr>
            </w:pPr>
            <w:r w:rsidRPr="002348C5">
              <w:rPr>
                <w:bCs/>
                <w:color w:val="FFFFFF" w:themeColor="background1"/>
              </w:rPr>
              <w:t>Applicable to AV</w:t>
            </w:r>
          </w:p>
        </w:tc>
        <w:tc>
          <w:tcPr>
            <w:tcW w:w="1591" w:type="dxa"/>
            <w:noWrap/>
            <w:hideMark/>
          </w:tcPr>
          <w:p w:rsidRPr="002348C5" w:rsidR="007E524A" w:rsidRDefault="007E524A" w14:paraId="7BA7CA99" w14:textId="737E843E">
            <w:pPr>
              <w:pStyle w:val="BodyText"/>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355" w:type="dxa"/>
          </w:tcPr>
          <w:p w:rsidR="7C933B78" w:rsidP="78DFCD18" w:rsidRDefault="7C933B78" w14:paraId="2CDB3378" w14:textId="576F0A08">
            <w:pPr>
              <w:pStyle w:val="BodyText"/>
              <w:rPr>
                <w:color w:val="FFFFFF" w:themeColor="background1"/>
              </w:rPr>
            </w:pPr>
            <w:r w:rsidRPr="78DFCD18">
              <w:rPr>
                <w:color w:val="FFFFFF" w:themeColor="background1"/>
              </w:rPr>
              <w:t>Enforcement Option</w:t>
            </w:r>
          </w:p>
        </w:tc>
        <w:tc>
          <w:tcPr>
            <w:tcW w:w="1423" w:type="dxa"/>
          </w:tcPr>
          <w:p w:rsidR="7C933B78" w:rsidP="78DFCD18" w:rsidRDefault="7C933B78" w14:paraId="34D59118" w14:textId="53B043ED">
            <w:pPr>
              <w:pStyle w:val="BodyText"/>
              <w:rPr>
                <w:color w:val="FFFFFF" w:themeColor="background1"/>
              </w:rPr>
            </w:pPr>
            <w:r w:rsidRPr="78DFCD18">
              <w:rPr>
                <w:color w:val="FFFFFF" w:themeColor="background1"/>
              </w:rPr>
              <w:t>Applicability</w:t>
            </w:r>
          </w:p>
        </w:tc>
      </w:tr>
      <w:tr w:rsidRPr="002348C5" w:rsidR="00BE191B" w:rsidTr="00527A0B" w14:paraId="602EA572" w14:textId="77777777">
        <w:trPr>
          <w:trHeight w:val="290"/>
        </w:trPr>
        <w:tc>
          <w:tcPr>
            <w:tcW w:w="699" w:type="dxa"/>
            <w:tcBorders>
              <w:bottom w:val="single" w:color="auto" w:sz="4" w:space="0"/>
            </w:tcBorders>
            <w:noWrap/>
            <w:vAlign w:val="center"/>
            <w:hideMark/>
          </w:tcPr>
          <w:p w:rsidRPr="002348C5" w:rsidR="00BE191B" w:rsidP="00BE191B" w:rsidRDefault="00BE191B" w14:paraId="78850C5A" w14:textId="73FBE994">
            <w:pPr>
              <w:pStyle w:val="BodyText"/>
              <w:rPr>
                <w:b/>
                <w:bCs/>
              </w:rPr>
            </w:pPr>
            <w:r>
              <w:rPr>
                <w:b/>
                <w:bCs/>
              </w:rPr>
              <w:t>CO1</w:t>
            </w:r>
          </w:p>
        </w:tc>
        <w:tc>
          <w:tcPr>
            <w:tcW w:w="2511" w:type="dxa"/>
            <w:tcBorders>
              <w:bottom w:val="single" w:color="auto" w:sz="4" w:space="0"/>
            </w:tcBorders>
            <w:vAlign w:val="center"/>
          </w:tcPr>
          <w:p w:rsidRPr="002348C5" w:rsidR="00BE191B" w:rsidP="00BE191B" w:rsidRDefault="00BE191B" w14:paraId="2337E018" w14:textId="4C56E9E7">
            <w:pPr>
              <w:pStyle w:val="BodyText"/>
              <w:rPr>
                <w:sz w:val="20"/>
                <w:szCs w:val="20"/>
              </w:rPr>
            </w:pPr>
            <w:r>
              <w:rPr>
                <w:rFonts w:ascii="Calibri" w:hAnsi="Calibri" w:cs="Calibri"/>
                <w:color w:val="000000"/>
              </w:rPr>
              <w:t xml:space="preserve">Consider adoption of the Commitment Tiers pricing model to the Log Analytics workspace. </w:t>
            </w:r>
          </w:p>
        </w:tc>
        <w:tc>
          <w:tcPr>
            <w:tcW w:w="1436" w:type="dxa"/>
            <w:tcBorders>
              <w:bottom w:val="single" w:color="auto" w:sz="4" w:space="0"/>
            </w:tcBorders>
            <w:noWrap/>
            <w:vAlign w:val="center"/>
          </w:tcPr>
          <w:p w:rsidRPr="002348C5" w:rsidR="00BE191B" w:rsidP="00BE191B" w:rsidRDefault="00BE191B" w14:paraId="319CB4E3" w14:textId="30923B40">
            <w:pPr>
              <w:pStyle w:val="BodyText"/>
              <w:jc w:val="center"/>
              <w:rPr>
                <w:sz w:val="20"/>
                <w:szCs w:val="20"/>
              </w:rPr>
            </w:pPr>
            <w:r>
              <w:rPr>
                <w:sz w:val="20"/>
                <w:szCs w:val="20"/>
              </w:rPr>
              <w:t>Yes</w:t>
            </w:r>
          </w:p>
        </w:tc>
        <w:tc>
          <w:tcPr>
            <w:tcW w:w="1591" w:type="dxa"/>
            <w:noWrap/>
            <w:vAlign w:val="center"/>
          </w:tcPr>
          <w:p w:rsidRPr="002348C5" w:rsidR="00BE191B" w:rsidP="00BE191B" w:rsidRDefault="00BE191B" w14:paraId="63D43CD5" w14:textId="6528BAD8">
            <w:pPr>
              <w:pStyle w:val="BodyText"/>
              <w:jc w:val="center"/>
              <w:rPr>
                <w:sz w:val="20"/>
                <w:szCs w:val="20"/>
              </w:rPr>
            </w:pPr>
            <w:r>
              <w:rPr>
                <w:sz w:val="20"/>
                <w:szCs w:val="20"/>
              </w:rPr>
              <w:t>No</w:t>
            </w:r>
          </w:p>
        </w:tc>
        <w:tc>
          <w:tcPr>
            <w:tcW w:w="1355" w:type="dxa"/>
            <w:vAlign w:val="center"/>
          </w:tcPr>
          <w:p w:rsidR="00BE191B" w:rsidP="00BE191B" w:rsidRDefault="00BE191B" w14:paraId="18CFAA59" w14:textId="19FF7709">
            <w:pPr>
              <w:pStyle w:val="BodyText"/>
              <w:jc w:val="center"/>
              <w:rPr>
                <w:sz w:val="20"/>
                <w:szCs w:val="20"/>
              </w:rPr>
            </w:pPr>
            <w:r>
              <w:rPr>
                <w:sz w:val="20"/>
                <w:szCs w:val="20"/>
              </w:rPr>
              <w:t>Governance</w:t>
            </w:r>
          </w:p>
        </w:tc>
        <w:tc>
          <w:tcPr>
            <w:tcW w:w="1423" w:type="dxa"/>
            <w:vAlign w:val="center"/>
          </w:tcPr>
          <w:p w:rsidR="00BE191B" w:rsidP="00BE191B" w:rsidRDefault="00BE191B" w14:paraId="4568F2C7" w14:textId="77C771FD">
            <w:pPr>
              <w:pStyle w:val="BodyText"/>
              <w:jc w:val="center"/>
              <w:rPr>
                <w:sz w:val="20"/>
                <w:szCs w:val="20"/>
              </w:rPr>
            </w:pPr>
            <w:r>
              <w:rPr>
                <w:sz w:val="20"/>
                <w:szCs w:val="20"/>
              </w:rPr>
              <w:t>Operational – review monthly</w:t>
            </w:r>
          </w:p>
        </w:tc>
      </w:tr>
      <w:tr w:rsidRPr="002348C5" w:rsidR="00BE191B" w:rsidTr="00527A0B" w14:paraId="51516059" w14:textId="77777777">
        <w:trPr>
          <w:trHeight w:val="290"/>
        </w:trPr>
        <w:tc>
          <w:tcPr>
            <w:tcW w:w="699" w:type="dxa"/>
            <w:tcBorders>
              <w:top w:val="single" w:color="auto" w:sz="4" w:space="0"/>
            </w:tcBorders>
            <w:noWrap/>
            <w:vAlign w:val="center"/>
            <w:hideMark/>
          </w:tcPr>
          <w:p w:rsidRPr="002348C5" w:rsidR="00BE191B" w:rsidP="00BE191B" w:rsidRDefault="00BE191B" w14:paraId="788E0018" w14:textId="6E289106">
            <w:pPr>
              <w:pStyle w:val="BodyText"/>
              <w:rPr>
                <w:b/>
                <w:bCs/>
              </w:rPr>
            </w:pPr>
            <w:r>
              <w:rPr>
                <w:b/>
                <w:bCs/>
              </w:rPr>
              <w:t>CO2</w:t>
            </w:r>
          </w:p>
        </w:tc>
        <w:tc>
          <w:tcPr>
            <w:tcW w:w="2511" w:type="dxa"/>
            <w:tcBorders>
              <w:top w:val="single" w:color="auto" w:sz="4" w:space="0"/>
            </w:tcBorders>
            <w:vAlign w:val="center"/>
          </w:tcPr>
          <w:p w:rsidRPr="002348C5" w:rsidR="00BE191B" w:rsidP="00BE191B" w:rsidRDefault="00BE191B" w14:paraId="7AA69852" w14:textId="3D58139E">
            <w:pPr>
              <w:pStyle w:val="BodyText"/>
              <w:rPr>
                <w:sz w:val="20"/>
                <w:szCs w:val="20"/>
              </w:rPr>
            </w:pPr>
            <w:r>
              <w:rPr>
                <w:rFonts w:ascii="Calibri" w:hAnsi="Calibri" w:cs="Calibri"/>
                <w:color w:val="000000"/>
              </w:rPr>
              <w:t xml:space="preserve">Evaluate daily cap usage to limit the daily ingestion for your workspace. </w:t>
            </w:r>
          </w:p>
        </w:tc>
        <w:tc>
          <w:tcPr>
            <w:tcW w:w="1436" w:type="dxa"/>
            <w:tcBorders>
              <w:top w:val="single" w:color="auto" w:sz="4" w:space="0"/>
            </w:tcBorders>
            <w:noWrap/>
            <w:vAlign w:val="center"/>
          </w:tcPr>
          <w:p w:rsidRPr="002348C5" w:rsidR="00BE191B" w:rsidP="00BE191B" w:rsidRDefault="00BE191B" w14:paraId="642E6884" w14:textId="15464E1F">
            <w:pPr>
              <w:pStyle w:val="BodyText"/>
              <w:jc w:val="center"/>
              <w:rPr>
                <w:sz w:val="20"/>
                <w:szCs w:val="20"/>
              </w:rPr>
            </w:pPr>
            <w:r>
              <w:rPr>
                <w:sz w:val="20"/>
                <w:szCs w:val="20"/>
              </w:rPr>
              <w:t>Yes</w:t>
            </w:r>
          </w:p>
        </w:tc>
        <w:tc>
          <w:tcPr>
            <w:tcW w:w="1591" w:type="dxa"/>
            <w:noWrap/>
            <w:vAlign w:val="center"/>
          </w:tcPr>
          <w:p w:rsidRPr="002348C5" w:rsidR="00BE191B" w:rsidP="00BE191B" w:rsidRDefault="00BE191B" w14:paraId="636C6AFD" w14:textId="02A9BFC0">
            <w:pPr>
              <w:pStyle w:val="BodyText"/>
              <w:jc w:val="center"/>
              <w:rPr>
                <w:sz w:val="20"/>
                <w:szCs w:val="20"/>
              </w:rPr>
            </w:pPr>
            <w:r>
              <w:rPr>
                <w:sz w:val="20"/>
                <w:szCs w:val="20"/>
              </w:rPr>
              <w:t>No</w:t>
            </w:r>
          </w:p>
        </w:tc>
        <w:tc>
          <w:tcPr>
            <w:tcW w:w="1355" w:type="dxa"/>
            <w:vAlign w:val="center"/>
          </w:tcPr>
          <w:p w:rsidR="00BE191B" w:rsidP="00BE191B" w:rsidRDefault="00BE191B" w14:paraId="7D499368" w14:textId="06F03928">
            <w:pPr>
              <w:pStyle w:val="BodyText"/>
              <w:jc w:val="center"/>
              <w:rPr>
                <w:sz w:val="20"/>
                <w:szCs w:val="20"/>
              </w:rPr>
            </w:pPr>
            <w:r>
              <w:rPr>
                <w:sz w:val="20"/>
                <w:szCs w:val="20"/>
              </w:rPr>
              <w:t>Governance</w:t>
            </w:r>
          </w:p>
        </w:tc>
        <w:tc>
          <w:tcPr>
            <w:tcW w:w="1423" w:type="dxa"/>
            <w:vAlign w:val="center"/>
          </w:tcPr>
          <w:p w:rsidR="00BE191B" w:rsidP="00BE191B" w:rsidRDefault="00BE191B" w14:paraId="1149A42F" w14:textId="0C84AA42">
            <w:pPr>
              <w:pStyle w:val="BodyText"/>
              <w:jc w:val="center"/>
              <w:rPr>
                <w:sz w:val="20"/>
                <w:szCs w:val="20"/>
              </w:rPr>
            </w:pPr>
            <w:r>
              <w:rPr>
                <w:sz w:val="20"/>
                <w:szCs w:val="20"/>
              </w:rPr>
              <w:t>Operational – review monthly</w:t>
            </w:r>
          </w:p>
        </w:tc>
      </w:tr>
      <w:tr w:rsidRPr="002348C5" w:rsidR="00BE191B" w:rsidTr="00527A0B" w14:paraId="63214FB0" w14:textId="77777777">
        <w:trPr>
          <w:trHeight w:val="290"/>
        </w:trPr>
        <w:tc>
          <w:tcPr>
            <w:tcW w:w="699" w:type="dxa"/>
            <w:noWrap/>
            <w:vAlign w:val="center"/>
            <w:hideMark/>
          </w:tcPr>
          <w:p w:rsidRPr="002348C5" w:rsidR="00BE191B" w:rsidP="00BE191B" w:rsidRDefault="00BE191B" w14:paraId="39EA1A83" w14:textId="1178C88C">
            <w:pPr>
              <w:pStyle w:val="BodyText"/>
              <w:rPr>
                <w:b/>
                <w:bCs/>
              </w:rPr>
            </w:pPr>
            <w:r>
              <w:rPr>
                <w:b/>
                <w:bCs/>
              </w:rPr>
              <w:t>CO3</w:t>
            </w:r>
          </w:p>
        </w:tc>
        <w:tc>
          <w:tcPr>
            <w:tcW w:w="2511" w:type="dxa"/>
            <w:vAlign w:val="center"/>
          </w:tcPr>
          <w:p w:rsidRPr="008B7613" w:rsidR="00BE191B" w:rsidP="00BE191B" w:rsidRDefault="00BE191B" w14:paraId="6507E7CF" w14:textId="76F55FEC">
            <w:pPr>
              <w:spacing w:line="240" w:lineRule="auto"/>
              <w:rPr>
                <w:rFonts w:ascii="Segoe UI" w:hAnsi="Segoe UI" w:cs="Segoe UI"/>
                <w:color w:val="161616"/>
                <w:sz w:val="24"/>
                <w:szCs w:val="24"/>
              </w:rPr>
            </w:pPr>
            <w:r>
              <w:rPr>
                <w:rFonts w:ascii="Calibri" w:hAnsi="Calibri" w:cs="Calibri"/>
                <w:color w:val="000000"/>
              </w:rPr>
              <w:t xml:space="preserve">Understand Log Analytics workspace usage. </w:t>
            </w:r>
          </w:p>
        </w:tc>
        <w:tc>
          <w:tcPr>
            <w:tcW w:w="1436" w:type="dxa"/>
            <w:noWrap/>
            <w:vAlign w:val="center"/>
          </w:tcPr>
          <w:p w:rsidRPr="002348C5" w:rsidR="00BE191B" w:rsidP="00BE191B" w:rsidRDefault="00BE191B" w14:paraId="7B54D054" w14:textId="4AB95112">
            <w:pPr>
              <w:pStyle w:val="BodyText"/>
              <w:jc w:val="center"/>
              <w:rPr>
                <w:sz w:val="20"/>
                <w:szCs w:val="20"/>
              </w:rPr>
            </w:pPr>
            <w:r>
              <w:rPr>
                <w:sz w:val="20"/>
                <w:szCs w:val="20"/>
              </w:rPr>
              <w:t>Yes</w:t>
            </w:r>
          </w:p>
        </w:tc>
        <w:tc>
          <w:tcPr>
            <w:tcW w:w="1591" w:type="dxa"/>
            <w:noWrap/>
            <w:vAlign w:val="center"/>
          </w:tcPr>
          <w:p w:rsidRPr="002348C5" w:rsidR="00BE191B" w:rsidP="00BE191B" w:rsidRDefault="00BE191B" w14:paraId="7FC92870" w14:textId="4BC7E827">
            <w:pPr>
              <w:pStyle w:val="BodyText"/>
              <w:jc w:val="center"/>
              <w:rPr>
                <w:sz w:val="20"/>
                <w:szCs w:val="20"/>
              </w:rPr>
            </w:pPr>
            <w:r>
              <w:rPr>
                <w:sz w:val="20"/>
                <w:szCs w:val="20"/>
              </w:rPr>
              <w:t>No</w:t>
            </w:r>
          </w:p>
        </w:tc>
        <w:tc>
          <w:tcPr>
            <w:tcW w:w="1355" w:type="dxa"/>
            <w:vAlign w:val="center"/>
          </w:tcPr>
          <w:p w:rsidR="00BE191B" w:rsidP="00BE191B" w:rsidRDefault="00BE191B" w14:paraId="45EB3458" w14:textId="36058E59">
            <w:pPr>
              <w:pStyle w:val="BodyText"/>
              <w:jc w:val="center"/>
              <w:rPr>
                <w:sz w:val="20"/>
                <w:szCs w:val="20"/>
              </w:rPr>
            </w:pPr>
            <w:r>
              <w:rPr>
                <w:sz w:val="20"/>
                <w:szCs w:val="20"/>
              </w:rPr>
              <w:t>Governance</w:t>
            </w:r>
          </w:p>
        </w:tc>
        <w:tc>
          <w:tcPr>
            <w:tcW w:w="1423" w:type="dxa"/>
            <w:vAlign w:val="center"/>
          </w:tcPr>
          <w:p w:rsidR="00BE191B" w:rsidP="00BE191B" w:rsidRDefault="00BE191B" w14:paraId="41BFD66E" w14:textId="59D19E25">
            <w:pPr>
              <w:pStyle w:val="BodyText"/>
              <w:jc w:val="center"/>
              <w:rPr>
                <w:sz w:val="20"/>
                <w:szCs w:val="20"/>
              </w:rPr>
            </w:pPr>
            <w:r>
              <w:rPr>
                <w:sz w:val="20"/>
                <w:szCs w:val="20"/>
              </w:rPr>
              <w:t>Operational</w:t>
            </w:r>
          </w:p>
        </w:tc>
      </w:tr>
      <w:tr w:rsidRPr="002348C5" w:rsidR="00BE191B" w:rsidTr="00527A0B" w14:paraId="79CFF0F2" w14:textId="77777777">
        <w:trPr>
          <w:trHeight w:val="290"/>
        </w:trPr>
        <w:tc>
          <w:tcPr>
            <w:tcW w:w="699" w:type="dxa"/>
            <w:noWrap/>
            <w:vAlign w:val="center"/>
            <w:hideMark/>
          </w:tcPr>
          <w:p w:rsidRPr="002348C5" w:rsidR="00BE191B" w:rsidP="00BE191B" w:rsidRDefault="00BE191B" w14:paraId="0FFB0EA6" w14:textId="2D6E9E86">
            <w:pPr>
              <w:pStyle w:val="BodyText"/>
              <w:rPr>
                <w:b/>
                <w:bCs/>
              </w:rPr>
            </w:pPr>
            <w:r>
              <w:rPr>
                <w:b/>
                <w:bCs/>
              </w:rPr>
              <w:t>CO4</w:t>
            </w:r>
          </w:p>
        </w:tc>
        <w:tc>
          <w:tcPr>
            <w:tcW w:w="2511" w:type="dxa"/>
            <w:vAlign w:val="center"/>
          </w:tcPr>
          <w:p w:rsidRPr="008B7613" w:rsidR="00BE191B" w:rsidP="00BE191B" w:rsidRDefault="00BE191B" w14:paraId="2D6DA583" w14:textId="3E6DE489">
            <w:pPr>
              <w:spacing w:line="240" w:lineRule="auto"/>
              <w:rPr>
                <w:rFonts w:ascii="Segoe UI" w:hAnsi="Segoe UI" w:cs="Segoe UI"/>
                <w:color w:val="161616"/>
                <w:sz w:val="24"/>
                <w:szCs w:val="24"/>
              </w:rPr>
            </w:pPr>
            <w:r>
              <w:rPr>
                <w:rFonts w:ascii="Calibri" w:hAnsi="Calibri" w:cs="Calibri"/>
                <w:color w:val="000000"/>
              </w:rPr>
              <w:t xml:space="preserve">Evaluate possible data ingestion volume reducing. </w:t>
            </w:r>
          </w:p>
        </w:tc>
        <w:tc>
          <w:tcPr>
            <w:tcW w:w="1436" w:type="dxa"/>
            <w:noWrap/>
            <w:vAlign w:val="center"/>
          </w:tcPr>
          <w:p w:rsidRPr="002348C5" w:rsidR="00BE191B" w:rsidP="00BE191B" w:rsidRDefault="00BE191B" w14:paraId="627356B3" w14:textId="511645DE">
            <w:pPr>
              <w:pStyle w:val="BodyText"/>
              <w:jc w:val="center"/>
              <w:rPr>
                <w:sz w:val="20"/>
                <w:szCs w:val="20"/>
              </w:rPr>
            </w:pPr>
            <w:r>
              <w:rPr>
                <w:sz w:val="20"/>
                <w:szCs w:val="20"/>
              </w:rPr>
              <w:t>Yes</w:t>
            </w:r>
          </w:p>
        </w:tc>
        <w:tc>
          <w:tcPr>
            <w:tcW w:w="1591" w:type="dxa"/>
            <w:noWrap/>
            <w:vAlign w:val="center"/>
          </w:tcPr>
          <w:p w:rsidRPr="002348C5" w:rsidR="00BE191B" w:rsidP="00BE191B" w:rsidRDefault="00BE191B" w14:paraId="7DD1EF22" w14:textId="6B2BCFC9">
            <w:pPr>
              <w:pStyle w:val="BodyText"/>
              <w:jc w:val="center"/>
              <w:rPr>
                <w:sz w:val="20"/>
                <w:szCs w:val="20"/>
              </w:rPr>
            </w:pPr>
            <w:r>
              <w:rPr>
                <w:sz w:val="20"/>
                <w:szCs w:val="20"/>
              </w:rPr>
              <w:t>No</w:t>
            </w:r>
          </w:p>
        </w:tc>
        <w:tc>
          <w:tcPr>
            <w:tcW w:w="1355" w:type="dxa"/>
            <w:vAlign w:val="center"/>
          </w:tcPr>
          <w:p w:rsidR="00BE191B" w:rsidP="00BE191B" w:rsidRDefault="00BE191B" w14:paraId="6B769A88" w14:textId="035F68D9">
            <w:pPr>
              <w:pStyle w:val="BodyText"/>
              <w:jc w:val="center"/>
              <w:rPr>
                <w:sz w:val="20"/>
                <w:szCs w:val="20"/>
              </w:rPr>
            </w:pPr>
            <w:r>
              <w:rPr>
                <w:sz w:val="20"/>
                <w:szCs w:val="20"/>
              </w:rPr>
              <w:t>Governance</w:t>
            </w:r>
          </w:p>
        </w:tc>
        <w:tc>
          <w:tcPr>
            <w:tcW w:w="1423" w:type="dxa"/>
            <w:vAlign w:val="center"/>
          </w:tcPr>
          <w:p w:rsidR="00BE191B" w:rsidP="00BE191B" w:rsidRDefault="00BE191B" w14:paraId="1980FC8A" w14:textId="59F6F143">
            <w:pPr>
              <w:pStyle w:val="BodyText"/>
              <w:jc w:val="center"/>
              <w:rPr>
                <w:sz w:val="20"/>
                <w:szCs w:val="20"/>
              </w:rPr>
            </w:pPr>
            <w:r>
              <w:rPr>
                <w:sz w:val="20"/>
                <w:szCs w:val="20"/>
              </w:rPr>
              <w:t>Operational – review quarterly</w:t>
            </w:r>
          </w:p>
        </w:tc>
      </w:tr>
    </w:tbl>
    <w:p w:rsidR="00050F61" w:rsidP="00411A13" w:rsidRDefault="00411A13" w14:paraId="705A6F0B" w14:textId="7084E954">
      <w:pPr>
        <w:pStyle w:val="Caption"/>
        <w:jc w:val="center"/>
      </w:pPr>
      <w:r>
        <w:t xml:space="preserve">Table </w:t>
      </w:r>
      <w:r>
        <w:fldChar w:fldCharType="begin"/>
      </w:r>
      <w:r>
        <w:instrText> SEQ Table \* ARABIC </w:instrText>
      </w:r>
      <w:r>
        <w:fldChar w:fldCharType="separate"/>
      </w:r>
      <w:r w:rsidR="000141AB">
        <w:rPr>
          <w:noProof/>
        </w:rPr>
        <w:t>3</w:t>
      </w:r>
      <w:r>
        <w:fldChar w:fldCharType="end"/>
      </w:r>
      <w:r>
        <w:t>: WAF Cost Optimisation checklist summary</w:t>
      </w:r>
    </w:p>
    <w:p w:rsidR="00050F61" w:rsidP="00050F61" w:rsidRDefault="00050F61" w14:paraId="684F67A7" w14:textId="77777777">
      <w:pPr>
        <w:pStyle w:val="BodyText"/>
      </w:pPr>
    </w:p>
    <w:p w:rsidR="00050F61" w:rsidP="00050F61" w:rsidRDefault="00050F61" w14:paraId="76742129" w14:textId="77777777">
      <w:pPr>
        <w:pStyle w:val="BodyText"/>
      </w:pPr>
    </w:p>
    <w:p w:rsidR="00050F61" w:rsidP="00050F61" w:rsidRDefault="00050F61" w14:paraId="783B0CB3" w14:textId="77777777">
      <w:pPr>
        <w:pStyle w:val="BodyText"/>
      </w:pPr>
    </w:p>
    <w:p w:rsidR="00BE191B" w:rsidP="00050F61" w:rsidRDefault="00BE191B" w14:paraId="38C87BE0" w14:textId="77777777">
      <w:pPr>
        <w:pStyle w:val="BodyText"/>
      </w:pPr>
    </w:p>
    <w:p w:rsidR="00BE191B" w:rsidP="00050F61" w:rsidRDefault="00BE191B" w14:paraId="3BBDE525" w14:textId="77777777">
      <w:pPr>
        <w:pStyle w:val="BodyText"/>
      </w:pPr>
    </w:p>
    <w:p w:rsidR="00050F61" w:rsidP="00050F61" w:rsidRDefault="00050F61" w14:paraId="53BEA01D" w14:textId="77777777">
      <w:pPr>
        <w:pStyle w:val="BodyText"/>
      </w:pPr>
    </w:p>
    <w:p w:rsidRPr="00050F61" w:rsidR="00442D9E" w:rsidP="00442D9E" w:rsidRDefault="00442D9E" w14:paraId="71DBA49E" w14:textId="090D1E75">
      <w:pPr>
        <w:pStyle w:val="Heading2"/>
        <w:rPr>
          <w:sz w:val="40"/>
          <w:szCs w:val="40"/>
        </w:rPr>
      </w:pPr>
      <w:bookmarkStart w:name="_Toc157090441" w:id="14"/>
      <w:r w:rsidRPr="00050F61">
        <w:rPr>
          <w:sz w:val="40"/>
          <w:szCs w:val="40"/>
        </w:rPr>
        <w:t>Operational Excellence</w:t>
      </w:r>
      <w:bookmarkEnd w:id="14"/>
    </w:p>
    <w:p w:rsidR="002348C5" w:rsidRDefault="002348C5" w14:paraId="05CC32DA" w14:textId="32EB56EE">
      <w:pPr>
        <w:pStyle w:val="Heading3"/>
        <w:numPr>
          <w:ilvl w:val="2"/>
          <w:numId w:val="7"/>
        </w:numPr>
      </w:pPr>
      <w:r>
        <w:t xml:space="preserve"> </w:t>
      </w:r>
      <w:bookmarkStart w:name="_Toc157090442" w:id="15"/>
      <w:r w:rsidRPr="002348C5">
        <w:t>Overview</w:t>
      </w:r>
      <w:bookmarkEnd w:id="15"/>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Optimise the build and release process (including CI/CD and IaC)</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Focus on continuous improvement</w:t>
      </w:r>
    </w:p>
    <w:p w:rsidR="00DA6DA9" w:rsidP="00DA6DA9" w:rsidRDefault="00DA6DA9" w14:paraId="631FF509" w14:textId="0E7AE478">
      <w:pPr>
        <w:pStyle w:val="BodyText"/>
        <w:numPr>
          <w:ilvl w:val="0"/>
          <w:numId w:val="29"/>
        </w:numPr>
        <w:jc w:val="both"/>
      </w:pPr>
      <w:r>
        <w:t>Use loosely coupled architecture</w:t>
      </w:r>
    </w:p>
    <w:bookmarkStart w:name="_Toc157090443" w:id="16"/>
    <w:p w:rsidR="002B1410" w:rsidP="002B1410" w:rsidRDefault="00000000" w14:paraId="78EFAA12" w14:textId="2825C04A">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rsidR="002B1410">
        <w:t xml:space="preserve"> Operational Excellence Checklist</w:t>
      </w:r>
      <w:bookmarkEnd w:id="16"/>
    </w:p>
    <w:p w:rsidR="00050F61" w:rsidP="002348C5" w:rsidRDefault="009A6B1A" w14:paraId="2467B82B" w14:textId="06897349">
      <w:pPr>
        <w:pStyle w:val="BodyText"/>
      </w:pPr>
      <w:r>
        <w:t xml:space="preserve">There is no guidance for Log Analytics Workspaces under the Operational Excellence pillar. </w:t>
      </w:r>
    </w:p>
    <w:p w:rsidR="00050F61" w:rsidP="002348C5" w:rsidRDefault="00050F61" w14:paraId="562F38D5" w14:textId="77777777">
      <w:pPr>
        <w:pStyle w:val="BodyText"/>
      </w:pPr>
    </w:p>
    <w:p w:rsidRPr="00050F61" w:rsidR="00442D9E" w:rsidP="00442D9E" w:rsidRDefault="00442D9E" w14:paraId="2C368515" w14:textId="1C2173EF">
      <w:pPr>
        <w:pStyle w:val="Heading2"/>
        <w:rPr>
          <w:sz w:val="40"/>
          <w:szCs w:val="40"/>
        </w:rPr>
      </w:pPr>
      <w:bookmarkStart w:name="_Toc157090444" w:id="17"/>
      <w:r w:rsidRPr="00050F61">
        <w:rPr>
          <w:sz w:val="40"/>
          <w:szCs w:val="40"/>
        </w:rPr>
        <w:t>Performance Efficiency</w:t>
      </w:r>
      <w:bookmarkEnd w:id="17"/>
    </w:p>
    <w:p w:rsidR="00050F61" w:rsidP="00050F61" w:rsidRDefault="00050F61" w14:paraId="3A46ECA4" w14:textId="77777777">
      <w:pPr>
        <w:pStyle w:val="Heading3"/>
        <w:numPr>
          <w:ilvl w:val="2"/>
          <w:numId w:val="7"/>
        </w:numPr>
      </w:pPr>
      <w:bookmarkStart w:name="_Toc157090445" w:id="18"/>
      <w:r w:rsidRPr="002348C5">
        <w:t>Overview</w:t>
      </w:r>
      <w:bookmarkEnd w:id="18"/>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rsidR="005652BD" w:rsidP="005652BD" w:rsidRDefault="005652BD" w14:paraId="08055AAF" w14:textId="520078CF">
      <w:pPr>
        <w:pStyle w:val="BodyText"/>
        <w:numPr>
          <w:ilvl w:val="0"/>
          <w:numId w:val="30"/>
        </w:numPr>
        <w:jc w:val="both"/>
      </w:pPr>
      <w:r>
        <w:t>Design for horizontal scaling</w:t>
      </w:r>
    </w:p>
    <w:p w:rsidR="005652BD" w:rsidP="005652BD" w:rsidRDefault="005652BD" w14:paraId="7B7A9E3C" w14:textId="00803E23">
      <w:pPr>
        <w:pStyle w:val="BodyText"/>
        <w:numPr>
          <w:ilvl w:val="0"/>
          <w:numId w:val="30"/>
        </w:numPr>
        <w:jc w:val="both"/>
      </w:pPr>
      <w:r>
        <w:t>Run stress and performance tests</w:t>
      </w:r>
    </w:p>
    <w:p w:rsidRPr="0040068E" w:rsidR="005652BD" w:rsidP="005652BD" w:rsidRDefault="005652BD" w14:paraId="15535365" w14:textId="4FF186F1">
      <w:pPr>
        <w:pStyle w:val="BodyText"/>
        <w:numPr>
          <w:ilvl w:val="0"/>
          <w:numId w:val="30"/>
        </w:numPr>
        <w:jc w:val="both"/>
      </w:pPr>
      <w:r>
        <w:t>Continuously monitor performances, particularly in Production systems</w:t>
      </w:r>
    </w:p>
    <w:bookmarkStart w:name="_Toc157090446" w:id="19"/>
    <w:p w:rsidR="008E30DC" w:rsidP="00050F61" w:rsidRDefault="00000000" w14:paraId="33F4EEB7" w14:textId="2B4FFF9A">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rsidR="008E30DC">
        <w:t xml:space="preserve"> Performance Efficiency Checklist</w:t>
      </w:r>
      <w:bookmarkEnd w:id="19"/>
    </w:p>
    <w:p w:rsidR="00DD6259" w:rsidP="00050F61" w:rsidRDefault="009A6B1A" w14:paraId="19A2B1E4" w14:textId="1C80A818">
      <w:pPr>
        <w:pStyle w:val="BodyText"/>
      </w:pPr>
      <w:r>
        <w:t xml:space="preserve">There is no guidance for Log Analytics Workspace under the Performance Efficiency pillar. </w:t>
      </w:r>
    </w:p>
    <w:p w:rsidR="00DD6259" w:rsidP="00050F61" w:rsidRDefault="00DD6259" w14:paraId="3BB6C9EF" w14:textId="77777777">
      <w:pPr>
        <w:pStyle w:val="BodyText"/>
      </w:pPr>
    </w:p>
    <w:p w:rsidR="00DD6259" w:rsidP="00050F61" w:rsidRDefault="00DD6259" w14:paraId="7C2B2B9D" w14:textId="77777777">
      <w:pPr>
        <w:pStyle w:val="BodyText"/>
      </w:pPr>
    </w:p>
    <w:p w:rsidR="00DD6259" w:rsidP="00050F61" w:rsidRDefault="00DD6259" w14:paraId="78EC9B03" w14:textId="77777777">
      <w:pPr>
        <w:pStyle w:val="BodyText"/>
      </w:pPr>
    </w:p>
    <w:p w:rsidR="00DD6259" w:rsidP="00050F61" w:rsidRDefault="00DD6259" w14:paraId="73452319" w14:textId="77777777">
      <w:pPr>
        <w:pStyle w:val="BodyText"/>
      </w:pPr>
    </w:p>
    <w:p w:rsidR="00DD6259" w:rsidP="00050F61" w:rsidRDefault="00DD6259" w14:paraId="27176819" w14:textId="77777777">
      <w:pPr>
        <w:pStyle w:val="BodyText"/>
      </w:pPr>
    </w:p>
    <w:p w:rsidR="00DD6259" w:rsidP="00050F61" w:rsidRDefault="00DD6259" w14:paraId="69AE9BBF" w14:textId="77777777">
      <w:pPr>
        <w:pStyle w:val="BodyText"/>
      </w:pPr>
    </w:p>
    <w:p w:rsidR="00DD6259" w:rsidP="00050F61" w:rsidRDefault="00DD6259" w14:paraId="5CE47C20" w14:textId="77777777">
      <w:pPr>
        <w:pStyle w:val="BodyText"/>
      </w:pPr>
    </w:p>
    <w:p w:rsidR="00535B30" w:rsidP="00050F61" w:rsidRDefault="00535B30" w14:paraId="3B82CF65" w14:textId="77777777">
      <w:pPr>
        <w:pStyle w:val="BodyText"/>
      </w:pPr>
    </w:p>
    <w:p w:rsidR="00535B30" w:rsidP="00050F61" w:rsidRDefault="00535B30" w14:paraId="5A521988" w14:textId="77777777">
      <w:pPr>
        <w:pStyle w:val="BodyText"/>
      </w:pPr>
    </w:p>
    <w:p w:rsidR="00535B30" w:rsidP="00050F61" w:rsidRDefault="00535B30" w14:paraId="1619CCED" w14:textId="77777777">
      <w:pPr>
        <w:pStyle w:val="BodyText"/>
      </w:pPr>
    </w:p>
    <w:p w:rsidRPr="00050F61" w:rsidR="00DD6259" w:rsidP="00050F61" w:rsidRDefault="00DD6259" w14:paraId="7A24A4F9" w14:textId="77777777">
      <w:pPr>
        <w:pStyle w:val="BodyText"/>
      </w:pPr>
    </w:p>
    <w:p w:rsidRPr="00050F61" w:rsidR="00442D9E" w:rsidRDefault="00442D9E" w14:paraId="1F6E6333" w14:textId="5710D6B5">
      <w:pPr>
        <w:pStyle w:val="Heading2"/>
        <w:rPr>
          <w:sz w:val="40"/>
          <w:szCs w:val="40"/>
        </w:rPr>
      </w:pPr>
      <w:bookmarkStart w:name="_Toc157090447" w:id="20"/>
      <w:r w:rsidRPr="00050F61">
        <w:rPr>
          <w:sz w:val="40"/>
          <w:szCs w:val="40"/>
        </w:rPr>
        <w:t>Security</w:t>
      </w:r>
      <w:bookmarkEnd w:id="20"/>
    </w:p>
    <w:p w:rsidR="00050F61" w:rsidP="007D289F" w:rsidRDefault="00050F61" w14:paraId="7C4DECDC" w14:textId="77777777">
      <w:pPr>
        <w:pStyle w:val="Heading3"/>
        <w:numPr>
          <w:ilvl w:val="2"/>
          <w:numId w:val="7"/>
        </w:numPr>
        <w:jc w:val="both"/>
      </w:pPr>
      <w:bookmarkStart w:name="_Toc157090448" w:id="21"/>
      <w:r w:rsidRPr="002348C5">
        <w:t>Overview</w:t>
      </w:r>
      <w:bookmarkEnd w:id="21"/>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rsidR="00442D9E" w:rsidP="007D289F" w:rsidRDefault="002E0E7D" w14:paraId="3391C4A0" w14:textId="73451BB8">
      <w:pPr>
        <w:pStyle w:val="BodyText"/>
        <w:numPr>
          <w:ilvl w:val="0"/>
          <w:numId w:val="24"/>
        </w:numPr>
        <w:jc w:val="both"/>
      </w:pPr>
      <w:r>
        <w:t>Plan resources and how to harden them</w:t>
      </w:r>
    </w:p>
    <w:p w:rsidR="002E0E7D" w:rsidP="007D289F" w:rsidRDefault="002E0E7D" w14:paraId="2B0B69E2" w14:textId="3AAF3D5A">
      <w:pPr>
        <w:pStyle w:val="BodyText"/>
        <w:numPr>
          <w:ilvl w:val="0"/>
          <w:numId w:val="24"/>
        </w:numPr>
        <w:jc w:val="both"/>
      </w:pPr>
      <w:r>
        <w:t>Automate and use least privilege</w:t>
      </w:r>
    </w:p>
    <w:p w:rsidR="002E0E7D" w:rsidP="007D289F" w:rsidRDefault="002E0E7D" w14:paraId="508719ED" w14:textId="03575133">
      <w:pPr>
        <w:pStyle w:val="BodyText"/>
        <w:numPr>
          <w:ilvl w:val="0"/>
          <w:numId w:val="24"/>
        </w:numPr>
        <w:jc w:val="both"/>
      </w:pPr>
      <w:r>
        <w:t>Classify and encrypt data</w:t>
      </w:r>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Identify and protect endpoints</w:t>
      </w:r>
    </w:p>
    <w:p w:rsidR="002E0E7D" w:rsidP="007D289F" w:rsidRDefault="002E0E7D" w14:paraId="068450F2" w14:textId="3C6698B5">
      <w:pPr>
        <w:pStyle w:val="BodyText"/>
        <w:numPr>
          <w:ilvl w:val="0"/>
          <w:numId w:val="24"/>
        </w:numPr>
        <w:jc w:val="both"/>
      </w:pPr>
      <w:r>
        <w:t>Protect against code-level vulnerabilities</w:t>
      </w:r>
    </w:p>
    <w:p w:rsidR="002E0E7D" w:rsidP="007D289F" w:rsidRDefault="002E0E7D" w14:paraId="7B95182E" w14:textId="50202B89">
      <w:pPr>
        <w:pStyle w:val="BodyText"/>
        <w:numPr>
          <w:ilvl w:val="0"/>
          <w:numId w:val="24"/>
        </w:numPr>
        <w:jc w:val="both"/>
      </w:pPr>
      <w:r>
        <w:t>Model and test against potential threats</w:t>
      </w:r>
    </w:p>
    <w:p w:rsidR="009937DD" w:rsidP="007D289F" w:rsidRDefault="00050F61" w14:paraId="09968FAE" w14:textId="702E6462">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name="_Log_Analytics_Workspace" w:id="22"/>
    <w:bookmarkStart w:name="_Toc157090449" w:id="23"/>
    <w:bookmarkEnd w:id="22"/>
    <w:p w:rsidR="00DD6259" w:rsidP="00442D9E" w:rsidRDefault="00000000" w14:paraId="1F376AAC" w14:textId="58615EBD">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rsidR="00DD6259">
        <w:t xml:space="preserve"> Security Checklist</w:t>
      </w:r>
      <w:bookmarkEnd w:id="23"/>
    </w:p>
    <w:tbl>
      <w:tblPr>
        <w:tblStyle w:val="AVTable1"/>
        <w:tblW w:w="9356" w:type="dxa"/>
        <w:tblLook w:val="04A0" w:firstRow="1" w:lastRow="0" w:firstColumn="1" w:lastColumn="0" w:noHBand="0" w:noVBand="1"/>
      </w:tblPr>
      <w:tblGrid>
        <w:gridCol w:w="474"/>
        <w:gridCol w:w="690"/>
        <w:gridCol w:w="2916"/>
        <w:gridCol w:w="1220"/>
        <w:gridCol w:w="1375"/>
        <w:gridCol w:w="1377"/>
        <w:gridCol w:w="1304"/>
      </w:tblGrid>
      <w:tr w:rsidRPr="00396661" w:rsidR="00396661" w:rsidTr="00396661" w14:paraId="418BAEFC" w14:textId="77777777">
        <w:trPr>
          <w:cnfStyle w:val="100000000000" w:firstRow="1" w:lastRow="0" w:firstColumn="0" w:lastColumn="0" w:oddVBand="0" w:evenVBand="0" w:oddHBand="0" w:evenHBand="0" w:firstRowFirstColumn="0" w:firstRowLastColumn="0" w:lastRowFirstColumn="0" w:lastRowLastColumn="0"/>
          <w:trHeight w:val="290"/>
        </w:trPr>
        <w:tc>
          <w:tcPr>
            <w:tcW w:w="458" w:type="dxa"/>
            <w:tcBorders>
              <w:bottom w:val="single" w:color="002776" w:sz="4" w:space="0"/>
            </w:tcBorders>
            <w:noWrap/>
            <w:hideMark/>
          </w:tcPr>
          <w:p w:rsidRPr="00396661" w:rsidR="00602014" w:rsidRDefault="00602014" w14:paraId="0C489489" w14:textId="77777777">
            <w:pPr>
              <w:pStyle w:val="BodyText"/>
              <w:rPr>
                <w:rFonts w:cs="Arial"/>
                <w:bCs/>
                <w:color w:val="FFFFFF" w:themeColor="background1"/>
                <w:sz w:val="20"/>
                <w:szCs w:val="20"/>
              </w:rPr>
            </w:pPr>
            <w:r w:rsidRPr="00396661">
              <w:rPr>
                <w:rFonts w:cs="Arial"/>
                <w:bCs/>
                <w:color w:val="FFFFFF" w:themeColor="background1"/>
                <w:sz w:val="20"/>
                <w:szCs w:val="20"/>
              </w:rPr>
              <w:t>ID</w:t>
            </w:r>
          </w:p>
        </w:tc>
        <w:tc>
          <w:tcPr>
            <w:tcW w:w="691" w:type="dxa"/>
            <w:tcBorders>
              <w:bottom w:val="single" w:color="002776" w:sz="4" w:space="0"/>
            </w:tcBorders>
          </w:tcPr>
          <w:p w:rsidRPr="00396661" w:rsidR="00602014" w:rsidRDefault="00602014" w14:paraId="362AD50A" w14:textId="503FEFE7">
            <w:pPr>
              <w:pStyle w:val="BodyText"/>
              <w:rPr>
                <w:rFonts w:cs="Arial"/>
                <w:color w:val="FFFFFF" w:themeColor="background1"/>
                <w:sz w:val="20"/>
                <w:szCs w:val="20"/>
              </w:rPr>
            </w:pPr>
            <w:r w:rsidRPr="00396661">
              <w:rPr>
                <w:rFonts w:cs="Arial"/>
                <w:color w:val="FFFFFF" w:themeColor="background1"/>
                <w:sz w:val="20"/>
                <w:szCs w:val="20"/>
              </w:rPr>
              <w:t>DH Ref.</w:t>
            </w:r>
          </w:p>
        </w:tc>
        <w:tc>
          <w:tcPr>
            <w:tcW w:w="2962" w:type="dxa"/>
            <w:tcBorders>
              <w:bottom w:val="single" w:color="002776" w:sz="4" w:space="0"/>
            </w:tcBorders>
            <w:hideMark/>
          </w:tcPr>
          <w:p w:rsidRPr="00396661" w:rsidR="00602014" w:rsidRDefault="00602014" w14:paraId="5776F31B" w14:textId="0FDD419D">
            <w:pPr>
              <w:pStyle w:val="BodyText"/>
              <w:rPr>
                <w:rFonts w:cs="Arial"/>
                <w:bCs/>
                <w:color w:val="FFFFFF" w:themeColor="background1"/>
                <w:sz w:val="20"/>
                <w:szCs w:val="20"/>
              </w:rPr>
            </w:pPr>
            <w:r w:rsidRPr="00396661">
              <w:rPr>
                <w:rFonts w:cs="Arial"/>
                <w:bCs/>
                <w:color w:val="FFFFFF" w:themeColor="background1"/>
                <w:sz w:val="20"/>
                <w:szCs w:val="20"/>
              </w:rPr>
              <w:t>Checklist Item</w:t>
            </w:r>
          </w:p>
        </w:tc>
        <w:tc>
          <w:tcPr>
            <w:tcW w:w="1204" w:type="dxa"/>
            <w:tcBorders>
              <w:bottom w:val="single" w:color="002776" w:sz="4" w:space="0"/>
            </w:tcBorders>
            <w:noWrap/>
            <w:hideMark/>
          </w:tcPr>
          <w:p w:rsidRPr="00396661" w:rsidR="00602014" w:rsidRDefault="00602014" w14:paraId="09593A83" w14:textId="77777777">
            <w:pPr>
              <w:pStyle w:val="BodyText"/>
              <w:rPr>
                <w:rFonts w:cs="Arial"/>
                <w:bCs/>
                <w:color w:val="FFFFFF" w:themeColor="background1"/>
                <w:sz w:val="20"/>
                <w:szCs w:val="20"/>
              </w:rPr>
            </w:pPr>
            <w:r w:rsidRPr="00396661">
              <w:rPr>
                <w:rFonts w:cs="Arial"/>
                <w:bCs/>
                <w:color w:val="FFFFFF" w:themeColor="background1"/>
                <w:sz w:val="20"/>
                <w:szCs w:val="20"/>
              </w:rPr>
              <w:t>Applicable to AV</w:t>
            </w:r>
          </w:p>
        </w:tc>
        <w:tc>
          <w:tcPr>
            <w:tcW w:w="1359" w:type="dxa"/>
            <w:noWrap/>
            <w:hideMark/>
          </w:tcPr>
          <w:p w:rsidRPr="00396661" w:rsidR="00602014" w:rsidRDefault="00602014" w14:paraId="3F26760D" w14:textId="7FEDECF5">
            <w:pPr>
              <w:pStyle w:val="BodyText"/>
              <w:rPr>
                <w:rFonts w:cs="Arial"/>
                <w:bCs/>
                <w:color w:val="FFFFFF" w:themeColor="background1"/>
                <w:sz w:val="20"/>
                <w:szCs w:val="20"/>
              </w:rPr>
            </w:pPr>
            <w:r w:rsidRPr="00396661">
              <w:rPr>
                <w:rFonts w:cs="Arial"/>
                <w:bCs/>
                <w:color w:val="FFFFFF" w:themeColor="background1"/>
                <w:sz w:val="20"/>
                <w:szCs w:val="20"/>
              </w:rPr>
              <w:t xml:space="preserve">Built Into </w:t>
            </w:r>
            <w:r w:rsidRPr="00396661" w:rsidR="003E6D10">
              <w:rPr>
                <w:rFonts w:cs="Arial"/>
                <w:bCs/>
                <w:color w:val="FFFFFF" w:themeColor="background1"/>
                <w:sz w:val="20"/>
                <w:szCs w:val="20"/>
              </w:rPr>
              <w:t>Template</w:t>
            </w:r>
          </w:p>
        </w:tc>
        <w:tc>
          <w:tcPr>
            <w:tcW w:w="1378" w:type="dxa"/>
          </w:tcPr>
          <w:p w:rsidRPr="00396661" w:rsidR="0282E0B0" w:rsidP="78DFCD18" w:rsidRDefault="0282E0B0" w14:paraId="163FCBF6" w14:textId="34CD39A1">
            <w:pPr>
              <w:pStyle w:val="BodyText"/>
              <w:rPr>
                <w:rFonts w:cs="Arial"/>
                <w:color w:val="FFFFFF" w:themeColor="background1"/>
                <w:sz w:val="20"/>
                <w:szCs w:val="20"/>
              </w:rPr>
            </w:pPr>
            <w:r w:rsidRPr="00396661">
              <w:rPr>
                <w:rFonts w:cs="Arial"/>
                <w:color w:val="FFFFFF" w:themeColor="background1"/>
                <w:sz w:val="20"/>
                <w:szCs w:val="20"/>
              </w:rPr>
              <w:t>Enforcement Option</w:t>
            </w:r>
          </w:p>
        </w:tc>
        <w:tc>
          <w:tcPr>
            <w:tcW w:w="1304" w:type="dxa"/>
          </w:tcPr>
          <w:p w:rsidRPr="00396661" w:rsidR="0282E0B0" w:rsidP="78DFCD18" w:rsidRDefault="0282E0B0" w14:paraId="075D33E1" w14:textId="50EA3AF0">
            <w:pPr>
              <w:pStyle w:val="BodyText"/>
              <w:rPr>
                <w:rFonts w:cs="Arial"/>
                <w:color w:val="FFFFFF" w:themeColor="background1"/>
                <w:sz w:val="20"/>
                <w:szCs w:val="20"/>
              </w:rPr>
            </w:pPr>
            <w:r w:rsidRPr="00396661">
              <w:rPr>
                <w:rFonts w:cs="Arial"/>
                <w:color w:val="FFFFFF" w:themeColor="background1"/>
                <w:sz w:val="20"/>
                <w:szCs w:val="20"/>
              </w:rPr>
              <w:t>Applicability</w:t>
            </w:r>
          </w:p>
        </w:tc>
      </w:tr>
      <w:tr w:rsidRPr="00396661" w:rsidR="00396661" w:rsidTr="00396661" w14:paraId="4A5C07CC" w14:textId="77777777">
        <w:trPr>
          <w:trHeight w:val="290"/>
        </w:trPr>
        <w:tc>
          <w:tcPr>
            <w:tcW w:w="458" w:type="dxa"/>
            <w:tcBorders>
              <w:bottom w:val="single" w:color="auto" w:sz="4" w:space="0"/>
            </w:tcBorders>
            <w:noWrap/>
            <w:vAlign w:val="center"/>
            <w:hideMark/>
          </w:tcPr>
          <w:p w:rsidRPr="00396661" w:rsidR="0051682F" w:rsidP="0051682F" w:rsidRDefault="0051682F" w14:paraId="26C4C05B" w14:textId="1F8F9A2D">
            <w:pPr>
              <w:pStyle w:val="BodyText"/>
              <w:rPr>
                <w:rFonts w:cs="Arial"/>
                <w:b/>
                <w:bCs/>
                <w:color w:val="000000"/>
                <w:sz w:val="20"/>
                <w:szCs w:val="20"/>
                <w:shd w:val="clear" w:color="auto" w:fill="FFFFFF"/>
              </w:rPr>
            </w:pPr>
            <w:r w:rsidRPr="00396661">
              <w:rPr>
                <w:rFonts w:cs="Arial"/>
                <w:b/>
                <w:bCs/>
                <w:color w:val="000000"/>
                <w:sz w:val="20"/>
                <w:szCs w:val="20"/>
                <w:shd w:val="clear" w:color="auto" w:fill="FFFFFF"/>
              </w:rPr>
              <w:t>S1</w:t>
            </w:r>
          </w:p>
        </w:tc>
        <w:tc>
          <w:tcPr>
            <w:tcW w:w="691" w:type="dxa"/>
            <w:tcBorders>
              <w:bottom w:val="single" w:color="auto" w:sz="4" w:space="0"/>
            </w:tcBorders>
            <w:vAlign w:val="center"/>
          </w:tcPr>
          <w:p w:rsidRPr="00396661" w:rsidR="0051682F" w:rsidP="0051682F" w:rsidRDefault="0051682F" w14:paraId="35283279" w14:textId="5AA31F21">
            <w:pPr>
              <w:pStyle w:val="BodyText"/>
              <w:rPr>
                <w:rFonts w:cs="Arial"/>
                <w:color w:val="000000"/>
                <w:sz w:val="20"/>
                <w:szCs w:val="20"/>
                <w:shd w:val="clear" w:color="auto" w:fill="FFFFFF"/>
              </w:rPr>
            </w:pPr>
            <w:r w:rsidRPr="00396661">
              <w:rPr>
                <w:rFonts w:cs="Arial"/>
                <w:color w:val="000000"/>
                <w:sz w:val="20"/>
                <w:szCs w:val="20"/>
              </w:rPr>
              <w:t>16.1.1</w:t>
            </w:r>
          </w:p>
        </w:tc>
        <w:tc>
          <w:tcPr>
            <w:tcW w:w="2962" w:type="dxa"/>
            <w:tcBorders>
              <w:bottom w:val="single" w:color="auto" w:sz="4" w:space="0"/>
            </w:tcBorders>
            <w:vAlign w:val="center"/>
          </w:tcPr>
          <w:p w:rsidRPr="00396661" w:rsidR="0051682F" w:rsidP="0051682F" w:rsidRDefault="0051682F" w14:paraId="65142F7C" w14:textId="6C8C2BD0">
            <w:pPr>
              <w:pStyle w:val="BodyText"/>
              <w:rPr>
                <w:rFonts w:cs="Arial"/>
                <w:color w:val="000000"/>
                <w:sz w:val="20"/>
                <w:szCs w:val="20"/>
                <w:shd w:val="clear" w:color="auto" w:fill="FFFFFF"/>
              </w:rPr>
            </w:pPr>
            <w:r w:rsidRPr="00396661">
              <w:rPr>
                <w:rFonts w:cs="Arial"/>
                <w:color w:val="000000"/>
                <w:sz w:val="20"/>
                <w:szCs w:val="20"/>
              </w:rPr>
              <w:t>Establish and maintain an audit log management and monitoring process that defines the enterprise’s logging requirements. At a minimum, address the collection, review, and retention of audit logs for enterprise assets. Review and update documentation annually, or when significant enterprise changes occur that could impact this Safeguard.</w:t>
            </w:r>
          </w:p>
        </w:tc>
        <w:tc>
          <w:tcPr>
            <w:tcW w:w="1204" w:type="dxa"/>
            <w:tcBorders>
              <w:bottom w:val="single" w:color="auto" w:sz="4" w:space="0"/>
            </w:tcBorders>
            <w:noWrap/>
            <w:vAlign w:val="center"/>
          </w:tcPr>
          <w:p w:rsidRPr="00396661" w:rsidR="0051682F" w:rsidP="0051682F" w:rsidRDefault="00394F71" w14:paraId="526E8C60" w14:textId="2EDBBC91">
            <w:pPr>
              <w:pStyle w:val="BodyText"/>
              <w:jc w:val="center"/>
              <w:rPr>
                <w:rFonts w:cs="Arial"/>
                <w:color w:val="000000"/>
                <w:sz w:val="20"/>
                <w:szCs w:val="20"/>
                <w:shd w:val="clear" w:color="auto" w:fill="FFFFFF"/>
              </w:rPr>
            </w:pPr>
            <w:r w:rsidRPr="00396661">
              <w:rPr>
                <w:rFonts w:cs="Arial"/>
                <w:color w:val="000000"/>
                <w:sz w:val="20"/>
                <w:szCs w:val="20"/>
                <w:shd w:val="clear" w:color="auto" w:fill="FFFFFF"/>
              </w:rPr>
              <w:t>Yes</w:t>
            </w:r>
          </w:p>
        </w:tc>
        <w:tc>
          <w:tcPr>
            <w:tcW w:w="1359" w:type="dxa"/>
            <w:noWrap/>
            <w:vAlign w:val="center"/>
          </w:tcPr>
          <w:p w:rsidRPr="00396661" w:rsidR="0051682F" w:rsidP="0051682F" w:rsidRDefault="00394F71" w14:paraId="760C2107" w14:textId="602C02EF">
            <w:pPr>
              <w:pStyle w:val="BodyText"/>
              <w:jc w:val="center"/>
              <w:rPr>
                <w:rFonts w:cs="Arial"/>
                <w:color w:val="000000"/>
                <w:sz w:val="20"/>
                <w:szCs w:val="20"/>
                <w:shd w:val="clear" w:color="auto" w:fill="FFFFFF"/>
              </w:rPr>
            </w:pPr>
            <w:r w:rsidRPr="00396661">
              <w:rPr>
                <w:rFonts w:cs="Arial"/>
                <w:color w:val="000000"/>
                <w:sz w:val="20"/>
                <w:szCs w:val="20"/>
                <w:shd w:val="clear" w:color="auto" w:fill="FFFFFF"/>
              </w:rPr>
              <w:t>No</w:t>
            </w:r>
          </w:p>
        </w:tc>
        <w:tc>
          <w:tcPr>
            <w:tcW w:w="1378" w:type="dxa"/>
            <w:vAlign w:val="center"/>
          </w:tcPr>
          <w:p w:rsidRPr="00396661" w:rsidR="0051682F" w:rsidP="0051682F" w:rsidRDefault="00394F71" w14:paraId="517BB93D" w14:textId="44A4F3A9">
            <w:pPr>
              <w:pStyle w:val="BodyText"/>
              <w:jc w:val="center"/>
              <w:rPr>
                <w:rFonts w:cs="Arial"/>
                <w:color w:val="000000" w:themeColor="text1"/>
                <w:sz w:val="20"/>
                <w:szCs w:val="20"/>
              </w:rPr>
            </w:pPr>
            <w:r w:rsidRPr="00396661">
              <w:rPr>
                <w:rFonts w:cs="Arial"/>
                <w:color w:val="000000" w:themeColor="text1"/>
                <w:sz w:val="20"/>
                <w:szCs w:val="20"/>
              </w:rPr>
              <w:t>Governance</w:t>
            </w:r>
          </w:p>
        </w:tc>
        <w:tc>
          <w:tcPr>
            <w:tcW w:w="1304" w:type="dxa"/>
            <w:vAlign w:val="center"/>
          </w:tcPr>
          <w:p w:rsidRPr="00396661" w:rsidR="0051682F" w:rsidP="0051682F" w:rsidRDefault="00394F71" w14:paraId="42B223AA" w14:textId="0ED83893">
            <w:pPr>
              <w:pStyle w:val="BodyText"/>
              <w:jc w:val="center"/>
              <w:rPr>
                <w:rFonts w:cs="Arial"/>
                <w:color w:val="000000" w:themeColor="text1"/>
                <w:sz w:val="20"/>
                <w:szCs w:val="20"/>
              </w:rPr>
            </w:pPr>
            <w:r w:rsidRPr="00396661">
              <w:rPr>
                <w:rFonts w:cs="Arial"/>
                <w:color w:val="000000" w:themeColor="text1"/>
                <w:sz w:val="20"/>
                <w:szCs w:val="20"/>
              </w:rPr>
              <w:t>Operational – review quarterly</w:t>
            </w:r>
          </w:p>
        </w:tc>
      </w:tr>
      <w:tr w:rsidRPr="00396661" w:rsidR="00396661" w:rsidTr="00396661" w14:paraId="16CC2A81" w14:textId="77777777">
        <w:trPr>
          <w:trHeight w:val="290"/>
        </w:trPr>
        <w:tc>
          <w:tcPr>
            <w:tcW w:w="458" w:type="dxa"/>
            <w:tcBorders>
              <w:top w:val="single" w:color="auto" w:sz="4" w:space="0"/>
            </w:tcBorders>
            <w:noWrap/>
            <w:vAlign w:val="center"/>
            <w:hideMark/>
          </w:tcPr>
          <w:p w:rsidRPr="00396661" w:rsidR="0051682F" w:rsidP="0051682F" w:rsidRDefault="0051682F" w14:paraId="47A3F97F" w14:textId="659C53E8">
            <w:pPr>
              <w:pStyle w:val="BodyText"/>
              <w:rPr>
                <w:rFonts w:cs="Arial"/>
                <w:b/>
                <w:bCs/>
                <w:color w:val="000000"/>
                <w:sz w:val="20"/>
                <w:szCs w:val="20"/>
                <w:shd w:val="clear" w:color="auto" w:fill="FFFFFF"/>
              </w:rPr>
            </w:pPr>
            <w:r w:rsidRPr="00396661">
              <w:rPr>
                <w:rFonts w:cs="Arial"/>
                <w:b/>
                <w:bCs/>
                <w:color w:val="000000"/>
                <w:sz w:val="20"/>
                <w:szCs w:val="20"/>
                <w:shd w:val="clear" w:color="auto" w:fill="FFFFFF"/>
              </w:rPr>
              <w:t>S2</w:t>
            </w:r>
          </w:p>
        </w:tc>
        <w:tc>
          <w:tcPr>
            <w:tcW w:w="691" w:type="dxa"/>
            <w:tcBorders>
              <w:top w:val="single" w:color="auto" w:sz="4" w:space="0"/>
            </w:tcBorders>
            <w:vAlign w:val="center"/>
          </w:tcPr>
          <w:p w:rsidRPr="00396661" w:rsidR="0051682F" w:rsidP="0051682F" w:rsidRDefault="0051682F" w14:paraId="4A64367B" w14:textId="3EEE1293">
            <w:pPr>
              <w:pStyle w:val="BodyText"/>
              <w:rPr>
                <w:rFonts w:cs="Arial"/>
                <w:color w:val="000000"/>
                <w:sz w:val="20"/>
                <w:szCs w:val="20"/>
                <w:shd w:val="clear" w:color="auto" w:fill="FFFFFF"/>
              </w:rPr>
            </w:pPr>
            <w:r w:rsidRPr="00396661">
              <w:rPr>
                <w:rFonts w:cs="Arial"/>
                <w:color w:val="000000"/>
                <w:sz w:val="20"/>
                <w:szCs w:val="20"/>
              </w:rPr>
              <w:t>16.2.1</w:t>
            </w:r>
          </w:p>
        </w:tc>
        <w:tc>
          <w:tcPr>
            <w:tcW w:w="2962" w:type="dxa"/>
            <w:tcBorders>
              <w:top w:val="single" w:color="auto" w:sz="4" w:space="0"/>
            </w:tcBorders>
            <w:vAlign w:val="center"/>
          </w:tcPr>
          <w:p w:rsidRPr="00396661" w:rsidR="0051682F" w:rsidP="0051682F" w:rsidRDefault="0051682F" w14:paraId="78A7558D" w14:textId="5AD6A0B9">
            <w:pPr>
              <w:pStyle w:val="BodyText"/>
              <w:rPr>
                <w:rFonts w:cs="Arial"/>
                <w:sz w:val="20"/>
                <w:szCs w:val="20"/>
              </w:rPr>
            </w:pPr>
            <w:r w:rsidRPr="00396661">
              <w:rPr>
                <w:rFonts w:cs="Arial"/>
                <w:color w:val="000000"/>
                <w:sz w:val="20"/>
                <w:szCs w:val="20"/>
              </w:rPr>
              <w:t xml:space="preserve">Collect audit logs and ensure adequate audit log storage for critical servers, </w:t>
            </w:r>
            <w:r w:rsidRPr="00396661" w:rsidR="00396661">
              <w:rPr>
                <w:rFonts w:cs="Arial"/>
                <w:color w:val="000000"/>
                <w:sz w:val="20"/>
                <w:szCs w:val="20"/>
              </w:rPr>
              <w:t>workstations, laptops</w:t>
            </w:r>
            <w:r w:rsidRPr="00396661">
              <w:rPr>
                <w:rFonts w:cs="Arial"/>
                <w:color w:val="000000"/>
                <w:sz w:val="20"/>
                <w:szCs w:val="20"/>
              </w:rPr>
              <w:t xml:space="preserve"> and other devices and stored securely.</w:t>
            </w:r>
          </w:p>
        </w:tc>
        <w:tc>
          <w:tcPr>
            <w:tcW w:w="1204" w:type="dxa"/>
            <w:tcBorders>
              <w:top w:val="single" w:color="auto" w:sz="4" w:space="0"/>
            </w:tcBorders>
            <w:noWrap/>
            <w:vAlign w:val="center"/>
          </w:tcPr>
          <w:p w:rsidRPr="00396661" w:rsidR="0051682F" w:rsidP="0051682F" w:rsidRDefault="00394F71" w14:paraId="4689E8F3" w14:textId="228DC960">
            <w:pPr>
              <w:pStyle w:val="BodyText"/>
              <w:jc w:val="center"/>
              <w:rPr>
                <w:rFonts w:cs="Arial"/>
                <w:sz w:val="20"/>
                <w:szCs w:val="20"/>
              </w:rPr>
            </w:pPr>
            <w:r w:rsidRPr="00396661">
              <w:rPr>
                <w:rFonts w:cs="Arial"/>
                <w:sz w:val="20"/>
                <w:szCs w:val="20"/>
              </w:rPr>
              <w:t>Yes</w:t>
            </w:r>
          </w:p>
        </w:tc>
        <w:tc>
          <w:tcPr>
            <w:tcW w:w="1359" w:type="dxa"/>
            <w:noWrap/>
            <w:vAlign w:val="center"/>
          </w:tcPr>
          <w:p w:rsidRPr="00396661" w:rsidR="0051682F" w:rsidP="0051682F" w:rsidRDefault="00394F71" w14:paraId="33BA8D51" w14:textId="4EC76BB7">
            <w:pPr>
              <w:pStyle w:val="BodyText"/>
              <w:jc w:val="center"/>
              <w:rPr>
                <w:rFonts w:cs="Arial"/>
                <w:sz w:val="20"/>
                <w:szCs w:val="20"/>
              </w:rPr>
            </w:pPr>
            <w:r w:rsidRPr="00396661">
              <w:rPr>
                <w:rFonts w:cs="Arial"/>
                <w:sz w:val="20"/>
                <w:szCs w:val="20"/>
              </w:rPr>
              <w:t>Yes</w:t>
            </w:r>
          </w:p>
        </w:tc>
        <w:tc>
          <w:tcPr>
            <w:tcW w:w="1378" w:type="dxa"/>
            <w:vAlign w:val="center"/>
          </w:tcPr>
          <w:p w:rsidRPr="00396661" w:rsidR="0051682F" w:rsidP="0051682F" w:rsidRDefault="00394F71" w14:paraId="32C0EDC3" w14:textId="3AEE32B0">
            <w:pPr>
              <w:pStyle w:val="BodyText"/>
              <w:jc w:val="center"/>
              <w:rPr>
                <w:rFonts w:cs="Arial"/>
                <w:sz w:val="20"/>
                <w:szCs w:val="20"/>
              </w:rPr>
            </w:pPr>
            <w:r w:rsidRPr="00396661">
              <w:rPr>
                <w:rFonts w:cs="Arial"/>
                <w:sz w:val="20"/>
                <w:szCs w:val="20"/>
              </w:rPr>
              <w:t>IaC</w:t>
            </w:r>
          </w:p>
        </w:tc>
        <w:tc>
          <w:tcPr>
            <w:tcW w:w="1304" w:type="dxa"/>
            <w:vAlign w:val="center"/>
          </w:tcPr>
          <w:p w:rsidRPr="00396661" w:rsidR="0051682F" w:rsidP="0051682F" w:rsidRDefault="00394F71" w14:paraId="6A3906D0" w14:textId="0985C014">
            <w:pPr>
              <w:pStyle w:val="BodyText"/>
              <w:jc w:val="center"/>
              <w:rPr>
                <w:rFonts w:cs="Arial"/>
                <w:sz w:val="20"/>
                <w:szCs w:val="20"/>
              </w:rPr>
            </w:pPr>
            <w:r w:rsidRPr="00396661">
              <w:rPr>
                <w:rFonts w:cs="Arial"/>
                <w:sz w:val="20"/>
                <w:szCs w:val="20"/>
              </w:rPr>
              <w:t>At deployment of each resource</w:t>
            </w:r>
          </w:p>
        </w:tc>
      </w:tr>
      <w:tr w:rsidRPr="00396661" w:rsidR="00396661" w:rsidTr="00396661" w14:paraId="1BE72851" w14:textId="77777777">
        <w:trPr>
          <w:trHeight w:val="290"/>
        </w:trPr>
        <w:tc>
          <w:tcPr>
            <w:tcW w:w="458" w:type="dxa"/>
            <w:noWrap/>
            <w:vAlign w:val="center"/>
          </w:tcPr>
          <w:p w:rsidRPr="00396661" w:rsidR="0051682F" w:rsidP="0051682F" w:rsidRDefault="0051682F" w14:paraId="0F07585F" w14:textId="7C35D7C5">
            <w:pPr>
              <w:spacing w:line="240" w:lineRule="auto"/>
              <w:rPr>
                <w:rFonts w:cs="Arial"/>
                <w:b/>
                <w:bCs/>
                <w:color w:val="000000"/>
                <w:sz w:val="20"/>
                <w:szCs w:val="20"/>
                <w:shd w:val="clear" w:color="auto" w:fill="FFFFFF"/>
              </w:rPr>
            </w:pPr>
            <w:r w:rsidRPr="00396661">
              <w:rPr>
                <w:rFonts w:cs="Arial"/>
                <w:b/>
                <w:bCs/>
                <w:color w:val="000000"/>
                <w:sz w:val="20"/>
                <w:szCs w:val="20"/>
                <w:shd w:val="clear" w:color="auto" w:fill="FFFFFF"/>
              </w:rPr>
              <w:t>S</w:t>
            </w:r>
            <w:r w:rsidRPr="00396661" w:rsidR="001855C6">
              <w:rPr>
                <w:rFonts w:cs="Arial"/>
                <w:b/>
                <w:bCs/>
                <w:color w:val="000000"/>
                <w:sz w:val="20"/>
                <w:szCs w:val="20"/>
                <w:shd w:val="clear" w:color="auto" w:fill="FFFFFF"/>
              </w:rPr>
              <w:t>3</w:t>
            </w:r>
          </w:p>
        </w:tc>
        <w:tc>
          <w:tcPr>
            <w:tcW w:w="691" w:type="dxa"/>
            <w:vAlign w:val="center"/>
          </w:tcPr>
          <w:p w:rsidRPr="00396661" w:rsidR="0051682F" w:rsidP="0051682F" w:rsidRDefault="0051682F" w14:paraId="557E4665" w14:textId="5A0CCFE1">
            <w:pPr>
              <w:spacing w:line="240" w:lineRule="auto"/>
              <w:rPr>
                <w:rFonts w:cs="Arial"/>
                <w:color w:val="000000"/>
                <w:sz w:val="20"/>
                <w:szCs w:val="20"/>
                <w:shd w:val="clear" w:color="auto" w:fill="FFFFFF"/>
              </w:rPr>
            </w:pPr>
            <w:r w:rsidRPr="00396661">
              <w:rPr>
                <w:rFonts w:cs="Arial"/>
                <w:color w:val="000000"/>
                <w:sz w:val="20"/>
                <w:szCs w:val="20"/>
              </w:rPr>
              <w:t>16.2.4</w:t>
            </w:r>
          </w:p>
        </w:tc>
        <w:tc>
          <w:tcPr>
            <w:tcW w:w="2962" w:type="dxa"/>
            <w:vAlign w:val="center"/>
          </w:tcPr>
          <w:p w:rsidRPr="00396661" w:rsidR="0051682F" w:rsidP="0051682F" w:rsidRDefault="0051682F" w14:paraId="27D5ECB6" w14:textId="0255D82E">
            <w:pPr>
              <w:spacing w:line="240" w:lineRule="auto"/>
              <w:rPr>
                <w:rFonts w:cs="Arial"/>
                <w:color w:val="161616"/>
                <w:sz w:val="20"/>
                <w:szCs w:val="20"/>
              </w:rPr>
            </w:pPr>
            <w:r w:rsidRPr="00396661">
              <w:rPr>
                <w:rFonts w:cs="Arial"/>
                <w:color w:val="000000"/>
                <w:sz w:val="20"/>
                <w:szCs w:val="20"/>
              </w:rPr>
              <w:t xml:space="preserve">Collect service provider logs, where supported. Example implementations include collecting authentication and authorization events, data </w:t>
            </w:r>
            <w:r w:rsidRPr="00396661">
              <w:rPr>
                <w:rFonts w:cs="Arial"/>
                <w:color w:val="000000"/>
                <w:sz w:val="20"/>
                <w:szCs w:val="20"/>
              </w:rPr>
              <w:t>creation and disposal events, and user management events.</w:t>
            </w:r>
          </w:p>
        </w:tc>
        <w:tc>
          <w:tcPr>
            <w:tcW w:w="1204" w:type="dxa"/>
            <w:noWrap/>
            <w:vAlign w:val="center"/>
          </w:tcPr>
          <w:p w:rsidRPr="00396661" w:rsidR="0051682F" w:rsidP="0051682F" w:rsidRDefault="00394F71" w14:paraId="54E6BE6F" w14:textId="7FC3B94E">
            <w:pPr>
              <w:pStyle w:val="BodyText"/>
              <w:jc w:val="center"/>
              <w:rPr>
                <w:rFonts w:cs="Arial"/>
                <w:sz w:val="20"/>
                <w:szCs w:val="20"/>
              </w:rPr>
            </w:pPr>
            <w:r w:rsidRPr="00396661">
              <w:rPr>
                <w:rFonts w:cs="Arial"/>
                <w:sz w:val="20"/>
                <w:szCs w:val="20"/>
              </w:rPr>
              <w:t>Yes</w:t>
            </w:r>
          </w:p>
        </w:tc>
        <w:tc>
          <w:tcPr>
            <w:tcW w:w="1359" w:type="dxa"/>
            <w:noWrap/>
            <w:vAlign w:val="center"/>
          </w:tcPr>
          <w:p w:rsidRPr="00396661" w:rsidR="0051682F" w:rsidP="0051682F" w:rsidRDefault="00394F71" w14:paraId="33248AA2" w14:textId="31941D09">
            <w:pPr>
              <w:pStyle w:val="BodyText"/>
              <w:jc w:val="center"/>
              <w:rPr>
                <w:rFonts w:cs="Arial"/>
                <w:sz w:val="20"/>
                <w:szCs w:val="20"/>
              </w:rPr>
            </w:pPr>
            <w:r w:rsidRPr="00396661">
              <w:rPr>
                <w:rFonts w:cs="Arial"/>
                <w:sz w:val="20"/>
                <w:szCs w:val="20"/>
              </w:rPr>
              <w:t>Yes</w:t>
            </w:r>
          </w:p>
        </w:tc>
        <w:tc>
          <w:tcPr>
            <w:tcW w:w="1378" w:type="dxa"/>
            <w:vAlign w:val="center"/>
          </w:tcPr>
          <w:p w:rsidRPr="00396661" w:rsidR="0051682F" w:rsidP="0051682F" w:rsidRDefault="00394F71" w14:paraId="3E5D6BFB" w14:textId="0872CA4C">
            <w:pPr>
              <w:pStyle w:val="BodyText"/>
              <w:jc w:val="center"/>
              <w:rPr>
                <w:rFonts w:cs="Arial"/>
                <w:sz w:val="20"/>
                <w:szCs w:val="20"/>
              </w:rPr>
            </w:pPr>
            <w:r w:rsidRPr="00396661">
              <w:rPr>
                <w:rFonts w:cs="Arial"/>
                <w:sz w:val="20"/>
                <w:szCs w:val="20"/>
              </w:rPr>
              <w:t>IaC</w:t>
            </w:r>
          </w:p>
        </w:tc>
        <w:tc>
          <w:tcPr>
            <w:tcW w:w="1304" w:type="dxa"/>
            <w:vAlign w:val="center"/>
          </w:tcPr>
          <w:p w:rsidRPr="00396661" w:rsidR="0051682F" w:rsidP="0051682F" w:rsidRDefault="00394F71" w14:paraId="64ADBE84" w14:textId="76C0939E">
            <w:pPr>
              <w:pStyle w:val="BodyText"/>
              <w:jc w:val="center"/>
              <w:rPr>
                <w:rFonts w:cs="Arial"/>
                <w:sz w:val="20"/>
                <w:szCs w:val="20"/>
              </w:rPr>
            </w:pPr>
            <w:r w:rsidRPr="00396661">
              <w:rPr>
                <w:rFonts w:cs="Arial"/>
                <w:sz w:val="20"/>
                <w:szCs w:val="20"/>
              </w:rPr>
              <w:t>At deployment</w:t>
            </w:r>
          </w:p>
        </w:tc>
      </w:tr>
      <w:tr w:rsidRPr="00396661" w:rsidR="00396661" w:rsidTr="00396661" w14:paraId="4020AFCD" w14:textId="77777777">
        <w:trPr>
          <w:trHeight w:val="290"/>
        </w:trPr>
        <w:tc>
          <w:tcPr>
            <w:tcW w:w="458" w:type="dxa"/>
            <w:noWrap/>
            <w:vAlign w:val="center"/>
          </w:tcPr>
          <w:p w:rsidRPr="00396661" w:rsidR="0051682F" w:rsidP="0051682F" w:rsidRDefault="0051682F" w14:paraId="0E027F80" w14:textId="77F6DBC3">
            <w:pPr>
              <w:pStyle w:val="BodyText"/>
              <w:rPr>
                <w:rFonts w:cs="Arial"/>
                <w:b/>
                <w:bCs/>
                <w:sz w:val="20"/>
                <w:szCs w:val="20"/>
              </w:rPr>
            </w:pPr>
            <w:r w:rsidRPr="00396661">
              <w:rPr>
                <w:rFonts w:cs="Arial"/>
                <w:b/>
                <w:bCs/>
                <w:sz w:val="20"/>
                <w:szCs w:val="20"/>
              </w:rPr>
              <w:t>S</w:t>
            </w:r>
            <w:r w:rsidRPr="00396661" w:rsidR="001855C6">
              <w:rPr>
                <w:rFonts w:cs="Arial"/>
                <w:b/>
                <w:bCs/>
                <w:sz w:val="20"/>
                <w:szCs w:val="20"/>
              </w:rPr>
              <w:t>4</w:t>
            </w:r>
          </w:p>
        </w:tc>
        <w:tc>
          <w:tcPr>
            <w:tcW w:w="691" w:type="dxa"/>
            <w:vAlign w:val="center"/>
          </w:tcPr>
          <w:p w:rsidRPr="00396661" w:rsidR="0051682F" w:rsidP="0051682F" w:rsidRDefault="0051682F" w14:paraId="06D31EDC" w14:textId="388FC63A">
            <w:pPr>
              <w:spacing w:line="240" w:lineRule="auto"/>
              <w:rPr>
                <w:rFonts w:cs="Arial"/>
                <w:color w:val="161616"/>
                <w:sz w:val="20"/>
                <w:szCs w:val="20"/>
              </w:rPr>
            </w:pPr>
            <w:r w:rsidRPr="00396661">
              <w:rPr>
                <w:rFonts w:cs="Arial"/>
                <w:color w:val="000000"/>
                <w:sz w:val="20"/>
                <w:szCs w:val="20"/>
              </w:rPr>
              <w:t>16.3.1</w:t>
            </w:r>
          </w:p>
        </w:tc>
        <w:tc>
          <w:tcPr>
            <w:tcW w:w="2962" w:type="dxa"/>
            <w:vAlign w:val="center"/>
          </w:tcPr>
          <w:p w:rsidRPr="00396661" w:rsidR="0051682F" w:rsidP="0051682F" w:rsidRDefault="0051682F" w14:paraId="10E1FD56" w14:textId="32531B0D">
            <w:pPr>
              <w:spacing w:line="240" w:lineRule="auto"/>
              <w:rPr>
                <w:rFonts w:cs="Arial"/>
                <w:color w:val="161616"/>
                <w:sz w:val="20"/>
                <w:szCs w:val="20"/>
              </w:rPr>
            </w:pPr>
            <w:r w:rsidRPr="00396661">
              <w:rPr>
                <w:rFonts w:cs="Arial"/>
                <w:color w:val="000000"/>
                <w:sz w:val="20"/>
                <w:szCs w:val="20"/>
              </w:rPr>
              <w:t>Centralize, to the extent possible, audit log collection and retention across enterprise assets.</w:t>
            </w:r>
          </w:p>
        </w:tc>
        <w:tc>
          <w:tcPr>
            <w:tcW w:w="1204" w:type="dxa"/>
            <w:noWrap/>
            <w:vAlign w:val="center"/>
          </w:tcPr>
          <w:p w:rsidRPr="00396661" w:rsidR="0051682F" w:rsidP="0051682F" w:rsidRDefault="00394F71" w14:paraId="48C089AF" w14:textId="05C73C10">
            <w:pPr>
              <w:pStyle w:val="BodyText"/>
              <w:jc w:val="center"/>
              <w:rPr>
                <w:rFonts w:cs="Arial"/>
                <w:sz w:val="20"/>
                <w:szCs w:val="20"/>
              </w:rPr>
            </w:pPr>
            <w:r w:rsidRPr="00396661">
              <w:rPr>
                <w:rFonts w:cs="Arial"/>
                <w:sz w:val="20"/>
                <w:szCs w:val="20"/>
              </w:rPr>
              <w:t>Yes</w:t>
            </w:r>
          </w:p>
        </w:tc>
        <w:tc>
          <w:tcPr>
            <w:tcW w:w="1359" w:type="dxa"/>
            <w:noWrap/>
            <w:vAlign w:val="center"/>
          </w:tcPr>
          <w:p w:rsidRPr="00396661" w:rsidR="0051682F" w:rsidP="0051682F" w:rsidRDefault="00394F71" w14:paraId="1D6ED651" w14:textId="22FE706E">
            <w:pPr>
              <w:pStyle w:val="BodyText"/>
              <w:jc w:val="center"/>
              <w:rPr>
                <w:rFonts w:cs="Arial"/>
                <w:sz w:val="20"/>
                <w:szCs w:val="20"/>
              </w:rPr>
            </w:pPr>
            <w:r w:rsidRPr="00396661">
              <w:rPr>
                <w:rFonts w:cs="Arial"/>
                <w:sz w:val="20"/>
                <w:szCs w:val="20"/>
              </w:rPr>
              <w:t>Yes</w:t>
            </w:r>
          </w:p>
        </w:tc>
        <w:tc>
          <w:tcPr>
            <w:tcW w:w="1378" w:type="dxa"/>
            <w:vAlign w:val="center"/>
          </w:tcPr>
          <w:p w:rsidRPr="00396661" w:rsidR="0051682F" w:rsidP="0051682F" w:rsidRDefault="00394F71" w14:paraId="54D44FE7" w14:textId="21CA7C07">
            <w:pPr>
              <w:pStyle w:val="BodyText"/>
              <w:jc w:val="center"/>
              <w:rPr>
                <w:rFonts w:cs="Arial"/>
                <w:sz w:val="20"/>
                <w:szCs w:val="20"/>
              </w:rPr>
            </w:pPr>
            <w:r w:rsidRPr="00396661">
              <w:rPr>
                <w:rFonts w:cs="Arial"/>
                <w:sz w:val="20"/>
                <w:szCs w:val="20"/>
              </w:rPr>
              <w:t>IaC</w:t>
            </w:r>
          </w:p>
        </w:tc>
        <w:tc>
          <w:tcPr>
            <w:tcW w:w="1304" w:type="dxa"/>
            <w:vAlign w:val="center"/>
          </w:tcPr>
          <w:p w:rsidRPr="00396661" w:rsidR="0051682F" w:rsidP="0051682F" w:rsidRDefault="00394F71" w14:paraId="6B71BA15" w14:textId="4B44651D">
            <w:pPr>
              <w:pStyle w:val="BodyText"/>
              <w:jc w:val="center"/>
              <w:rPr>
                <w:rFonts w:cs="Arial"/>
                <w:sz w:val="20"/>
                <w:szCs w:val="20"/>
              </w:rPr>
            </w:pPr>
            <w:r w:rsidRPr="00396661">
              <w:rPr>
                <w:rFonts w:cs="Arial"/>
                <w:sz w:val="20"/>
                <w:szCs w:val="20"/>
              </w:rPr>
              <w:t>At deployment</w:t>
            </w:r>
          </w:p>
        </w:tc>
      </w:tr>
      <w:tr w:rsidRPr="00396661" w:rsidR="00396661" w:rsidTr="00396661" w14:paraId="0C4C2625" w14:textId="77777777">
        <w:trPr>
          <w:trHeight w:val="290"/>
        </w:trPr>
        <w:tc>
          <w:tcPr>
            <w:tcW w:w="458" w:type="dxa"/>
            <w:noWrap/>
            <w:vAlign w:val="center"/>
          </w:tcPr>
          <w:p w:rsidRPr="00396661" w:rsidR="0051682F" w:rsidP="0051682F" w:rsidRDefault="0051682F" w14:paraId="41052529" w14:textId="11E95081">
            <w:pPr>
              <w:pStyle w:val="BodyText"/>
              <w:rPr>
                <w:rFonts w:cs="Arial"/>
                <w:b/>
                <w:bCs/>
                <w:sz w:val="20"/>
                <w:szCs w:val="20"/>
              </w:rPr>
            </w:pPr>
            <w:r w:rsidRPr="00396661">
              <w:rPr>
                <w:rFonts w:cs="Arial"/>
                <w:b/>
                <w:bCs/>
                <w:sz w:val="20"/>
                <w:szCs w:val="20"/>
              </w:rPr>
              <w:t>S</w:t>
            </w:r>
            <w:r w:rsidRPr="00396661" w:rsidR="001855C6">
              <w:rPr>
                <w:rFonts w:cs="Arial"/>
                <w:b/>
                <w:bCs/>
                <w:sz w:val="20"/>
                <w:szCs w:val="20"/>
              </w:rPr>
              <w:t>5</w:t>
            </w:r>
          </w:p>
        </w:tc>
        <w:tc>
          <w:tcPr>
            <w:tcW w:w="691" w:type="dxa"/>
            <w:vAlign w:val="center"/>
          </w:tcPr>
          <w:p w:rsidRPr="00396661" w:rsidR="0051682F" w:rsidP="0051682F" w:rsidRDefault="0051682F" w14:paraId="041244C5" w14:textId="7EB47097">
            <w:pPr>
              <w:spacing w:line="240" w:lineRule="auto"/>
              <w:rPr>
                <w:rFonts w:cs="Arial"/>
                <w:color w:val="000000"/>
                <w:sz w:val="20"/>
                <w:szCs w:val="20"/>
                <w:shd w:val="clear" w:color="auto" w:fill="FFFFFF"/>
              </w:rPr>
            </w:pPr>
            <w:r w:rsidRPr="00396661">
              <w:rPr>
                <w:rFonts w:cs="Arial"/>
                <w:color w:val="000000"/>
                <w:sz w:val="20"/>
                <w:szCs w:val="20"/>
              </w:rPr>
              <w:t>16.3.2</w:t>
            </w:r>
          </w:p>
        </w:tc>
        <w:tc>
          <w:tcPr>
            <w:tcW w:w="2962" w:type="dxa"/>
            <w:vAlign w:val="center"/>
          </w:tcPr>
          <w:p w:rsidRPr="00396661" w:rsidR="0051682F" w:rsidP="0051682F" w:rsidRDefault="0051682F" w14:paraId="7D6F7FFD" w14:textId="3941A05C">
            <w:pPr>
              <w:spacing w:line="240" w:lineRule="auto"/>
              <w:rPr>
                <w:rFonts w:cs="Arial"/>
                <w:color w:val="161616"/>
                <w:sz w:val="20"/>
                <w:szCs w:val="20"/>
              </w:rPr>
            </w:pPr>
            <w:r w:rsidRPr="00396661">
              <w:rPr>
                <w:rFonts w:cs="Arial"/>
                <w:color w:val="000000"/>
                <w:sz w:val="20"/>
                <w:szCs w:val="20"/>
              </w:rPr>
              <w:t>Retain audit logs across enterprise assets for a minimum of 90 days.</w:t>
            </w:r>
          </w:p>
        </w:tc>
        <w:tc>
          <w:tcPr>
            <w:tcW w:w="1204" w:type="dxa"/>
            <w:noWrap/>
            <w:vAlign w:val="center"/>
          </w:tcPr>
          <w:p w:rsidRPr="00396661" w:rsidR="0051682F" w:rsidP="0051682F" w:rsidRDefault="00394F71" w14:paraId="398E14E8" w14:textId="7D7ADF65">
            <w:pPr>
              <w:pStyle w:val="BodyText"/>
              <w:jc w:val="center"/>
              <w:rPr>
                <w:rFonts w:cs="Arial"/>
                <w:sz w:val="20"/>
                <w:szCs w:val="20"/>
              </w:rPr>
            </w:pPr>
            <w:r w:rsidRPr="00396661">
              <w:rPr>
                <w:rFonts w:cs="Arial"/>
                <w:sz w:val="20"/>
                <w:szCs w:val="20"/>
              </w:rPr>
              <w:t>Yes</w:t>
            </w:r>
          </w:p>
        </w:tc>
        <w:tc>
          <w:tcPr>
            <w:tcW w:w="1359" w:type="dxa"/>
            <w:noWrap/>
            <w:vAlign w:val="center"/>
          </w:tcPr>
          <w:p w:rsidRPr="00396661" w:rsidR="0051682F" w:rsidP="0051682F" w:rsidRDefault="00394F71" w14:paraId="1AC4D5D6" w14:textId="20E10211">
            <w:pPr>
              <w:pStyle w:val="BodyText"/>
              <w:jc w:val="center"/>
              <w:rPr>
                <w:rFonts w:cs="Arial"/>
                <w:sz w:val="20"/>
                <w:szCs w:val="20"/>
              </w:rPr>
            </w:pPr>
            <w:r w:rsidRPr="00396661">
              <w:rPr>
                <w:rFonts w:cs="Arial"/>
                <w:sz w:val="20"/>
                <w:szCs w:val="20"/>
              </w:rPr>
              <w:t>Yes</w:t>
            </w:r>
          </w:p>
        </w:tc>
        <w:tc>
          <w:tcPr>
            <w:tcW w:w="1378" w:type="dxa"/>
            <w:vAlign w:val="center"/>
          </w:tcPr>
          <w:p w:rsidRPr="00396661" w:rsidR="0051682F" w:rsidP="0051682F" w:rsidRDefault="00394F71" w14:paraId="3146D427" w14:textId="22E48011">
            <w:pPr>
              <w:pStyle w:val="BodyText"/>
              <w:jc w:val="center"/>
              <w:rPr>
                <w:rFonts w:cs="Arial"/>
                <w:sz w:val="20"/>
                <w:szCs w:val="20"/>
              </w:rPr>
            </w:pPr>
            <w:r w:rsidRPr="00396661">
              <w:rPr>
                <w:rFonts w:cs="Arial"/>
                <w:sz w:val="20"/>
                <w:szCs w:val="20"/>
              </w:rPr>
              <w:t>IaC</w:t>
            </w:r>
          </w:p>
        </w:tc>
        <w:tc>
          <w:tcPr>
            <w:tcW w:w="1304" w:type="dxa"/>
            <w:vAlign w:val="center"/>
          </w:tcPr>
          <w:p w:rsidRPr="00396661" w:rsidR="0051682F" w:rsidP="0051682F" w:rsidRDefault="00394F71" w14:paraId="46AE1DAF" w14:textId="2E9D9456">
            <w:pPr>
              <w:pStyle w:val="BodyText"/>
              <w:jc w:val="center"/>
              <w:rPr>
                <w:rFonts w:cs="Arial"/>
                <w:sz w:val="20"/>
                <w:szCs w:val="20"/>
              </w:rPr>
            </w:pPr>
            <w:r w:rsidRPr="00396661">
              <w:rPr>
                <w:rFonts w:cs="Arial"/>
                <w:sz w:val="20"/>
                <w:szCs w:val="20"/>
              </w:rPr>
              <w:t>At deployment</w:t>
            </w:r>
          </w:p>
        </w:tc>
      </w:tr>
      <w:tr w:rsidRPr="00396661" w:rsidR="00396661" w:rsidTr="00396661" w14:paraId="159633F2" w14:textId="77777777">
        <w:trPr>
          <w:trHeight w:val="290"/>
        </w:trPr>
        <w:tc>
          <w:tcPr>
            <w:tcW w:w="458" w:type="dxa"/>
            <w:noWrap/>
            <w:vAlign w:val="center"/>
          </w:tcPr>
          <w:p w:rsidRPr="00396661" w:rsidR="0051682F" w:rsidP="0051682F" w:rsidRDefault="0051682F" w14:paraId="60602425" w14:textId="38602571">
            <w:pPr>
              <w:pStyle w:val="BodyText"/>
              <w:rPr>
                <w:rFonts w:cs="Arial"/>
                <w:b/>
                <w:bCs/>
                <w:sz w:val="20"/>
                <w:szCs w:val="20"/>
              </w:rPr>
            </w:pPr>
            <w:r w:rsidRPr="00396661">
              <w:rPr>
                <w:rFonts w:cs="Arial"/>
                <w:b/>
                <w:bCs/>
                <w:sz w:val="20"/>
                <w:szCs w:val="20"/>
              </w:rPr>
              <w:t>S</w:t>
            </w:r>
            <w:r w:rsidRPr="00396661" w:rsidR="001855C6">
              <w:rPr>
                <w:rFonts w:cs="Arial"/>
                <w:b/>
                <w:bCs/>
                <w:sz w:val="20"/>
                <w:szCs w:val="20"/>
              </w:rPr>
              <w:t>6</w:t>
            </w:r>
          </w:p>
        </w:tc>
        <w:tc>
          <w:tcPr>
            <w:tcW w:w="691" w:type="dxa"/>
            <w:vAlign w:val="center"/>
          </w:tcPr>
          <w:p w:rsidRPr="00396661" w:rsidR="0051682F" w:rsidP="0051682F" w:rsidRDefault="0051682F" w14:paraId="253235AA" w14:textId="6B5042AB">
            <w:pPr>
              <w:spacing w:line="240" w:lineRule="auto"/>
              <w:rPr>
                <w:rFonts w:cs="Arial"/>
                <w:color w:val="161616"/>
                <w:sz w:val="20"/>
                <w:szCs w:val="20"/>
              </w:rPr>
            </w:pPr>
            <w:r w:rsidRPr="00396661">
              <w:rPr>
                <w:rFonts w:cs="Arial"/>
                <w:color w:val="000000"/>
                <w:sz w:val="20"/>
                <w:szCs w:val="20"/>
              </w:rPr>
              <w:t>16.3.3</w:t>
            </w:r>
          </w:p>
        </w:tc>
        <w:tc>
          <w:tcPr>
            <w:tcW w:w="2962" w:type="dxa"/>
            <w:vAlign w:val="center"/>
          </w:tcPr>
          <w:p w:rsidRPr="00396661" w:rsidR="0051682F" w:rsidP="0051682F" w:rsidRDefault="0051682F" w14:paraId="63577CF3" w14:textId="25B1C3B6">
            <w:pPr>
              <w:spacing w:line="240" w:lineRule="auto"/>
              <w:rPr>
                <w:rFonts w:cs="Arial"/>
                <w:color w:val="161616"/>
                <w:sz w:val="20"/>
                <w:szCs w:val="20"/>
              </w:rPr>
            </w:pPr>
            <w:r w:rsidRPr="00396661">
              <w:rPr>
                <w:rFonts w:cs="Arial"/>
                <w:color w:val="000000"/>
                <w:sz w:val="20"/>
                <w:szCs w:val="20"/>
              </w:rPr>
              <w:t>Conduct reviews of audit logs to detect anomalies or abnormal events that could indicate a potential threat. Conduct reviews on a weekly, or more frequent, basis.</w:t>
            </w:r>
          </w:p>
        </w:tc>
        <w:tc>
          <w:tcPr>
            <w:tcW w:w="1204" w:type="dxa"/>
            <w:noWrap/>
            <w:vAlign w:val="center"/>
          </w:tcPr>
          <w:p w:rsidRPr="00396661" w:rsidR="0051682F" w:rsidP="0051682F" w:rsidRDefault="0083532A" w14:paraId="2E616A7E" w14:textId="3F95E3F7">
            <w:pPr>
              <w:pStyle w:val="BodyText"/>
              <w:jc w:val="center"/>
              <w:rPr>
                <w:rFonts w:cs="Arial"/>
                <w:sz w:val="20"/>
                <w:szCs w:val="20"/>
              </w:rPr>
            </w:pPr>
            <w:r w:rsidRPr="00396661">
              <w:rPr>
                <w:rFonts w:cs="Arial"/>
                <w:sz w:val="20"/>
                <w:szCs w:val="20"/>
              </w:rPr>
              <w:t>Yes</w:t>
            </w:r>
          </w:p>
        </w:tc>
        <w:tc>
          <w:tcPr>
            <w:tcW w:w="1359" w:type="dxa"/>
            <w:noWrap/>
            <w:vAlign w:val="center"/>
          </w:tcPr>
          <w:p w:rsidRPr="00396661" w:rsidR="0051682F" w:rsidP="0051682F" w:rsidRDefault="0083532A" w14:paraId="6A3F330C" w14:textId="5479C08A">
            <w:pPr>
              <w:pStyle w:val="BodyText"/>
              <w:jc w:val="center"/>
              <w:rPr>
                <w:rFonts w:cs="Arial"/>
                <w:sz w:val="20"/>
                <w:szCs w:val="20"/>
              </w:rPr>
            </w:pPr>
            <w:r w:rsidRPr="00396661">
              <w:rPr>
                <w:rFonts w:cs="Arial"/>
                <w:sz w:val="20"/>
                <w:szCs w:val="20"/>
              </w:rPr>
              <w:t>No</w:t>
            </w:r>
          </w:p>
        </w:tc>
        <w:tc>
          <w:tcPr>
            <w:tcW w:w="1378" w:type="dxa"/>
            <w:vAlign w:val="center"/>
          </w:tcPr>
          <w:p w:rsidRPr="00396661" w:rsidR="0051682F" w:rsidP="0051682F" w:rsidRDefault="0083532A" w14:paraId="062D8F82" w14:textId="058C374B">
            <w:pPr>
              <w:pStyle w:val="BodyText"/>
              <w:jc w:val="center"/>
              <w:rPr>
                <w:rFonts w:cs="Arial"/>
                <w:sz w:val="20"/>
                <w:szCs w:val="20"/>
              </w:rPr>
            </w:pPr>
            <w:r w:rsidRPr="00396661">
              <w:rPr>
                <w:rFonts w:cs="Arial"/>
                <w:sz w:val="20"/>
                <w:szCs w:val="20"/>
              </w:rPr>
              <w:t>Governance</w:t>
            </w:r>
          </w:p>
        </w:tc>
        <w:tc>
          <w:tcPr>
            <w:tcW w:w="1304" w:type="dxa"/>
            <w:vAlign w:val="center"/>
          </w:tcPr>
          <w:p w:rsidRPr="00396661" w:rsidR="0051682F" w:rsidP="0051682F" w:rsidRDefault="0083532A" w14:paraId="7AE264D2" w14:textId="3C26AB2F">
            <w:pPr>
              <w:pStyle w:val="BodyText"/>
              <w:keepNext/>
              <w:jc w:val="center"/>
              <w:rPr>
                <w:rFonts w:cs="Arial"/>
                <w:sz w:val="20"/>
                <w:szCs w:val="20"/>
              </w:rPr>
            </w:pPr>
            <w:r w:rsidRPr="00396661">
              <w:rPr>
                <w:rFonts w:cs="Arial"/>
                <w:sz w:val="20"/>
                <w:szCs w:val="20"/>
              </w:rPr>
              <w:t>Operational – review weekly</w:t>
            </w:r>
          </w:p>
        </w:tc>
      </w:tr>
      <w:tr w:rsidRPr="00396661" w:rsidR="00396661" w:rsidTr="00396661" w14:paraId="57D38F90" w14:textId="77777777">
        <w:trPr>
          <w:trHeight w:val="290"/>
        </w:trPr>
        <w:tc>
          <w:tcPr>
            <w:tcW w:w="458" w:type="dxa"/>
            <w:noWrap/>
            <w:vAlign w:val="center"/>
          </w:tcPr>
          <w:p w:rsidRPr="00396661" w:rsidR="0051682F" w:rsidP="0051682F" w:rsidRDefault="0051682F" w14:paraId="03E9CFD2" w14:textId="379632FF">
            <w:pPr>
              <w:pStyle w:val="BodyText"/>
              <w:rPr>
                <w:rFonts w:cs="Arial"/>
                <w:b/>
                <w:bCs/>
                <w:sz w:val="20"/>
                <w:szCs w:val="20"/>
              </w:rPr>
            </w:pPr>
            <w:r w:rsidRPr="00396661">
              <w:rPr>
                <w:rFonts w:cs="Arial"/>
                <w:b/>
                <w:bCs/>
                <w:sz w:val="20"/>
                <w:szCs w:val="20"/>
              </w:rPr>
              <w:t>S</w:t>
            </w:r>
            <w:r w:rsidRPr="00396661" w:rsidR="001855C6">
              <w:rPr>
                <w:rFonts w:cs="Arial"/>
                <w:b/>
                <w:bCs/>
                <w:sz w:val="20"/>
                <w:szCs w:val="20"/>
              </w:rPr>
              <w:t>7</w:t>
            </w:r>
          </w:p>
        </w:tc>
        <w:tc>
          <w:tcPr>
            <w:tcW w:w="691" w:type="dxa"/>
            <w:vAlign w:val="center"/>
          </w:tcPr>
          <w:p w:rsidRPr="00396661" w:rsidR="0051682F" w:rsidP="0051682F" w:rsidRDefault="0051682F" w14:paraId="3BD661C3" w14:textId="011A9708">
            <w:pPr>
              <w:spacing w:line="240" w:lineRule="auto"/>
              <w:rPr>
                <w:rFonts w:cs="Arial"/>
                <w:color w:val="000000"/>
                <w:sz w:val="20"/>
                <w:szCs w:val="20"/>
                <w:shd w:val="clear" w:color="auto" w:fill="FFFFFF"/>
              </w:rPr>
            </w:pPr>
            <w:r w:rsidRPr="00396661">
              <w:rPr>
                <w:rFonts w:cs="Arial"/>
                <w:color w:val="000000"/>
                <w:sz w:val="20"/>
                <w:szCs w:val="20"/>
              </w:rPr>
              <w:t>16.3.4</w:t>
            </w:r>
          </w:p>
        </w:tc>
        <w:tc>
          <w:tcPr>
            <w:tcW w:w="2962" w:type="dxa"/>
            <w:vAlign w:val="center"/>
          </w:tcPr>
          <w:p w:rsidRPr="00396661" w:rsidR="0051682F" w:rsidP="00D51B78" w:rsidRDefault="0051682F" w14:paraId="2A7151B4" w14:textId="6C88ED9C">
            <w:pPr>
              <w:spacing w:line="240" w:lineRule="auto"/>
              <w:outlineLvl w:val="2"/>
              <w:rPr>
                <w:rFonts w:cs="Arial"/>
                <w:color w:val="000000"/>
                <w:sz w:val="20"/>
                <w:szCs w:val="20"/>
              </w:rPr>
            </w:pPr>
            <w:bookmarkStart w:name="_Toc157090450" w:id="24"/>
            <w:r w:rsidRPr="00396661">
              <w:rPr>
                <w:rFonts w:cs="Arial"/>
                <w:color w:val="000000"/>
                <w:sz w:val="20"/>
                <w:szCs w:val="20"/>
              </w:rPr>
              <w:t>Continuously monitor inbound and outbound network traffic to identify unusual activity or trends that could indicate intrusion and/or compromise of data.</w:t>
            </w:r>
            <w:bookmarkEnd w:id="24"/>
          </w:p>
        </w:tc>
        <w:tc>
          <w:tcPr>
            <w:tcW w:w="1204" w:type="dxa"/>
            <w:noWrap/>
            <w:vAlign w:val="center"/>
          </w:tcPr>
          <w:p w:rsidRPr="00396661" w:rsidR="0051682F" w:rsidP="0051682F" w:rsidRDefault="0083532A" w14:paraId="58583464" w14:textId="7F4D7DEF">
            <w:pPr>
              <w:pStyle w:val="BodyText"/>
              <w:jc w:val="center"/>
              <w:rPr>
                <w:rFonts w:cs="Arial"/>
                <w:sz w:val="20"/>
                <w:szCs w:val="20"/>
              </w:rPr>
            </w:pPr>
            <w:r w:rsidRPr="00396661">
              <w:rPr>
                <w:rFonts w:cs="Arial"/>
                <w:sz w:val="20"/>
                <w:szCs w:val="20"/>
              </w:rPr>
              <w:t xml:space="preserve">Yes </w:t>
            </w:r>
          </w:p>
        </w:tc>
        <w:tc>
          <w:tcPr>
            <w:tcW w:w="1359" w:type="dxa"/>
            <w:noWrap/>
            <w:vAlign w:val="center"/>
          </w:tcPr>
          <w:p w:rsidRPr="00396661" w:rsidR="0051682F" w:rsidP="0051682F" w:rsidRDefault="0083532A" w14:paraId="4ADEBD8A" w14:textId="23B135BE">
            <w:pPr>
              <w:pStyle w:val="BodyText"/>
              <w:jc w:val="center"/>
              <w:rPr>
                <w:rFonts w:cs="Arial"/>
                <w:sz w:val="20"/>
                <w:szCs w:val="20"/>
              </w:rPr>
            </w:pPr>
            <w:r w:rsidRPr="00396661">
              <w:rPr>
                <w:rFonts w:cs="Arial"/>
                <w:sz w:val="20"/>
                <w:szCs w:val="20"/>
              </w:rPr>
              <w:t>No</w:t>
            </w:r>
          </w:p>
        </w:tc>
        <w:tc>
          <w:tcPr>
            <w:tcW w:w="1378" w:type="dxa"/>
            <w:vAlign w:val="center"/>
          </w:tcPr>
          <w:p w:rsidRPr="00396661" w:rsidR="0051682F" w:rsidP="0051682F" w:rsidRDefault="00AC6444" w14:paraId="5E1A2F79" w14:textId="3849F5C8">
            <w:pPr>
              <w:pStyle w:val="BodyText"/>
              <w:jc w:val="center"/>
              <w:rPr>
                <w:rFonts w:cs="Arial"/>
                <w:sz w:val="20"/>
                <w:szCs w:val="20"/>
              </w:rPr>
            </w:pPr>
            <w:r w:rsidRPr="00396661">
              <w:rPr>
                <w:rFonts w:cs="Arial"/>
                <w:sz w:val="20"/>
                <w:szCs w:val="20"/>
              </w:rPr>
              <w:t>Sentinel</w:t>
            </w:r>
          </w:p>
        </w:tc>
        <w:tc>
          <w:tcPr>
            <w:tcW w:w="1304" w:type="dxa"/>
            <w:vAlign w:val="center"/>
          </w:tcPr>
          <w:p w:rsidRPr="00396661" w:rsidR="0051682F" w:rsidP="0051682F" w:rsidRDefault="00AC6444" w14:paraId="2D9C14B8" w14:textId="7C3C1180">
            <w:pPr>
              <w:pStyle w:val="BodyText"/>
              <w:keepNext/>
              <w:jc w:val="center"/>
              <w:rPr>
                <w:rFonts w:cs="Arial"/>
                <w:sz w:val="20"/>
                <w:szCs w:val="20"/>
              </w:rPr>
            </w:pPr>
            <w:r w:rsidRPr="00396661">
              <w:rPr>
                <w:rFonts w:cs="Arial"/>
                <w:sz w:val="20"/>
                <w:szCs w:val="20"/>
              </w:rPr>
              <w:t>Operational – review and respond to Sentinel alerts frequently</w:t>
            </w:r>
          </w:p>
        </w:tc>
      </w:tr>
    </w:tbl>
    <w:p w:rsidR="00DA6DA9" w:rsidP="000732F7" w:rsidRDefault="0071370F" w14:paraId="46C070EF" w14:textId="551285B6">
      <w:pPr>
        <w:pStyle w:val="Caption"/>
        <w:jc w:val="center"/>
      </w:pPr>
      <w:r>
        <w:t xml:space="preserve">Table </w:t>
      </w:r>
      <w:r>
        <w:fldChar w:fldCharType="begin"/>
      </w:r>
      <w:r>
        <w:instrText> SEQ Table \* ARABIC </w:instrText>
      </w:r>
      <w:r>
        <w:fldChar w:fldCharType="separate"/>
      </w:r>
      <w:r w:rsidR="000141AB">
        <w:rPr>
          <w:noProof/>
        </w:rPr>
        <w:t>4</w:t>
      </w:r>
      <w:r>
        <w:fldChar w:fldCharType="end"/>
      </w:r>
      <w:r>
        <w:t>: Security checklist summary</w:t>
      </w:r>
    </w:p>
    <w:p w:rsidR="0083532A" w:rsidP="0083532A" w:rsidRDefault="0083532A" w14:paraId="532DDE04" w14:textId="77777777"/>
    <w:p w:rsidR="0083532A" w:rsidP="0083532A" w:rsidRDefault="0083532A" w14:paraId="6A9FA2D3" w14:textId="77777777"/>
    <w:p w:rsidR="00396661" w:rsidP="0083532A" w:rsidRDefault="00396661" w14:paraId="28B13D76" w14:textId="77777777"/>
    <w:p w:rsidR="00396661" w:rsidP="0083532A" w:rsidRDefault="00396661" w14:paraId="488DF8E1" w14:textId="77777777"/>
    <w:p w:rsidR="00396661" w:rsidP="0083532A" w:rsidRDefault="00396661" w14:paraId="1AA42D1C" w14:textId="77777777"/>
    <w:p w:rsidR="00396661" w:rsidP="0083532A" w:rsidRDefault="00396661" w14:paraId="33FA0E1B" w14:textId="77777777"/>
    <w:p w:rsidR="00396661" w:rsidP="0083532A" w:rsidRDefault="00396661" w14:paraId="1713462D" w14:textId="77777777"/>
    <w:p w:rsidR="00396661" w:rsidP="0083532A" w:rsidRDefault="00396661" w14:paraId="1A132889" w14:textId="77777777"/>
    <w:p w:rsidR="00396661" w:rsidP="0083532A" w:rsidRDefault="00396661" w14:paraId="051DADE7" w14:textId="77777777"/>
    <w:p w:rsidR="00396661" w:rsidP="0083532A" w:rsidRDefault="00396661" w14:paraId="04A3A754" w14:textId="77777777"/>
    <w:p w:rsidR="00396661" w:rsidP="0083532A" w:rsidRDefault="00396661" w14:paraId="389A8B8D" w14:textId="77777777"/>
    <w:p w:rsidR="00396661" w:rsidP="0083532A" w:rsidRDefault="00396661" w14:paraId="15A5C6BC" w14:textId="77777777"/>
    <w:p w:rsidR="00396661" w:rsidP="0083532A" w:rsidRDefault="00396661" w14:paraId="71BBCF74" w14:textId="77777777"/>
    <w:p w:rsidR="00396661" w:rsidP="0083532A" w:rsidRDefault="00396661" w14:paraId="270520AF" w14:textId="77777777"/>
    <w:p w:rsidR="00396661" w:rsidP="0083532A" w:rsidRDefault="00396661" w14:paraId="3CF31F58" w14:textId="77777777"/>
    <w:p w:rsidRPr="0083532A" w:rsidR="00396661" w:rsidP="0083532A" w:rsidRDefault="00396661" w14:paraId="0260A2D9" w14:textId="77777777"/>
    <w:p w:rsidR="00525B21" w:rsidP="00525B21" w:rsidRDefault="00525B21" w14:paraId="6B448DFD" w14:textId="77777777">
      <w:pPr>
        <w:pStyle w:val="Heading1"/>
        <w:jc w:val="both"/>
        <w:rPr>
          <w:rFonts w:cs="Arial"/>
        </w:rPr>
      </w:pPr>
      <w:bookmarkStart w:name="_Toc157090451" w:id="25"/>
      <w:r>
        <w:rPr>
          <w:rFonts w:cs="Arial"/>
        </w:rPr>
        <w:t>Architecture Summary</w:t>
      </w:r>
      <w:bookmarkEnd w:id="25"/>
    </w:p>
    <w:p w:rsidR="00116140" w:rsidP="00116140" w:rsidRDefault="00116140" w14:paraId="43739DFB" w14:textId="77777777">
      <w:pPr>
        <w:pStyle w:val="Heading2"/>
      </w:pPr>
      <w:bookmarkStart w:name="_Toc150966124" w:id="26"/>
      <w:bookmarkStart w:name="_Toc157090452" w:id="27"/>
      <w:r>
        <w:t>Resource Overview</w:t>
      </w:r>
      <w:bookmarkEnd w:id="26"/>
      <w:bookmarkEnd w:id="27"/>
    </w:p>
    <w:p w:rsidR="00116140" w:rsidP="00116140" w:rsidRDefault="000732F7" w14:paraId="1730BA9C" w14:textId="1AA9B671">
      <w:pPr>
        <w:pStyle w:val="BodyText"/>
      </w:pPr>
      <w:r>
        <w:t>Log Analytics Workspace</w:t>
      </w:r>
      <w:r w:rsidR="00634059">
        <w:t xml:space="preserve"> is </w:t>
      </w:r>
      <w:r>
        <w:t>a</w:t>
      </w:r>
      <w:r w:rsidR="00634059">
        <w:t>n</w:t>
      </w:r>
      <w:r>
        <w:t xml:space="preserve"> analysis tool </w:t>
      </w:r>
      <w:r w:rsidR="00D211B7">
        <w:t xml:space="preserve">that </w:t>
      </w:r>
      <w:r w:rsidR="0086157B">
        <w:t xml:space="preserve">allows log data from </w:t>
      </w:r>
      <w:r w:rsidR="0036606B">
        <w:t>Azure Monitor</w:t>
      </w:r>
      <w:r w:rsidR="00D211B7">
        <w:t xml:space="preserve"> </w:t>
      </w:r>
      <w:r w:rsidR="0086157B">
        <w:t xml:space="preserve">and other services </w:t>
      </w:r>
      <w:r w:rsidR="00D211B7">
        <w:t>be queried and searched</w:t>
      </w:r>
      <w:r w:rsidR="00F674DD">
        <w:rPr>
          <w:rStyle w:val="FootnoteReference"/>
        </w:rPr>
        <w:footnoteReference w:id="8"/>
      </w:r>
      <w:r w:rsidR="0036606B">
        <w:t xml:space="preserve">. </w:t>
      </w:r>
    </w:p>
    <w:p w:rsidR="00BB11AE" w:rsidRDefault="00BB11AE" w14:paraId="392B427B" w14:textId="29F8962C">
      <w:pPr>
        <w:pStyle w:val="Heading2"/>
      </w:pPr>
      <w:bookmarkStart w:name="_Toc157090453" w:id="28"/>
      <w:r>
        <w:t>RBAC</w:t>
      </w:r>
      <w:bookmarkEnd w:id="28"/>
    </w:p>
    <w:p w:rsidRPr="00BE1D42" w:rsidR="00CB76E0" w:rsidP="00CB76E0" w:rsidRDefault="00167DC6" w14:paraId="4783E2C2" w14:textId="4F6933E7">
      <w:pPr>
        <w:pStyle w:val="BodyText"/>
        <w:jc w:val="both"/>
      </w:pPr>
      <w:r w:rsidRPr="00BE1D42">
        <w:t xml:space="preserve">The following roles are applicable for this resource: </w:t>
      </w:r>
    </w:p>
    <w:tbl>
      <w:tblPr>
        <w:tblStyle w:val="AVTable1"/>
        <w:tblW w:w="0" w:type="auto"/>
        <w:tblLook w:val="04A0" w:firstRow="1" w:lastRow="0" w:firstColumn="1" w:lastColumn="0" w:noHBand="0" w:noVBand="1"/>
      </w:tblPr>
      <w:tblGrid>
        <w:gridCol w:w="3402"/>
        <w:gridCol w:w="5625"/>
      </w:tblGrid>
      <w:tr w:rsidRPr="00BE1D42" w:rsidR="00CB76E0"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rsidRPr="00BE1D42" w:rsidR="00CB76E0" w:rsidRDefault="00CB76E0" w14:paraId="299F10A8" w14:textId="77777777">
            <w:pPr>
              <w:pStyle w:val="BodyText"/>
              <w:jc w:val="both"/>
              <w:rPr>
                <w:color w:val="FFFFFF" w:themeColor="background1"/>
              </w:rPr>
            </w:pPr>
            <w:r w:rsidRPr="00BE1D42">
              <w:rPr>
                <w:color w:val="FFFFFF" w:themeColor="background1"/>
              </w:rPr>
              <w:t>Role Name</w:t>
            </w:r>
          </w:p>
        </w:tc>
        <w:tc>
          <w:tcPr>
            <w:tcW w:w="5625" w:type="dxa"/>
          </w:tcPr>
          <w:p w:rsidRPr="00BE1D42" w:rsidR="00CB76E0" w:rsidRDefault="00CB76E0" w14:paraId="564ED140" w14:textId="77777777">
            <w:pPr>
              <w:pStyle w:val="BodyText"/>
              <w:jc w:val="both"/>
              <w:rPr>
                <w:color w:val="FFFFFF" w:themeColor="background1"/>
              </w:rPr>
            </w:pPr>
            <w:r w:rsidRPr="00BE1D42">
              <w:rPr>
                <w:color w:val="FFFFFF" w:themeColor="background1"/>
              </w:rPr>
              <w:t>Description</w:t>
            </w:r>
          </w:p>
        </w:tc>
      </w:tr>
      <w:tr w:rsidRPr="00BE1D42" w:rsidR="00CB76E0" w14:paraId="11665B16" w14:textId="77777777">
        <w:tc>
          <w:tcPr>
            <w:tcW w:w="3402" w:type="dxa"/>
          </w:tcPr>
          <w:p w:rsidRPr="00BE1D42" w:rsidR="00CB76E0" w:rsidRDefault="00452AA7" w14:paraId="2B1DDF2A" w14:textId="6718747B">
            <w:pPr>
              <w:pStyle w:val="BodyText"/>
              <w:jc w:val="both"/>
            </w:pPr>
            <w:r w:rsidRPr="00BE1D42">
              <w:t>Log Analytics Contributor</w:t>
            </w:r>
          </w:p>
        </w:tc>
        <w:tc>
          <w:tcPr>
            <w:tcW w:w="5625" w:type="dxa"/>
          </w:tcPr>
          <w:p w:rsidRPr="00BE1D42" w:rsidR="00CB76E0" w:rsidRDefault="00452AA7" w14:paraId="340726C0" w14:textId="7795F46B">
            <w:pPr>
              <w:spacing w:line="240" w:lineRule="auto"/>
              <w:jc w:val="both"/>
              <w:rPr>
                <w:rFonts w:cs="Arial"/>
                <w:color w:val="161616"/>
              </w:rPr>
            </w:pPr>
            <w:r w:rsidRPr="00BE1D42">
              <w:rPr>
                <w:rFonts w:cs="Arial"/>
                <w:color w:val="161616"/>
              </w:rPr>
              <w:t xml:space="preserve">Log Analytics Contributor can read all monitoring data and edit monitoring settings. Editing monitoring settings includes adding the VM extension to VMs; reading storage account keys to be able to configure collection of logs from Azure Storage; adding solutions; and configuring Azure diagnostics on all Azure resources. </w:t>
            </w:r>
          </w:p>
        </w:tc>
      </w:tr>
      <w:tr w:rsidRPr="00BE1D42" w:rsidR="00CB76E0" w14:paraId="6B9EF577" w14:textId="77777777">
        <w:tc>
          <w:tcPr>
            <w:tcW w:w="3402" w:type="dxa"/>
          </w:tcPr>
          <w:p w:rsidRPr="00BE1D42" w:rsidR="00CB76E0" w:rsidRDefault="00452AA7" w14:paraId="1EC10B79" w14:textId="4378C186">
            <w:pPr>
              <w:pStyle w:val="BodyText"/>
              <w:jc w:val="both"/>
            </w:pPr>
            <w:r w:rsidRPr="00BE1D42">
              <w:t>Log Analytics Reader</w:t>
            </w:r>
          </w:p>
        </w:tc>
        <w:tc>
          <w:tcPr>
            <w:tcW w:w="5625" w:type="dxa"/>
          </w:tcPr>
          <w:p w:rsidRPr="00BE1D42" w:rsidR="00CB76E0" w:rsidRDefault="00434AF0" w14:paraId="6EE1E870" w14:textId="02CD2F3C">
            <w:pPr>
              <w:pStyle w:val="BodyText"/>
              <w:keepNext/>
              <w:jc w:val="both"/>
              <w:rPr>
                <w:rFonts w:cs="Arial"/>
              </w:rPr>
            </w:pPr>
            <w:r w:rsidRPr="00BE1D42">
              <w:rPr>
                <w:rFonts w:cs="Arial"/>
                <w:color w:val="161616"/>
                <w:shd w:val="clear" w:color="auto" w:fill="FFFFFF"/>
              </w:rPr>
              <w:t>Log Analytics Reader can view and search all monitoring data as well as and view monitoring settings, including viewing the configuration of Azure diagnostics on all Azure resources.</w:t>
            </w:r>
            <w:r w:rsidRPr="00BE1D42">
              <w:rPr>
                <w:rFonts w:cs="Arial"/>
                <w:color w:val="161616"/>
                <w:shd w:val="clear" w:color="auto" w:fill="FFFFFF"/>
              </w:rPr>
              <w:tab/>
            </w:r>
          </w:p>
        </w:tc>
      </w:tr>
      <w:tr w:rsidRPr="00BE1D42" w:rsidR="0055774D" w14:paraId="4FAA1136" w14:textId="77777777">
        <w:tc>
          <w:tcPr>
            <w:tcW w:w="3402" w:type="dxa"/>
          </w:tcPr>
          <w:p w:rsidRPr="00BE1D42" w:rsidR="0055774D" w:rsidRDefault="0055774D" w14:paraId="4418239F" w14:textId="4BB332B1">
            <w:pPr>
              <w:pStyle w:val="BodyText"/>
              <w:jc w:val="both"/>
            </w:pPr>
            <w:r w:rsidRPr="00BE1D42">
              <w:t>Data Purger</w:t>
            </w:r>
          </w:p>
        </w:tc>
        <w:tc>
          <w:tcPr>
            <w:tcW w:w="5625" w:type="dxa"/>
          </w:tcPr>
          <w:p w:rsidRPr="00BE1D42" w:rsidR="0055774D" w:rsidRDefault="00452AA7" w14:paraId="6D1B6978" w14:textId="2D4175C0">
            <w:pPr>
              <w:pStyle w:val="BodyText"/>
              <w:keepNext/>
              <w:jc w:val="both"/>
              <w:rPr>
                <w:rFonts w:cs="Arial"/>
                <w:color w:val="161616"/>
                <w:shd w:val="clear" w:color="auto" w:fill="FFFFFF"/>
              </w:rPr>
            </w:pPr>
            <w:r w:rsidRPr="00BE1D42">
              <w:rPr>
                <w:rFonts w:cs="Arial"/>
                <w:color w:val="161616"/>
                <w:shd w:val="clear" w:color="auto" w:fill="FFFFFF"/>
              </w:rPr>
              <w:t>Delete private data from a Log Analytics workspace.</w:t>
            </w:r>
          </w:p>
        </w:tc>
      </w:tr>
    </w:tbl>
    <w:p w:rsidR="00CB76E0" w:rsidP="00CB76E0" w:rsidRDefault="00CB76E0" w14:paraId="4C3BBBE8" w14:textId="06BFBA2B">
      <w:pPr>
        <w:pStyle w:val="Caption"/>
        <w:jc w:val="center"/>
      </w:pPr>
      <w:r w:rsidRPr="00BE1D42">
        <w:t xml:space="preserve">Table </w:t>
      </w:r>
      <w:r>
        <w:fldChar w:fldCharType="begin"/>
      </w:r>
      <w:r>
        <w:instrText> SEQ Table \* ARABIC </w:instrText>
      </w:r>
      <w:r>
        <w:fldChar w:fldCharType="separate"/>
      </w:r>
      <w:r w:rsidRPr="00BE1D42" w:rsidR="000141AB">
        <w:rPr>
          <w:noProof/>
        </w:rPr>
        <w:t>5</w:t>
      </w:r>
      <w:r>
        <w:fldChar w:fldCharType="end"/>
      </w:r>
      <w:r w:rsidRPr="00BE1D42">
        <w:t>: RBAC roles relevant for this core service</w:t>
      </w:r>
    </w:p>
    <w:p w:rsidR="00396661" w:rsidP="00396661" w:rsidRDefault="00396661" w14:paraId="697CE5A0" w14:textId="77777777"/>
    <w:p w:rsidR="008D29EC" w:rsidP="00396661" w:rsidRDefault="008D29EC" w14:paraId="3B8E0DCF" w14:textId="77777777"/>
    <w:p w:rsidR="008D29EC" w:rsidP="00396661" w:rsidRDefault="008D29EC" w14:paraId="50FD5788" w14:textId="77777777"/>
    <w:p w:rsidR="008D29EC" w:rsidP="00396661" w:rsidRDefault="008D29EC" w14:paraId="2648501B" w14:textId="77777777"/>
    <w:p w:rsidR="008D29EC" w:rsidP="00396661" w:rsidRDefault="008D29EC" w14:paraId="7D313A0C" w14:textId="77777777"/>
    <w:p w:rsidR="008D29EC" w:rsidP="00396661" w:rsidRDefault="008D29EC" w14:paraId="06BF15D9" w14:textId="77777777"/>
    <w:p w:rsidR="008D29EC" w:rsidP="00396661" w:rsidRDefault="008D29EC" w14:paraId="39523414" w14:textId="77777777"/>
    <w:p w:rsidR="008D29EC" w:rsidP="00396661" w:rsidRDefault="008D29EC" w14:paraId="3BD8D28E" w14:textId="77777777"/>
    <w:p w:rsidR="008D29EC" w:rsidP="00396661" w:rsidRDefault="008D29EC" w14:paraId="24ECB54E" w14:textId="77777777"/>
    <w:p w:rsidR="008D29EC" w:rsidP="00396661" w:rsidRDefault="008D29EC" w14:paraId="7A479F52" w14:textId="77777777"/>
    <w:p w:rsidR="008D29EC" w:rsidP="00396661" w:rsidRDefault="008D29EC" w14:paraId="1354F2A0" w14:textId="77777777"/>
    <w:p w:rsidR="008D29EC" w:rsidP="00396661" w:rsidRDefault="008D29EC" w14:paraId="0A251A07" w14:textId="77777777"/>
    <w:p w:rsidR="008D29EC" w:rsidP="00396661" w:rsidRDefault="008D29EC" w14:paraId="7A804074" w14:textId="77777777"/>
    <w:p w:rsidR="008D29EC" w:rsidP="00396661" w:rsidRDefault="008D29EC" w14:paraId="6883CE76" w14:textId="77777777"/>
    <w:p w:rsidR="008D29EC" w:rsidP="00396661" w:rsidRDefault="008D29EC" w14:paraId="2D18A550" w14:textId="77777777"/>
    <w:p w:rsidR="008D29EC" w:rsidP="00396661" w:rsidRDefault="008D29EC" w14:paraId="354B7E45" w14:textId="77777777"/>
    <w:p w:rsidR="008D29EC" w:rsidP="00396661" w:rsidRDefault="008D29EC" w14:paraId="14752971" w14:textId="77777777"/>
    <w:p w:rsidR="008D29EC" w:rsidP="00396661" w:rsidRDefault="008D29EC" w14:paraId="21A91795" w14:textId="77777777"/>
    <w:p w:rsidRPr="00396661" w:rsidR="008D29EC" w:rsidP="00396661" w:rsidRDefault="008D29EC" w14:paraId="4F643971" w14:textId="77777777"/>
    <w:p w:rsidR="00525B21" w:rsidP="00525B21" w:rsidRDefault="00525B21" w14:paraId="40082283" w14:textId="4E15FD5E">
      <w:pPr>
        <w:pStyle w:val="Heading2"/>
      </w:pPr>
      <w:bookmarkStart w:name="_Toc157090454" w:id="29"/>
      <w:r>
        <w:t xml:space="preserve">Solution </w:t>
      </w:r>
      <w:r w:rsidR="00AE7D6D">
        <w:t>D</w:t>
      </w:r>
      <w:r>
        <w:t>iagram</w:t>
      </w:r>
      <w:bookmarkEnd w:id="29"/>
    </w:p>
    <w:p w:rsidR="008D29EC" w:rsidP="008D29EC" w:rsidRDefault="00523E73" w14:paraId="746B056D" w14:textId="39061FD3">
      <w:pPr>
        <w:pStyle w:val="BodyText"/>
        <w:keepNext w:val="1"/>
      </w:pPr>
      <w:r>
        <w:object w:dxaOrig="12180" w:dyaOrig="9610" w14:anchorId="74BCBEE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71pt;height:372pt" o:ole="" type="#_x0000_t75">
            <v:imagedata o:title="" r:id="rId17"/>
          </v:shape>
          <o:OLEObject Type="Embed" ProgID="Visio.Drawing.15" ShapeID="_x0000_i1025" DrawAspect="Content" ObjectID="_1768206627" r:id="rId18"/>
        </w:object>
      </w:r>
    </w:p>
    <w:p w:rsidR="00396661" w:rsidP="00780F87" w:rsidRDefault="008D29EC" w14:paraId="53023E05" w14:textId="6819A8CC">
      <w:pPr>
        <w:pStyle w:val="Caption"/>
        <w:jc w:val="center"/>
      </w:pPr>
      <w:r>
        <w:t xml:space="preserve">Figure </w:t>
      </w:r>
      <w:r>
        <w:fldChar w:fldCharType="begin"/>
      </w:r>
      <w:r>
        <w:instrText> SEQ Figure \* ARABIC </w:instrText>
      </w:r>
      <w:r>
        <w:fldChar w:fldCharType="separate"/>
      </w:r>
      <w:r>
        <w:rPr>
          <w:noProof/>
        </w:rPr>
        <w:t>1</w:t>
      </w:r>
      <w:r>
        <w:fldChar w:fldCharType="end"/>
      </w:r>
      <w:r>
        <w:t>: Log Analytics Workspace Centralised configuration</w:t>
      </w:r>
    </w:p>
    <w:p w:rsidR="00396661" w:rsidP="00525B21" w:rsidRDefault="00396661" w14:paraId="4044F0B2" w14:textId="77777777">
      <w:pPr>
        <w:pStyle w:val="BodyText"/>
      </w:pPr>
    </w:p>
    <w:p w:rsidR="00396661" w:rsidP="00525B21" w:rsidRDefault="00396661" w14:paraId="6394D44A" w14:textId="77777777">
      <w:pPr>
        <w:pStyle w:val="BodyText"/>
      </w:pPr>
    </w:p>
    <w:p w:rsidR="00396661" w:rsidP="00525B21" w:rsidRDefault="00396661" w14:paraId="1BB240EF" w14:textId="77777777">
      <w:pPr>
        <w:pStyle w:val="BodyText"/>
      </w:pPr>
    </w:p>
    <w:p w:rsidR="00396661" w:rsidP="00525B21" w:rsidRDefault="00396661" w14:paraId="1859D59A" w14:textId="77777777">
      <w:pPr>
        <w:pStyle w:val="BodyText"/>
      </w:pPr>
    </w:p>
    <w:p w:rsidR="00396661" w:rsidP="00525B21" w:rsidRDefault="00396661" w14:paraId="18195571" w14:textId="77777777">
      <w:pPr>
        <w:pStyle w:val="BodyText"/>
      </w:pPr>
    </w:p>
    <w:p w:rsidR="00396661" w:rsidP="00525B21" w:rsidRDefault="00396661" w14:paraId="2B7BB3A4" w14:textId="77777777">
      <w:pPr>
        <w:pStyle w:val="BodyText"/>
      </w:pPr>
    </w:p>
    <w:p w:rsidR="00396661" w:rsidP="00525B21" w:rsidRDefault="00396661" w14:paraId="789E2182" w14:textId="77777777">
      <w:pPr>
        <w:pStyle w:val="BodyText"/>
      </w:pPr>
    </w:p>
    <w:p w:rsidR="00396661" w:rsidP="00525B21" w:rsidRDefault="00396661" w14:paraId="4A779C65" w14:textId="77777777">
      <w:pPr>
        <w:pStyle w:val="BodyText"/>
      </w:pPr>
    </w:p>
    <w:p w:rsidR="00712A04" w:rsidP="00525B21" w:rsidRDefault="00712A04" w14:paraId="056F386E" w14:textId="77777777">
      <w:pPr>
        <w:pStyle w:val="BodyText"/>
      </w:pPr>
    </w:p>
    <w:p w:rsidR="00712A04" w:rsidP="00525B21" w:rsidRDefault="00712A04" w14:paraId="70FB1544" w14:textId="77777777">
      <w:pPr>
        <w:pStyle w:val="BodyText"/>
      </w:pPr>
    </w:p>
    <w:p w:rsidR="00712A04" w:rsidP="00525B21" w:rsidRDefault="00712A04" w14:paraId="1DC8D800" w14:textId="77777777">
      <w:pPr>
        <w:pStyle w:val="BodyText"/>
      </w:pPr>
    </w:p>
    <w:p w:rsidR="00396661" w:rsidP="00525B21" w:rsidRDefault="00396661" w14:paraId="3D9F54F0" w14:textId="77777777">
      <w:pPr>
        <w:pStyle w:val="BodyText"/>
      </w:pPr>
    </w:p>
    <w:p w:rsidR="00396661" w:rsidP="00525B21" w:rsidRDefault="00396661" w14:paraId="6000019C" w14:textId="77777777">
      <w:pPr>
        <w:pStyle w:val="BodyText"/>
      </w:pPr>
    </w:p>
    <w:p w:rsidR="00525B21" w:rsidP="00525B21" w:rsidRDefault="00525B21" w14:paraId="76D4AAC1" w14:textId="7FFDADE1">
      <w:pPr>
        <w:pStyle w:val="Heading2"/>
      </w:pPr>
      <w:bookmarkStart w:name="_Toc157090455" w:id="30"/>
      <w:r>
        <w:t>Design Decisions and Justifications</w:t>
      </w:r>
      <w:bookmarkEnd w:id="30"/>
    </w:p>
    <w:p w:rsidR="00525B21" w:rsidP="007D289F" w:rsidRDefault="00525B21" w14:paraId="427E9337" w14:textId="53C0C16E">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9B660B">
            <w:t>Log Analytics Workspace</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Pr="008B7613" w:rsidR="00DA6DA9" w:rsidP="007D289F" w:rsidRDefault="00E559CF" w14:paraId="25A0D34B" w14:textId="1C1CEE5B">
      <w:pPr>
        <w:pStyle w:val="Heading3"/>
        <w:numPr>
          <w:ilvl w:val="2"/>
          <w:numId w:val="7"/>
        </w:numPr>
        <w:jc w:val="both"/>
      </w:pPr>
      <w:bookmarkStart w:name="_Toc157090456" w:id="31"/>
      <w:r>
        <w:t xml:space="preserve">Number </w:t>
      </w:r>
      <w:r w:rsidR="00794029">
        <w:t xml:space="preserve">and Location </w:t>
      </w:r>
      <w:r>
        <w:t>of Log Analytics Workspaces</w:t>
      </w:r>
      <w:bookmarkEnd w:id="31"/>
    </w:p>
    <w:p w:rsidR="00F50338" w:rsidP="007D289F" w:rsidRDefault="00F50338" w14:paraId="4C252234" w14:textId="4AE802E4">
      <w:pPr>
        <w:pStyle w:val="BodyText"/>
        <w:jc w:val="both"/>
        <w:rPr>
          <w:b/>
          <w:bCs/>
        </w:rPr>
      </w:pPr>
      <w:r>
        <w:rPr>
          <w:b/>
          <w:bCs/>
        </w:rPr>
        <w:t xml:space="preserve">Design Reference: </w:t>
      </w:r>
      <w:r w:rsidRPr="00794029" w:rsidR="00794029">
        <w:t xml:space="preserve">Table 6 – </w:t>
      </w:r>
      <w:hyperlink w:history="1" w:anchor="_Log_Analytics_Workspace">
        <w:r w:rsidRPr="0018795C" w:rsidR="00794029">
          <w:rPr>
            <w:rStyle w:val="Hyperlink"/>
            <w:smallCaps/>
          </w:rPr>
          <w:t>S4</w:t>
        </w:r>
      </w:hyperlink>
    </w:p>
    <w:p w:rsidRPr="00BC1AF9" w:rsidR="00F50338" w:rsidP="007D289F" w:rsidRDefault="00F50338" w14:paraId="6DDEF2FB" w14:textId="77777777">
      <w:pPr>
        <w:pStyle w:val="BodyText"/>
        <w:jc w:val="both"/>
      </w:pPr>
    </w:p>
    <w:p w:rsidR="00DA6DA9" w:rsidP="007D289F" w:rsidRDefault="00DA6DA9" w14:paraId="25D6AE94" w14:textId="4ABBBB47">
      <w:pPr>
        <w:pStyle w:val="BodyText"/>
        <w:jc w:val="both"/>
      </w:pPr>
      <w:r w:rsidRPr="008B7613">
        <w:rPr>
          <w:b/>
          <w:bCs/>
        </w:rPr>
        <w:t>Design Decision</w:t>
      </w:r>
      <w:r>
        <w:t xml:space="preserve">: </w:t>
      </w:r>
      <w:r w:rsidR="008321E8">
        <w:t xml:space="preserve">A central Log Analytics Workspace will be deployed in each region in the AV ALZ Management Subscription. A </w:t>
      </w:r>
      <w:r w:rsidR="00E559CF">
        <w:t>separate instance of Log Analytics Workspace</w:t>
      </w:r>
      <w:r w:rsidR="008321E8">
        <w:t xml:space="preserve"> will be used</w:t>
      </w:r>
      <w:r w:rsidR="00E559CF">
        <w:t xml:space="preserve"> for Microsoft Sentinel</w:t>
      </w:r>
      <w:r w:rsidR="008321E8">
        <w:t xml:space="preserve">. </w:t>
      </w:r>
    </w:p>
    <w:p w:rsidR="00DA6DA9" w:rsidP="007D289F" w:rsidRDefault="00DA6DA9" w14:paraId="37F41E6F" w14:textId="77777777">
      <w:pPr>
        <w:pStyle w:val="BodyText"/>
        <w:jc w:val="both"/>
      </w:pPr>
    </w:p>
    <w:p w:rsidR="00006A51" w:rsidP="007D289F" w:rsidRDefault="00DA6DA9" w14:paraId="7759B869" w14:textId="3AB88103">
      <w:pPr>
        <w:pStyle w:val="BodyText"/>
        <w:jc w:val="both"/>
      </w:pPr>
      <w:r w:rsidRPr="008B7613">
        <w:rPr>
          <w:b/>
          <w:bCs/>
        </w:rPr>
        <w:t>Design Justification</w:t>
      </w:r>
      <w:r>
        <w:t>:</w:t>
      </w:r>
      <w:r w:rsidR="008321E8">
        <w:t xml:space="preserve"> </w:t>
      </w:r>
      <w:r w:rsidR="00006A51">
        <w:t xml:space="preserve">Security and simplicity of management principals suggest the best way to deploy Log Analytics Workspaces </w:t>
      </w:r>
      <w:r w:rsidR="008321E8">
        <w:t>is to centralise the collection of logs as much as possible</w:t>
      </w:r>
      <w:r w:rsidR="00006A51">
        <w:t xml:space="preserve">. Only one Log Analytics solution can be deployed per </w:t>
      </w:r>
      <w:r w:rsidR="00623A0D">
        <w:t>region,</w:t>
      </w:r>
      <w:r w:rsidR="00006A51">
        <w:t xml:space="preserve"> so it</w:t>
      </w:r>
      <w:r w:rsidR="00D52139">
        <w:t xml:space="preserve"> is recommended to have two central workspaces – one in each Azure region. </w:t>
      </w:r>
      <w:r w:rsidR="00006A51">
        <w:t xml:space="preserve"> </w:t>
      </w:r>
      <w:r w:rsidR="00623A0D">
        <w:t xml:space="preserve">For specific applications such as Azure Sentinel another workspace will be deployed to provide segregation of the Sentinel data as compared to general logs and diagnostics. </w:t>
      </w:r>
    </w:p>
    <w:p w:rsidR="00DA6DA9" w:rsidP="007D289F" w:rsidRDefault="008321E8" w14:paraId="2B406AC8" w14:textId="5F27078E">
      <w:pPr>
        <w:pStyle w:val="BodyText"/>
        <w:jc w:val="both"/>
      </w:pPr>
      <w:r>
        <w:t xml:space="preserve"> </w:t>
      </w:r>
      <w:r w:rsidR="00DA6DA9">
        <w:t xml:space="preserve"> </w:t>
      </w:r>
    </w:p>
    <w:p w:rsidR="00DA6DA9" w:rsidP="007D289F" w:rsidRDefault="00F50338" w14:paraId="614D480E" w14:textId="57D50D2C">
      <w:pPr>
        <w:pStyle w:val="Heading3"/>
        <w:numPr>
          <w:ilvl w:val="2"/>
          <w:numId w:val="7"/>
        </w:numPr>
        <w:jc w:val="both"/>
      </w:pPr>
      <w:bookmarkStart w:name="_Toc157090457" w:id="32"/>
      <w:r>
        <w:t>Logging and Monitoring</w:t>
      </w:r>
      <w:bookmarkEnd w:id="32"/>
    </w:p>
    <w:p w:rsidR="001855C6" w:rsidP="001855C6" w:rsidRDefault="001855C6" w14:paraId="76ED0FCD" w14:textId="460CB501">
      <w:pPr>
        <w:pStyle w:val="BodyText"/>
      </w:pPr>
      <w:r w:rsidRPr="008C05DB">
        <w:rPr>
          <w:b/>
          <w:bCs/>
        </w:rPr>
        <w:t>Design Reference:</w:t>
      </w:r>
      <w:r>
        <w:t xml:space="preserve"> Table 6 – </w:t>
      </w:r>
      <w:hyperlink w:history="1" w:anchor="_Log_Analytics_Workspace">
        <w:r w:rsidRPr="0018795C">
          <w:rPr>
            <w:rStyle w:val="Hyperlink"/>
          </w:rPr>
          <w:t>S2, S</w:t>
        </w:r>
        <w:r w:rsidRPr="0018795C" w:rsidR="00794029">
          <w:rPr>
            <w:rStyle w:val="Hyperlink"/>
          </w:rPr>
          <w:t>3</w:t>
        </w:r>
      </w:hyperlink>
      <w:r w:rsidR="00794029">
        <w:t xml:space="preserve"> </w:t>
      </w:r>
    </w:p>
    <w:p w:rsidRPr="001855C6" w:rsidR="008C05DB" w:rsidP="001855C6" w:rsidRDefault="008C05DB" w14:paraId="62181735" w14:textId="77777777">
      <w:pPr>
        <w:pStyle w:val="BodyText"/>
      </w:pPr>
    </w:p>
    <w:p w:rsidR="00DA6DA9" w:rsidP="007D289F" w:rsidRDefault="00DA6DA9" w14:paraId="6CD23346" w14:textId="6A6DA910">
      <w:pPr>
        <w:pStyle w:val="BodyText"/>
        <w:jc w:val="both"/>
      </w:pPr>
      <w:r w:rsidRPr="008B7613">
        <w:rPr>
          <w:b/>
          <w:bCs/>
        </w:rPr>
        <w:t>Design Decision:</w:t>
      </w:r>
      <w:r>
        <w:t xml:space="preserve"> </w:t>
      </w:r>
      <w:r w:rsidR="00F50338">
        <w:t xml:space="preserve">diagnostic settings will be enabled for the Log Analytics Workspace itself. </w:t>
      </w:r>
      <w:r w:rsidR="0018795C">
        <w:t xml:space="preserve">All other resources will send their diagnostic logs to the central Log Analytics Workspace in that region. </w:t>
      </w:r>
      <w:r w:rsidR="003A2E8B">
        <w:t xml:space="preserve"> AllLogs and allMetrics will be captured for the Log Analytics Workspace diagnostic setting. </w:t>
      </w:r>
      <w:r>
        <w:t xml:space="preserve"> </w:t>
      </w:r>
    </w:p>
    <w:p w:rsidR="00DA6DA9" w:rsidP="007D289F" w:rsidRDefault="00DA6DA9" w14:paraId="5705FDBD" w14:textId="77777777">
      <w:pPr>
        <w:pStyle w:val="BodyText"/>
        <w:jc w:val="both"/>
        <w:rPr>
          <w:b/>
          <w:bCs/>
        </w:rPr>
      </w:pPr>
    </w:p>
    <w:p w:rsidR="00116140" w:rsidP="007D289F" w:rsidRDefault="00DA6DA9" w14:paraId="61793B6D" w14:textId="27BE2312">
      <w:pPr>
        <w:pStyle w:val="BodyText"/>
        <w:tabs>
          <w:tab w:val="clear" w:pos="4536"/>
          <w:tab w:val="clear" w:pos="6804"/>
          <w:tab w:val="clear" w:pos="9638"/>
          <w:tab w:val="left" w:pos="3065"/>
        </w:tabs>
        <w:jc w:val="both"/>
      </w:pPr>
      <w:r w:rsidRPr="008B7613">
        <w:rPr>
          <w:b/>
          <w:bCs/>
        </w:rPr>
        <w:t>Design Justification:</w:t>
      </w:r>
      <w:r>
        <w:rPr>
          <w:b/>
          <w:bCs/>
        </w:rPr>
        <w:t xml:space="preserve"> </w:t>
      </w:r>
      <w:r w:rsidR="009415AE">
        <w:t xml:space="preserve">All resources, including the Log Analytics Workspace itself, must have their logs captured and stored as centrally as possible so that they can be reviewed for suspicious activity or operational optimisation purposes. There will be one central Log Analytics Workspace per region, so all resources will send their logs to the workspace in its respective region.  </w:t>
      </w:r>
      <w:r>
        <w:t xml:space="preserve"> </w:t>
      </w:r>
    </w:p>
    <w:p w:rsidR="00116140" w:rsidP="007D289F" w:rsidRDefault="00116140" w14:paraId="5CC562EE" w14:textId="77777777">
      <w:pPr>
        <w:pStyle w:val="BodyText"/>
        <w:tabs>
          <w:tab w:val="clear" w:pos="4536"/>
          <w:tab w:val="clear" w:pos="6804"/>
          <w:tab w:val="clear" w:pos="9638"/>
          <w:tab w:val="left" w:pos="3065"/>
        </w:tabs>
        <w:jc w:val="both"/>
      </w:pPr>
    </w:p>
    <w:p w:rsidR="00770E64" w:rsidP="00770E64" w:rsidRDefault="00770E64" w14:paraId="6506AF30" w14:textId="489CF05F">
      <w:pPr>
        <w:pStyle w:val="Heading3"/>
        <w:numPr>
          <w:ilvl w:val="2"/>
          <w:numId w:val="7"/>
        </w:numPr>
        <w:jc w:val="both"/>
      </w:pPr>
      <w:bookmarkStart w:name="_Toc157090458" w:id="33"/>
      <w:r>
        <w:t>Data Retention Period</w:t>
      </w:r>
      <w:bookmarkEnd w:id="33"/>
    </w:p>
    <w:p w:rsidRPr="001855C6" w:rsidR="00770E64" w:rsidP="00770E64" w:rsidRDefault="00770E64" w14:paraId="677E74CF" w14:textId="343EA14D">
      <w:pPr>
        <w:pStyle w:val="BodyText"/>
        <w:rPr>
          <w:b/>
          <w:bCs/>
        </w:rPr>
      </w:pPr>
      <w:r w:rsidRPr="001855C6">
        <w:rPr>
          <w:b/>
          <w:bCs/>
        </w:rPr>
        <w:t>Design Reference</w:t>
      </w:r>
      <w:r w:rsidRPr="001855C6" w:rsidR="001855C6">
        <w:rPr>
          <w:b/>
          <w:bCs/>
        </w:rPr>
        <w:t>:</w:t>
      </w:r>
      <w:r w:rsidR="001855C6">
        <w:rPr>
          <w:b/>
          <w:bCs/>
        </w:rPr>
        <w:t xml:space="preserve"> </w:t>
      </w:r>
      <w:r w:rsidR="001855C6">
        <w:t xml:space="preserve">Table 6 </w:t>
      </w:r>
      <w:r w:rsidR="0083532A">
        <w:t>–</w:t>
      </w:r>
      <w:r w:rsidR="001855C6">
        <w:t xml:space="preserve"> </w:t>
      </w:r>
      <w:hyperlink w:history="1" w:anchor="_Log_Analytics_Workspace">
        <w:r w:rsidRPr="003D0ACE" w:rsidR="001855C6">
          <w:rPr>
            <w:rStyle w:val="Hyperlink"/>
          </w:rPr>
          <w:t>S</w:t>
        </w:r>
        <w:r w:rsidRPr="003D0ACE" w:rsidR="0083532A">
          <w:rPr>
            <w:rStyle w:val="Hyperlink"/>
          </w:rPr>
          <w:t>5</w:t>
        </w:r>
      </w:hyperlink>
      <w:r w:rsidRPr="001855C6" w:rsidR="001855C6">
        <w:rPr>
          <w:b/>
          <w:bCs/>
        </w:rPr>
        <w:t xml:space="preserve"> </w:t>
      </w:r>
    </w:p>
    <w:p w:rsidR="00006A51" w:rsidP="00770E64" w:rsidRDefault="00006A51" w14:paraId="50DBDC11" w14:textId="77777777">
      <w:pPr>
        <w:pStyle w:val="BodyText"/>
      </w:pPr>
    </w:p>
    <w:p w:rsidRPr="003D0ACE" w:rsidR="00770E64" w:rsidP="00770E64" w:rsidRDefault="00770E64" w14:paraId="53464053" w14:textId="1C9892A8">
      <w:pPr>
        <w:pStyle w:val="BodyText"/>
      </w:pPr>
      <w:r w:rsidRPr="0018795C">
        <w:rPr>
          <w:b/>
          <w:bCs/>
        </w:rPr>
        <w:t>Design Decision:</w:t>
      </w:r>
      <w:r w:rsidR="003D0ACE">
        <w:rPr>
          <w:b/>
          <w:bCs/>
        </w:rPr>
        <w:t xml:space="preserve"> </w:t>
      </w:r>
      <w:r w:rsidR="003D0ACE">
        <w:t>the retention period will be set at 90 days.</w:t>
      </w:r>
    </w:p>
    <w:p w:rsidR="00006A51" w:rsidP="00770E64" w:rsidRDefault="00006A51" w14:paraId="2DDA7256" w14:textId="77777777">
      <w:pPr>
        <w:pStyle w:val="BodyText"/>
      </w:pPr>
    </w:p>
    <w:p w:rsidRPr="003D0ACE" w:rsidR="00770E64" w:rsidP="00770E64" w:rsidRDefault="00770E64" w14:paraId="37103F5F" w14:textId="28434728">
      <w:pPr>
        <w:pStyle w:val="BodyText"/>
      </w:pPr>
      <w:r w:rsidRPr="0018795C">
        <w:rPr>
          <w:b/>
          <w:bCs/>
        </w:rPr>
        <w:t xml:space="preserve">Design Justification: </w:t>
      </w:r>
      <w:r w:rsidR="003D0ACE">
        <w:t xml:space="preserve">It is a compliance requirement stipulated by the Department of Health controls that logs will be retained for a minimum of 90 days. </w:t>
      </w:r>
    </w:p>
    <w:p w:rsidR="00535039" w:rsidP="007D289F" w:rsidRDefault="00535039" w14:paraId="1FD6CA9B" w14:textId="77777777">
      <w:pPr>
        <w:pStyle w:val="BodyText"/>
        <w:tabs>
          <w:tab w:val="clear" w:pos="4536"/>
          <w:tab w:val="clear" w:pos="6804"/>
          <w:tab w:val="clear" w:pos="9638"/>
          <w:tab w:val="left" w:pos="3065"/>
        </w:tabs>
        <w:jc w:val="both"/>
      </w:pPr>
    </w:p>
    <w:p w:rsidR="00535039" w:rsidP="00FE4090" w:rsidRDefault="00535039" w14:paraId="18FB17DA" w14:textId="42972040">
      <w:pPr>
        <w:pStyle w:val="Heading3"/>
        <w:numPr>
          <w:ilvl w:val="2"/>
          <w:numId w:val="7"/>
        </w:numPr>
        <w:jc w:val="both"/>
      </w:pPr>
      <w:r>
        <w:t>Daily Cap Limit</w:t>
      </w:r>
    </w:p>
    <w:p w:rsidRPr="00535039" w:rsidR="00535039" w:rsidP="00FE4090" w:rsidRDefault="00535039" w14:paraId="00A1C3EA" w14:textId="528ED1A6">
      <w:pPr>
        <w:pStyle w:val="BodyText"/>
        <w:jc w:val="both"/>
        <w:rPr>
          <w:b/>
          <w:bCs/>
        </w:rPr>
      </w:pPr>
      <w:r w:rsidRPr="00535039">
        <w:rPr>
          <w:b/>
          <w:bCs/>
        </w:rPr>
        <w:t>Design reference:</w:t>
      </w:r>
      <w:r w:rsidR="008F752F">
        <w:rPr>
          <w:b/>
          <w:bCs/>
        </w:rPr>
        <w:t xml:space="preserve"> </w:t>
      </w:r>
      <w:r w:rsidRPr="008F752F" w:rsidR="008F752F">
        <w:t xml:space="preserve">Table 3 – </w:t>
      </w:r>
      <w:hyperlink w:history="1" w:anchor="_Log_Analytics_Workspace_1">
        <w:r w:rsidRPr="008F752F" w:rsidR="008F752F">
          <w:rPr>
            <w:rStyle w:val="Hyperlink"/>
          </w:rPr>
          <w:t>CO2</w:t>
        </w:r>
      </w:hyperlink>
    </w:p>
    <w:p w:rsidRPr="00535039" w:rsidR="00535039" w:rsidP="00FE4090" w:rsidRDefault="00535039" w14:paraId="7AB5BF98" w14:textId="77777777">
      <w:pPr>
        <w:pStyle w:val="BodyText"/>
        <w:jc w:val="both"/>
        <w:rPr>
          <w:b/>
          <w:bCs/>
        </w:rPr>
      </w:pPr>
    </w:p>
    <w:p w:rsidRPr="008F752F" w:rsidR="00535039" w:rsidP="00FE4090" w:rsidRDefault="00535039" w14:paraId="4C1A7D0D" w14:textId="51ACA4CE">
      <w:pPr>
        <w:pStyle w:val="BodyText"/>
        <w:jc w:val="both"/>
      </w:pPr>
      <w:r w:rsidRPr="00535039">
        <w:rPr>
          <w:b/>
          <w:bCs/>
        </w:rPr>
        <w:t>Design Decision:</w:t>
      </w:r>
      <w:r w:rsidR="008F752F">
        <w:rPr>
          <w:b/>
          <w:bCs/>
        </w:rPr>
        <w:t xml:space="preserve"> </w:t>
      </w:r>
      <w:r w:rsidR="008F752F">
        <w:t>A daily cap limit of</w:t>
      </w:r>
      <w:r w:rsidR="00FE4090">
        <w:t xml:space="preserve"> 100GB</w:t>
      </w:r>
      <w:r w:rsidR="008F752F">
        <w:t xml:space="preserve"> will be set. </w:t>
      </w:r>
    </w:p>
    <w:p w:rsidRPr="00535039" w:rsidR="00535039" w:rsidP="00FE4090" w:rsidRDefault="00535039" w14:paraId="67402233" w14:textId="77777777">
      <w:pPr>
        <w:pStyle w:val="BodyText"/>
        <w:jc w:val="both"/>
        <w:rPr>
          <w:b/>
          <w:bCs/>
        </w:rPr>
      </w:pPr>
    </w:p>
    <w:p w:rsidRPr="00FE4090" w:rsidR="00535039" w:rsidP="00FE4090" w:rsidRDefault="00535039" w14:paraId="47A67DF0" w14:textId="5A64C32C">
      <w:pPr>
        <w:pStyle w:val="BodyText"/>
        <w:jc w:val="both"/>
      </w:pPr>
      <w:r w:rsidRPr="00535039">
        <w:rPr>
          <w:b/>
          <w:bCs/>
        </w:rPr>
        <w:t xml:space="preserve">Design Justification: </w:t>
      </w:r>
      <w:r w:rsidR="00FE4090">
        <w:t xml:space="preserve">The daily cap limit assists in cost management of log analytics workspace. The 100GB will be the initial cap set as the current daily ingestion at the time of writing is approximately 10GB, and at 100GB the first discount tier can be set. Over time the ingestion is expected to increase as more applications are brought online, so the new pricing tier should be set once an average of 100GB per day is </w:t>
      </w:r>
      <w:commentRangeStart w:id="34"/>
      <w:r w:rsidR="00FE4090">
        <w:t>reached</w:t>
      </w:r>
      <w:commentRangeEnd w:id="34"/>
      <w:r w:rsidR="0072045D">
        <w:rPr>
          <w:rStyle w:val="CommentReference"/>
        </w:rPr>
        <w:commentReference w:id="34"/>
      </w:r>
      <w:r w:rsidR="00FE4090">
        <w:t xml:space="preserve">. </w:t>
      </w:r>
    </w:p>
    <w:p w:rsidR="00A63014" w:rsidP="00A63014" w:rsidRDefault="00A63014" w14:paraId="436BCF4C" w14:textId="1E2D2ECF">
      <w:pPr>
        <w:pStyle w:val="Heading1"/>
        <w:jc w:val="both"/>
        <w:rPr>
          <w:rFonts w:cs="Arial"/>
        </w:rPr>
      </w:pPr>
      <w:bookmarkStart w:name="_Toc157090459" w:id="35"/>
      <w:r>
        <w:rPr>
          <w:rFonts w:cs="Arial"/>
        </w:rPr>
        <w:t>Azure Policies</w:t>
      </w:r>
      <w:bookmarkEnd w:id="35"/>
    </w:p>
    <w:p w:rsidRPr="008724B9" w:rsidR="007A301B" w:rsidP="007A301B" w:rsidRDefault="007A301B" w14:paraId="735C554D" w14:textId="7B4BF057">
      <w:pPr>
        <w:pStyle w:val="BodyText"/>
        <w:jc w:val="both"/>
      </w:pPr>
      <w:r w:rsidRPr="008724B9">
        <w:t>Th</w:t>
      </w:r>
      <w:r w:rsidRPr="008724B9" w:rsidR="00770E64">
        <w:t>ough this policy does not specifically apply to the Log Analytics Workspace, it sets diagnostic settings for all resources in that region through Azure Policy so that they do not need to be coded or applied at deployment each time.</w:t>
      </w:r>
    </w:p>
    <w:tbl>
      <w:tblPr>
        <w:tblStyle w:val="AVTable1"/>
        <w:tblW w:w="0" w:type="auto"/>
        <w:tblLook w:val="04A0" w:firstRow="1" w:lastRow="0" w:firstColumn="1" w:lastColumn="0" w:noHBand="0" w:noVBand="1"/>
      </w:tblPr>
      <w:tblGrid>
        <w:gridCol w:w="4253"/>
        <w:gridCol w:w="4678"/>
      </w:tblGrid>
      <w:tr w:rsidRPr="008724B9" w:rsidR="00AD6D3F" w:rsidTr="00AD6D3F" w14:paraId="2CFFD0C3" w14:textId="5442A994">
        <w:trPr>
          <w:cnfStyle w:val="100000000000" w:firstRow="1" w:lastRow="0" w:firstColumn="0" w:lastColumn="0" w:oddVBand="0" w:evenVBand="0" w:oddHBand="0" w:evenHBand="0" w:firstRowFirstColumn="0" w:firstRowLastColumn="0" w:lastRowFirstColumn="0" w:lastRowLastColumn="0"/>
        </w:trPr>
        <w:tc>
          <w:tcPr>
            <w:tcW w:w="4253" w:type="dxa"/>
          </w:tcPr>
          <w:p w:rsidRPr="008724B9" w:rsidR="00AD6D3F" w:rsidP="004D279A" w:rsidRDefault="00AD6D3F" w14:paraId="3841627C" w14:textId="77777777">
            <w:pPr>
              <w:pStyle w:val="BodyText"/>
              <w:rPr>
                <w:color w:val="FFFFFF" w:themeColor="background1"/>
              </w:rPr>
            </w:pPr>
            <w:r w:rsidRPr="008724B9">
              <w:rPr>
                <w:color w:val="FFFFFF" w:themeColor="background1"/>
              </w:rPr>
              <w:t>Policy Name</w:t>
            </w:r>
          </w:p>
        </w:tc>
        <w:tc>
          <w:tcPr>
            <w:tcW w:w="4678" w:type="dxa"/>
          </w:tcPr>
          <w:p w:rsidRPr="008724B9" w:rsidR="00AD6D3F" w:rsidP="004D279A" w:rsidRDefault="00AD6D3F" w14:paraId="3F6BFE19" w14:textId="77777777">
            <w:pPr>
              <w:pStyle w:val="BodyText"/>
              <w:rPr>
                <w:color w:val="FFFFFF" w:themeColor="background1"/>
              </w:rPr>
            </w:pPr>
            <w:r w:rsidRPr="008724B9">
              <w:rPr>
                <w:color w:val="FFFFFF" w:themeColor="background1"/>
              </w:rPr>
              <w:t>Scope</w:t>
            </w:r>
          </w:p>
        </w:tc>
      </w:tr>
      <w:tr w:rsidRPr="008724B9" w:rsidR="00AD6D3F" w:rsidTr="00AD6D3F" w14:paraId="7A81BFE2" w14:textId="42C47E05">
        <w:tc>
          <w:tcPr>
            <w:tcW w:w="4253" w:type="dxa"/>
          </w:tcPr>
          <w:p w:rsidRPr="008724B9" w:rsidR="00AD6D3F" w:rsidP="004D279A" w:rsidRDefault="00AD6D3F" w14:paraId="6CF88DD9" w14:textId="6342D47D">
            <w:pPr>
              <w:pStyle w:val="BodyText"/>
            </w:pPr>
            <w:r w:rsidRPr="008724B9">
              <w:t>Deploy-Resource-Diag-Australia-Southeast</w:t>
            </w:r>
          </w:p>
        </w:tc>
        <w:tc>
          <w:tcPr>
            <w:tcW w:w="4678" w:type="dxa"/>
          </w:tcPr>
          <w:p w:rsidRPr="008724B9" w:rsidR="00AD6D3F" w:rsidP="004D279A" w:rsidRDefault="00AD6D3F" w14:paraId="1666A2D7" w14:textId="77777777">
            <w:pPr>
              <w:pStyle w:val="BodyText"/>
              <w:keepNext/>
            </w:pPr>
            <w:r w:rsidRPr="008724B9">
              <w:t>av management group (under Root)</w:t>
            </w:r>
          </w:p>
        </w:tc>
      </w:tr>
      <w:tr w:rsidRPr="00770E64" w:rsidR="00AD6D3F" w:rsidTr="00AD6D3F" w14:paraId="1F27C839" w14:textId="404778BD">
        <w:tc>
          <w:tcPr>
            <w:tcW w:w="4253" w:type="dxa"/>
          </w:tcPr>
          <w:p w:rsidRPr="008724B9" w:rsidR="00AD6D3F" w:rsidP="004D279A" w:rsidRDefault="00AD6D3F" w14:paraId="0C259A31" w14:textId="658C445B">
            <w:pPr>
              <w:pStyle w:val="BodyText"/>
            </w:pPr>
            <w:r w:rsidRPr="008724B9">
              <w:t>Deploy-Resource-Diag-Australia-East</w:t>
            </w:r>
          </w:p>
        </w:tc>
        <w:tc>
          <w:tcPr>
            <w:tcW w:w="4678" w:type="dxa"/>
          </w:tcPr>
          <w:p w:rsidRPr="008724B9" w:rsidR="00AD6D3F" w:rsidP="004D279A" w:rsidRDefault="00AD6D3F" w14:paraId="19990A2B" w14:textId="0BB60098">
            <w:pPr>
              <w:pStyle w:val="BodyText"/>
              <w:keepNext/>
            </w:pPr>
            <w:r w:rsidRPr="008724B9">
              <w:t>av management group (under Root)</w:t>
            </w:r>
          </w:p>
        </w:tc>
      </w:tr>
    </w:tbl>
    <w:p w:rsidR="007A301B" w:rsidP="007A301B" w:rsidRDefault="007A301B" w14:paraId="5EAB40A1" w14:textId="3CD7144F">
      <w:pPr>
        <w:pStyle w:val="Caption"/>
        <w:jc w:val="center"/>
      </w:pPr>
      <w:bookmarkStart w:name="_Configuration_Templates" w:id="36"/>
      <w:bookmarkEnd w:id="36"/>
      <w:r w:rsidRPr="008724B9">
        <w:t xml:space="preserve">Table </w:t>
      </w:r>
      <w:r>
        <w:fldChar w:fldCharType="begin"/>
      </w:r>
      <w:r>
        <w:instrText> SEQ Table \* ARABIC </w:instrText>
      </w:r>
      <w:r>
        <w:fldChar w:fldCharType="separate"/>
      </w:r>
      <w:r w:rsidRPr="008724B9" w:rsidR="000141AB">
        <w:rPr>
          <w:noProof/>
        </w:rPr>
        <w:t>6</w:t>
      </w:r>
      <w:r>
        <w:fldChar w:fldCharType="end"/>
      </w:r>
      <w:r w:rsidRPr="008724B9">
        <w:t>: Azure Policies</w:t>
      </w:r>
    </w:p>
    <w:p w:rsidR="00116140" w:rsidP="007D289F" w:rsidRDefault="00A27C0C" w14:paraId="6B56BF9A" w14:textId="01C51A5A">
      <w:pPr>
        <w:pStyle w:val="BodyText"/>
        <w:tabs>
          <w:tab w:val="clear" w:pos="4536"/>
          <w:tab w:val="clear" w:pos="6804"/>
          <w:tab w:val="clear" w:pos="9638"/>
          <w:tab w:val="left" w:pos="3065"/>
        </w:tabs>
        <w:jc w:val="both"/>
      </w:pPr>
      <w:r>
        <w:t xml:space="preserve">Note that for any resources not listed, thought the IaC templates will have the capability to deploy them, it is also best to add that resource into the policies above so that this can be done by Policy and reduce the dependency on having this defined in IaC templates. </w:t>
      </w:r>
      <w:r w:rsidR="004D279A">
        <w:t xml:space="preserve">The following resources are included in the above </w:t>
      </w:r>
      <w:r w:rsidR="00AD6D3F">
        <w:t>policies:</w:t>
      </w:r>
    </w:p>
    <w:p w:rsidR="00AD6D3F" w:rsidP="007D289F" w:rsidRDefault="00AD6D3F" w14:paraId="21A22694" w14:textId="77777777">
      <w:pPr>
        <w:pStyle w:val="BodyText"/>
        <w:tabs>
          <w:tab w:val="clear" w:pos="4536"/>
          <w:tab w:val="clear" w:pos="6804"/>
          <w:tab w:val="clear" w:pos="9638"/>
          <w:tab w:val="left" w:pos="3065"/>
        </w:tabs>
        <w:jc w:val="both"/>
      </w:pPr>
    </w:p>
    <w:p w:rsidR="00AD6D3F" w:rsidP="00AD6D3F" w:rsidRDefault="00AD6D3F" w14:paraId="3F13826B" w14:textId="77777777">
      <w:pPr>
        <w:pStyle w:val="BodyText"/>
        <w:numPr>
          <w:ilvl w:val="0"/>
          <w:numId w:val="36"/>
        </w:numPr>
        <w:tabs>
          <w:tab w:val="left" w:pos="3065"/>
        </w:tabs>
        <w:jc w:val="both"/>
      </w:pPr>
      <w:r>
        <w:t>NSG</w:t>
      </w:r>
    </w:p>
    <w:p w:rsidR="00AD6D3F" w:rsidP="00AD6D3F" w:rsidRDefault="00AD6D3F" w14:paraId="6A7F1D28" w14:textId="77777777">
      <w:pPr>
        <w:pStyle w:val="BodyText"/>
        <w:numPr>
          <w:ilvl w:val="0"/>
          <w:numId w:val="36"/>
        </w:numPr>
        <w:tabs>
          <w:tab w:val="left" w:pos="3065"/>
        </w:tabs>
        <w:jc w:val="both"/>
      </w:pPr>
      <w:r>
        <w:t>Public IP</w:t>
      </w:r>
    </w:p>
    <w:p w:rsidR="00AD6D3F" w:rsidP="00AD6D3F" w:rsidRDefault="00AD6D3F" w14:paraId="298E8304" w14:textId="77777777">
      <w:pPr>
        <w:pStyle w:val="BodyText"/>
        <w:numPr>
          <w:ilvl w:val="0"/>
          <w:numId w:val="36"/>
        </w:numPr>
        <w:tabs>
          <w:tab w:val="left" w:pos="3065"/>
        </w:tabs>
        <w:jc w:val="both"/>
      </w:pPr>
      <w:r>
        <w:t>Application Gateway</w:t>
      </w:r>
    </w:p>
    <w:p w:rsidR="00AD6D3F" w:rsidP="00AD6D3F" w:rsidRDefault="00AD6D3F" w14:paraId="5B44F11D" w14:textId="77777777">
      <w:pPr>
        <w:pStyle w:val="BodyText"/>
        <w:numPr>
          <w:ilvl w:val="0"/>
          <w:numId w:val="36"/>
        </w:numPr>
        <w:tabs>
          <w:tab w:val="left" w:pos="3065"/>
        </w:tabs>
        <w:jc w:val="both"/>
      </w:pPr>
      <w:r>
        <w:t>Time Series Insights</w:t>
      </w:r>
    </w:p>
    <w:p w:rsidR="00AD6D3F" w:rsidP="00AD6D3F" w:rsidRDefault="00AD6D3F" w14:paraId="7EE2DC5E" w14:textId="77777777">
      <w:pPr>
        <w:pStyle w:val="BodyText"/>
        <w:numPr>
          <w:ilvl w:val="0"/>
          <w:numId w:val="36"/>
        </w:numPr>
        <w:tabs>
          <w:tab w:val="left" w:pos="3065"/>
        </w:tabs>
        <w:jc w:val="both"/>
      </w:pPr>
      <w:r>
        <w:t>Cognitive Services</w:t>
      </w:r>
    </w:p>
    <w:p w:rsidR="00AD6D3F" w:rsidP="00AD6D3F" w:rsidRDefault="00AD6D3F" w14:paraId="602D057F" w14:textId="77777777">
      <w:pPr>
        <w:pStyle w:val="BodyText"/>
        <w:numPr>
          <w:ilvl w:val="0"/>
          <w:numId w:val="36"/>
        </w:numPr>
        <w:tabs>
          <w:tab w:val="left" w:pos="3065"/>
        </w:tabs>
        <w:jc w:val="both"/>
      </w:pPr>
      <w:r>
        <w:t>Data Lake Analytics</w:t>
      </w:r>
    </w:p>
    <w:p w:rsidR="00AD6D3F" w:rsidP="00AD6D3F" w:rsidRDefault="00AD6D3F" w14:paraId="3A38C303" w14:textId="77777777">
      <w:pPr>
        <w:pStyle w:val="BodyText"/>
        <w:numPr>
          <w:ilvl w:val="0"/>
          <w:numId w:val="36"/>
        </w:numPr>
        <w:tabs>
          <w:tab w:val="left" w:pos="3065"/>
        </w:tabs>
        <w:jc w:val="both"/>
      </w:pPr>
      <w:r>
        <w:t>Virtual Machines</w:t>
      </w:r>
    </w:p>
    <w:p w:rsidR="00AD6D3F" w:rsidP="00AD6D3F" w:rsidRDefault="00AD6D3F" w14:paraId="2E9E16D1" w14:textId="77777777">
      <w:pPr>
        <w:pStyle w:val="BodyText"/>
        <w:numPr>
          <w:ilvl w:val="0"/>
          <w:numId w:val="36"/>
        </w:numPr>
        <w:tabs>
          <w:tab w:val="left" w:pos="3065"/>
        </w:tabs>
        <w:jc w:val="both"/>
      </w:pPr>
      <w:r>
        <w:t>Azure Data Explorer Cluster</w:t>
      </w:r>
    </w:p>
    <w:p w:rsidR="00AD6D3F" w:rsidP="00AD6D3F" w:rsidRDefault="00AD6D3F" w14:paraId="01DE29C5" w14:textId="77777777">
      <w:pPr>
        <w:pStyle w:val="BodyText"/>
        <w:numPr>
          <w:ilvl w:val="0"/>
          <w:numId w:val="36"/>
        </w:numPr>
        <w:tabs>
          <w:tab w:val="left" w:pos="3065"/>
        </w:tabs>
        <w:jc w:val="both"/>
      </w:pPr>
      <w:r>
        <w:t>App Service</w:t>
      </w:r>
    </w:p>
    <w:p w:rsidR="00AD6D3F" w:rsidP="00AD6D3F" w:rsidRDefault="00AD6D3F" w14:paraId="42F515E0" w14:textId="77777777">
      <w:pPr>
        <w:pStyle w:val="BodyText"/>
        <w:numPr>
          <w:ilvl w:val="0"/>
          <w:numId w:val="36"/>
        </w:numPr>
        <w:tabs>
          <w:tab w:val="left" w:pos="3065"/>
        </w:tabs>
        <w:jc w:val="both"/>
      </w:pPr>
      <w:r>
        <w:t>Event Grid System Topic</w:t>
      </w:r>
    </w:p>
    <w:p w:rsidR="00AD6D3F" w:rsidP="00AD6D3F" w:rsidRDefault="00AD6D3F" w14:paraId="4F550BC4" w14:textId="77777777">
      <w:pPr>
        <w:pStyle w:val="BodyText"/>
        <w:numPr>
          <w:ilvl w:val="0"/>
          <w:numId w:val="36"/>
        </w:numPr>
        <w:tabs>
          <w:tab w:val="left" w:pos="3065"/>
        </w:tabs>
        <w:jc w:val="both"/>
      </w:pPr>
      <w:r>
        <w:t>Virtual Network</w:t>
      </w:r>
    </w:p>
    <w:p w:rsidR="00AD6D3F" w:rsidP="00AD6D3F" w:rsidRDefault="00AD6D3F" w14:paraId="0CB1436F" w14:textId="77777777">
      <w:pPr>
        <w:pStyle w:val="BodyText"/>
        <w:numPr>
          <w:ilvl w:val="0"/>
          <w:numId w:val="36"/>
        </w:numPr>
        <w:tabs>
          <w:tab w:val="left" w:pos="3065"/>
        </w:tabs>
        <w:jc w:val="both"/>
      </w:pPr>
      <w:r>
        <w:t>Analysis Services</w:t>
      </w:r>
    </w:p>
    <w:p w:rsidR="00AD6D3F" w:rsidP="00AD6D3F" w:rsidRDefault="00AD6D3F" w14:paraId="0774BC04" w14:textId="77777777">
      <w:pPr>
        <w:pStyle w:val="BodyText"/>
        <w:numPr>
          <w:ilvl w:val="0"/>
          <w:numId w:val="36"/>
        </w:numPr>
        <w:tabs>
          <w:tab w:val="left" w:pos="3065"/>
        </w:tabs>
        <w:jc w:val="both"/>
      </w:pPr>
      <w:r>
        <w:t>SQL Elastic Pools</w:t>
      </w:r>
    </w:p>
    <w:p w:rsidR="00AD6D3F" w:rsidP="00AD6D3F" w:rsidRDefault="00AD6D3F" w14:paraId="245D8BE5" w14:textId="77777777">
      <w:pPr>
        <w:pStyle w:val="BodyText"/>
        <w:numPr>
          <w:ilvl w:val="0"/>
          <w:numId w:val="36"/>
        </w:numPr>
        <w:tabs>
          <w:tab w:val="left" w:pos="3065"/>
        </w:tabs>
        <w:jc w:val="both"/>
      </w:pPr>
      <w:r>
        <w:t>Stream Analytics</w:t>
      </w:r>
    </w:p>
    <w:p w:rsidR="00AD6D3F" w:rsidP="00AD6D3F" w:rsidRDefault="00AD6D3F" w14:paraId="33CC8AA3" w14:textId="77777777">
      <w:pPr>
        <w:pStyle w:val="BodyText"/>
        <w:numPr>
          <w:ilvl w:val="0"/>
          <w:numId w:val="36"/>
        </w:numPr>
        <w:tabs>
          <w:tab w:val="left" w:pos="3065"/>
        </w:tabs>
        <w:jc w:val="both"/>
      </w:pPr>
      <w:r>
        <w:t>Power BI Embedded</w:t>
      </w:r>
    </w:p>
    <w:p w:rsidR="00AD6D3F" w:rsidP="00AD6D3F" w:rsidRDefault="00AD6D3F" w14:paraId="48EF5CC4" w14:textId="77777777">
      <w:pPr>
        <w:pStyle w:val="BodyText"/>
        <w:numPr>
          <w:ilvl w:val="0"/>
          <w:numId w:val="36"/>
        </w:numPr>
        <w:tabs>
          <w:tab w:val="left" w:pos="3065"/>
        </w:tabs>
        <w:jc w:val="both"/>
      </w:pPr>
      <w:r>
        <w:t>Event Grid Topic</w:t>
      </w:r>
    </w:p>
    <w:p w:rsidR="00AD6D3F" w:rsidP="00AD6D3F" w:rsidRDefault="00AD6D3F" w14:paraId="21C6A4F8" w14:textId="77777777">
      <w:pPr>
        <w:pStyle w:val="BodyText"/>
        <w:numPr>
          <w:ilvl w:val="0"/>
          <w:numId w:val="36"/>
        </w:numPr>
        <w:tabs>
          <w:tab w:val="left" w:pos="3065"/>
        </w:tabs>
        <w:jc w:val="both"/>
      </w:pPr>
      <w:r>
        <w:t>Traffic Manager</w:t>
      </w:r>
    </w:p>
    <w:p w:rsidR="00AD6D3F" w:rsidP="00AD6D3F" w:rsidRDefault="00AD6D3F" w14:paraId="5CB388CC" w14:textId="77777777">
      <w:pPr>
        <w:pStyle w:val="BodyText"/>
        <w:numPr>
          <w:ilvl w:val="0"/>
          <w:numId w:val="36"/>
        </w:numPr>
        <w:tabs>
          <w:tab w:val="left" w:pos="3065"/>
        </w:tabs>
        <w:jc w:val="both"/>
      </w:pPr>
      <w:r>
        <w:t>Search Services</w:t>
      </w:r>
    </w:p>
    <w:p w:rsidR="00AD6D3F" w:rsidP="00AD6D3F" w:rsidRDefault="00AD6D3F" w14:paraId="6E93D79E" w14:textId="77777777">
      <w:pPr>
        <w:pStyle w:val="BodyText"/>
        <w:numPr>
          <w:ilvl w:val="0"/>
          <w:numId w:val="36"/>
        </w:numPr>
        <w:tabs>
          <w:tab w:val="left" w:pos="3065"/>
        </w:tabs>
        <w:jc w:val="both"/>
      </w:pPr>
      <w:r>
        <w:t>Azure Data Lake Store</w:t>
      </w:r>
    </w:p>
    <w:p w:rsidR="00AD6D3F" w:rsidP="00AD6D3F" w:rsidRDefault="00AD6D3F" w14:paraId="38C3BC9D" w14:textId="77777777">
      <w:pPr>
        <w:pStyle w:val="BodyText"/>
        <w:numPr>
          <w:ilvl w:val="0"/>
          <w:numId w:val="36"/>
        </w:numPr>
        <w:tabs>
          <w:tab w:val="left" w:pos="3065"/>
        </w:tabs>
        <w:jc w:val="both"/>
      </w:pPr>
      <w:r>
        <w:t>Storage Accounts</w:t>
      </w:r>
    </w:p>
    <w:p w:rsidR="00AD6D3F" w:rsidP="00AD6D3F" w:rsidRDefault="00AD6D3F" w14:paraId="4827A262" w14:textId="77777777">
      <w:pPr>
        <w:pStyle w:val="BodyText"/>
        <w:numPr>
          <w:ilvl w:val="0"/>
          <w:numId w:val="36"/>
        </w:numPr>
        <w:tabs>
          <w:tab w:val="left" w:pos="3065"/>
        </w:tabs>
        <w:jc w:val="both"/>
      </w:pPr>
      <w:r>
        <w:t>ExpressRoute</w:t>
      </w:r>
    </w:p>
    <w:p w:rsidR="00AD6D3F" w:rsidP="00AD6D3F" w:rsidRDefault="00AD6D3F" w14:paraId="338D7127" w14:textId="77777777">
      <w:pPr>
        <w:pStyle w:val="BodyText"/>
        <w:numPr>
          <w:ilvl w:val="0"/>
          <w:numId w:val="36"/>
        </w:numPr>
        <w:tabs>
          <w:tab w:val="left" w:pos="3065"/>
        </w:tabs>
        <w:jc w:val="both"/>
      </w:pPr>
      <w:r>
        <w:t>Load Balancer</w:t>
      </w:r>
    </w:p>
    <w:p w:rsidR="00AD6D3F" w:rsidP="00AD6D3F" w:rsidRDefault="00AD6D3F" w14:paraId="543AC00E" w14:textId="77777777">
      <w:pPr>
        <w:pStyle w:val="BodyText"/>
        <w:numPr>
          <w:ilvl w:val="0"/>
          <w:numId w:val="36"/>
        </w:numPr>
        <w:tabs>
          <w:tab w:val="left" w:pos="3065"/>
        </w:tabs>
        <w:jc w:val="both"/>
      </w:pPr>
      <w:r>
        <w:t>CDN Endpoint</w:t>
      </w:r>
    </w:p>
    <w:p w:rsidR="00AD6D3F" w:rsidP="00AD6D3F" w:rsidRDefault="00AD6D3F" w14:paraId="6CE6BF96" w14:textId="77777777">
      <w:pPr>
        <w:pStyle w:val="BodyText"/>
        <w:numPr>
          <w:ilvl w:val="0"/>
          <w:numId w:val="36"/>
        </w:numPr>
        <w:tabs>
          <w:tab w:val="left" w:pos="3065"/>
        </w:tabs>
        <w:jc w:val="both"/>
      </w:pPr>
      <w:r>
        <w:t>Logic Apps</w:t>
      </w:r>
    </w:p>
    <w:p w:rsidR="00AD6D3F" w:rsidP="00AD6D3F" w:rsidRDefault="00AD6D3F" w14:paraId="6B50C9E9" w14:textId="77777777">
      <w:pPr>
        <w:pStyle w:val="BodyText"/>
        <w:numPr>
          <w:ilvl w:val="0"/>
          <w:numId w:val="36"/>
        </w:numPr>
        <w:tabs>
          <w:tab w:val="left" w:pos="3065"/>
        </w:tabs>
        <w:jc w:val="both"/>
      </w:pPr>
      <w:r>
        <w:t>Event Grid Subscriptions</w:t>
      </w:r>
    </w:p>
    <w:p w:rsidR="00AD6D3F" w:rsidP="00AD6D3F" w:rsidRDefault="00AD6D3F" w14:paraId="155EE98E" w14:textId="77777777">
      <w:pPr>
        <w:pStyle w:val="BodyText"/>
        <w:numPr>
          <w:ilvl w:val="0"/>
          <w:numId w:val="36"/>
        </w:numPr>
        <w:tabs>
          <w:tab w:val="left" w:pos="3065"/>
        </w:tabs>
        <w:jc w:val="both"/>
      </w:pPr>
      <w:r>
        <w:t>Network Interfaces</w:t>
      </w:r>
    </w:p>
    <w:p w:rsidR="00AD6D3F" w:rsidP="00AD6D3F" w:rsidRDefault="00AD6D3F" w14:paraId="7532B470" w14:textId="77777777">
      <w:pPr>
        <w:pStyle w:val="BodyText"/>
        <w:numPr>
          <w:ilvl w:val="0"/>
          <w:numId w:val="36"/>
        </w:numPr>
        <w:tabs>
          <w:tab w:val="left" w:pos="3065"/>
        </w:tabs>
        <w:jc w:val="both"/>
      </w:pPr>
      <w:r>
        <w:t>ML Workspaces</w:t>
      </w:r>
    </w:p>
    <w:p w:rsidR="00AD6D3F" w:rsidP="00AD6D3F" w:rsidRDefault="00AD6D3F" w14:paraId="3541344F" w14:textId="77777777">
      <w:pPr>
        <w:pStyle w:val="BodyText"/>
        <w:numPr>
          <w:ilvl w:val="0"/>
          <w:numId w:val="36"/>
        </w:numPr>
        <w:tabs>
          <w:tab w:val="left" w:pos="3065"/>
        </w:tabs>
        <w:jc w:val="both"/>
      </w:pPr>
      <w:r>
        <w:t>Logic Apps</w:t>
      </w:r>
    </w:p>
    <w:p w:rsidR="00AD6D3F" w:rsidP="00AD6D3F" w:rsidRDefault="00AD6D3F" w14:paraId="21808BD9" w14:textId="77777777">
      <w:pPr>
        <w:pStyle w:val="BodyText"/>
        <w:numPr>
          <w:ilvl w:val="0"/>
          <w:numId w:val="36"/>
        </w:numPr>
        <w:tabs>
          <w:tab w:val="left" w:pos="3065"/>
        </w:tabs>
        <w:jc w:val="both"/>
      </w:pPr>
      <w:r>
        <w:t>Data Factory</w:t>
      </w:r>
    </w:p>
    <w:p w:rsidR="00AD6D3F" w:rsidP="00AD6D3F" w:rsidRDefault="00AD6D3F" w14:paraId="5B81D2CE" w14:textId="77777777">
      <w:pPr>
        <w:pStyle w:val="BodyText"/>
        <w:numPr>
          <w:ilvl w:val="0"/>
          <w:numId w:val="36"/>
        </w:numPr>
        <w:tabs>
          <w:tab w:val="left" w:pos="3065"/>
        </w:tabs>
        <w:jc w:val="both"/>
      </w:pPr>
      <w:r>
        <w:t>Azure Function App</w:t>
      </w:r>
    </w:p>
    <w:p w:rsidR="00AD6D3F" w:rsidP="00AD6D3F" w:rsidRDefault="00AD6D3F" w14:paraId="1E8113E9" w14:textId="77777777">
      <w:pPr>
        <w:pStyle w:val="BodyText"/>
        <w:numPr>
          <w:ilvl w:val="0"/>
          <w:numId w:val="36"/>
        </w:numPr>
        <w:tabs>
          <w:tab w:val="left" w:pos="3065"/>
        </w:tabs>
        <w:jc w:val="both"/>
      </w:pPr>
      <w:r>
        <w:t>WVD</w:t>
      </w:r>
    </w:p>
    <w:p w:rsidR="00AD6D3F" w:rsidP="00AD6D3F" w:rsidRDefault="00AD6D3F" w14:paraId="58E59AC6" w14:textId="77777777">
      <w:pPr>
        <w:pStyle w:val="BodyText"/>
        <w:numPr>
          <w:ilvl w:val="0"/>
          <w:numId w:val="36"/>
        </w:numPr>
        <w:tabs>
          <w:tab w:val="left" w:pos="3065"/>
        </w:tabs>
        <w:jc w:val="both"/>
      </w:pPr>
      <w:r>
        <w:t>PostgreSQL</w:t>
      </w:r>
    </w:p>
    <w:p w:rsidR="00AD6D3F" w:rsidP="00AD6D3F" w:rsidRDefault="00AD6D3F" w14:paraId="7B6F828E" w14:textId="77777777">
      <w:pPr>
        <w:pStyle w:val="BodyText"/>
        <w:numPr>
          <w:ilvl w:val="0"/>
          <w:numId w:val="36"/>
        </w:numPr>
        <w:tabs>
          <w:tab w:val="left" w:pos="3065"/>
        </w:tabs>
        <w:jc w:val="both"/>
      </w:pPr>
      <w:r>
        <w:t>Service Bus</w:t>
      </w:r>
    </w:p>
    <w:p w:rsidR="00AD6D3F" w:rsidP="00AD6D3F" w:rsidRDefault="00AD6D3F" w14:paraId="7FF07F9D" w14:textId="77777777">
      <w:pPr>
        <w:pStyle w:val="BodyText"/>
        <w:numPr>
          <w:ilvl w:val="0"/>
          <w:numId w:val="36"/>
        </w:numPr>
        <w:tabs>
          <w:tab w:val="left" w:pos="3065"/>
        </w:tabs>
        <w:jc w:val="both"/>
      </w:pPr>
      <w:r>
        <w:t>App Service Plan</w:t>
      </w:r>
    </w:p>
    <w:p w:rsidR="00AD6D3F" w:rsidP="00AD6D3F" w:rsidRDefault="00AD6D3F" w14:paraId="485C97F4" w14:textId="77777777">
      <w:pPr>
        <w:pStyle w:val="BodyText"/>
        <w:numPr>
          <w:ilvl w:val="0"/>
          <w:numId w:val="36"/>
        </w:numPr>
        <w:tabs>
          <w:tab w:val="left" w:pos="3065"/>
        </w:tabs>
        <w:jc w:val="both"/>
      </w:pPr>
      <w:r>
        <w:t>Automation Accounts</w:t>
      </w:r>
    </w:p>
    <w:p w:rsidR="00AD6D3F" w:rsidP="00AD6D3F" w:rsidRDefault="00AD6D3F" w14:paraId="233E5777" w14:textId="77777777">
      <w:pPr>
        <w:pStyle w:val="BodyText"/>
        <w:numPr>
          <w:ilvl w:val="0"/>
          <w:numId w:val="36"/>
        </w:numPr>
        <w:tabs>
          <w:tab w:val="left" w:pos="3065"/>
        </w:tabs>
        <w:jc w:val="both"/>
      </w:pPr>
      <w:r>
        <w:t>Databricks</w:t>
      </w:r>
    </w:p>
    <w:p w:rsidR="00AD6D3F" w:rsidP="00AD6D3F" w:rsidRDefault="00AD6D3F" w14:paraId="29AE3252" w14:textId="77777777">
      <w:pPr>
        <w:pStyle w:val="BodyText"/>
        <w:numPr>
          <w:ilvl w:val="0"/>
          <w:numId w:val="36"/>
        </w:numPr>
        <w:tabs>
          <w:tab w:val="left" w:pos="3065"/>
        </w:tabs>
        <w:jc w:val="both"/>
      </w:pPr>
      <w:r>
        <w:t>Redis Cache</w:t>
      </w:r>
    </w:p>
    <w:p w:rsidR="00AD6D3F" w:rsidP="00AD6D3F" w:rsidRDefault="00AD6D3F" w14:paraId="1ACD2F36" w14:textId="77777777">
      <w:pPr>
        <w:pStyle w:val="BodyText"/>
        <w:numPr>
          <w:ilvl w:val="0"/>
          <w:numId w:val="36"/>
        </w:numPr>
        <w:tabs>
          <w:tab w:val="left" w:pos="3065"/>
        </w:tabs>
        <w:jc w:val="both"/>
      </w:pPr>
      <w:r>
        <w:t>Azure Media Service</w:t>
      </w:r>
    </w:p>
    <w:p w:rsidR="00AD6D3F" w:rsidP="00AD6D3F" w:rsidRDefault="00AD6D3F" w14:paraId="4C98DFAA" w14:textId="77777777">
      <w:pPr>
        <w:pStyle w:val="BodyText"/>
        <w:numPr>
          <w:ilvl w:val="0"/>
          <w:numId w:val="36"/>
        </w:numPr>
        <w:tabs>
          <w:tab w:val="left" w:pos="3065"/>
        </w:tabs>
        <w:jc w:val="both"/>
      </w:pPr>
      <w:r>
        <w:t>Front Door</w:t>
      </w:r>
    </w:p>
    <w:p w:rsidR="00AD6D3F" w:rsidP="00AD6D3F" w:rsidRDefault="00AD6D3F" w14:paraId="1FC96DAD" w14:textId="77777777">
      <w:pPr>
        <w:pStyle w:val="BodyText"/>
        <w:numPr>
          <w:ilvl w:val="0"/>
          <w:numId w:val="36"/>
        </w:numPr>
        <w:tabs>
          <w:tab w:val="left" w:pos="3065"/>
        </w:tabs>
        <w:jc w:val="both"/>
      </w:pPr>
      <w:r>
        <w:t>HD Insight</w:t>
      </w:r>
    </w:p>
    <w:p w:rsidR="00AD6D3F" w:rsidP="00AD6D3F" w:rsidRDefault="00AD6D3F" w14:paraId="0D81556D" w14:textId="77777777">
      <w:pPr>
        <w:pStyle w:val="BodyText"/>
        <w:numPr>
          <w:ilvl w:val="0"/>
          <w:numId w:val="36"/>
        </w:numPr>
        <w:tabs>
          <w:tab w:val="left" w:pos="3065"/>
        </w:tabs>
        <w:jc w:val="both"/>
      </w:pPr>
      <w:r>
        <w:t>Key Vault</w:t>
      </w:r>
    </w:p>
    <w:p w:rsidR="00AD6D3F" w:rsidP="00AD6D3F" w:rsidRDefault="00AD6D3F" w14:paraId="35B6E654" w14:textId="77777777">
      <w:pPr>
        <w:pStyle w:val="BodyText"/>
        <w:numPr>
          <w:ilvl w:val="0"/>
          <w:numId w:val="36"/>
        </w:numPr>
        <w:tabs>
          <w:tab w:val="left" w:pos="3065"/>
        </w:tabs>
        <w:jc w:val="both"/>
      </w:pPr>
      <w:r>
        <w:t>Firewall</w:t>
      </w:r>
    </w:p>
    <w:p w:rsidR="00AD6D3F" w:rsidP="00AD6D3F" w:rsidRDefault="00AD6D3F" w14:paraId="44AEF30A" w14:textId="77777777">
      <w:pPr>
        <w:pStyle w:val="BodyText"/>
        <w:numPr>
          <w:ilvl w:val="0"/>
          <w:numId w:val="36"/>
        </w:numPr>
        <w:tabs>
          <w:tab w:val="left" w:pos="3065"/>
        </w:tabs>
        <w:jc w:val="both"/>
      </w:pPr>
      <w:r>
        <w:t>Event Hubs</w:t>
      </w:r>
    </w:p>
    <w:p w:rsidR="00AD6D3F" w:rsidP="00AD6D3F" w:rsidRDefault="00AD6D3F" w14:paraId="06AEAE43" w14:textId="77777777">
      <w:pPr>
        <w:pStyle w:val="BodyText"/>
        <w:numPr>
          <w:ilvl w:val="0"/>
          <w:numId w:val="36"/>
        </w:numPr>
        <w:tabs>
          <w:tab w:val="left" w:pos="3065"/>
        </w:tabs>
        <w:jc w:val="both"/>
      </w:pPr>
      <w:r>
        <w:t>Azure API for FHIR</w:t>
      </w:r>
    </w:p>
    <w:p w:rsidR="00AD6D3F" w:rsidP="00AD6D3F" w:rsidRDefault="00AD6D3F" w14:paraId="765FFBD4" w14:textId="77777777">
      <w:pPr>
        <w:pStyle w:val="BodyText"/>
        <w:numPr>
          <w:ilvl w:val="0"/>
          <w:numId w:val="36"/>
        </w:numPr>
        <w:tabs>
          <w:tab w:val="left" w:pos="3065"/>
        </w:tabs>
        <w:jc w:val="both"/>
      </w:pPr>
      <w:r>
        <w:t>APIM</w:t>
      </w:r>
    </w:p>
    <w:p w:rsidR="00AD6D3F" w:rsidP="00AD6D3F" w:rsidRDefault="00AD6D3F" w14:paraId="5B4CFCC2" w14:textId="77777777">
      <w:pPr>
        <w:pStyle w:val="BodyText"/>
        <w:numPr>
          <w:ilvl w:val="0"/>
          <w:numId w:val="36"/>
        </w:numPr>
        <w:tabs>
          <w:tab w:val="left" w:pos="3065"/>
        </w:tabs>
        <w:jc w:val="both"/>
      </w:pPr>
      <w:r>
        <w:t>MariaDB</w:t>
      </w:r>
    </w:p>
    <w:p w:rsidR="00AD6D3F" w:rsidP="00AD6D3F" w:rsidRDefault="00AD6D3F" w14:paraId="33898B59" w14:textId="77777777">
      <w:pPr>
        <w:pStyle w:val="BodyText"/>
        <w:numPr>
          <w:ilvl w:val="0"/>
          <w:numId w:val="36"/>
        </w:numPr>
        <w:tabs>
          <w:tab w:val="left" w:pos="3065"/>
        </w:tabs>
        <w:jc w:val="both"/>
      </w:pPr>
      <w:r>
        <w:t>SignalR</w:t>
      </w:r>
    </w:p>
    <w:p w:rsidR="00AD6D3F" w:rsidP="00AD6D3F" w:rsidRDefault="00AD6D3F" w14:paraId="3EB3AC40" w14:textId="77777777">
      <w:pPr>
        <w:pStyle w:val="BodyText"/>
        <w:numPr>
          <w:ilvl w:val="0"/>
          <w:numId w:val="36"/>
        </w:numPr>
        <w:tabs>
          <w:tab w:val="left" w:pos="3065"/>
        </w:tabs>
        <w:jc w:val="both"/>
      </w:pPr>
      <w:r>
        <w:t>Cosmos DB</w:t>
      </w:r>
    </w:p>
    <w:p w:rsidR="00AD6D3F" w:rsidP="00AD6D3F" w:rsidRDefault="00AD6D3F" w14:paraId="0DE3E1B4" w14:textId="77777777">
      <w:pPr>
        <w:pStyle w:val="BodyText"/>
        <w:numPr>
          <w:ilvl w:val="0"/>
          <w:numId w:val="36"/>
        </w:numPr>
        <w:tabs>
          <w:tab w:val="left" w:pos="3065"/>
        </w:tabs>
        <w:jc w:val="both"/>
      </w:pPr>
      <w:r>
        <w:t>VPN Gateway</w:t>
      </w:r>
    </w:p>
    <w:p w:rsidR="00AD6D3F" w:rsidP="00AD6D3F" w:rsidRDefault="00AD6D3F" w14:paraId="7A5670AE" w14:textId="77777777">
      <w:pPr>
        <w:pStyle w:val="BodyText"/>
        <w:numPr>
          <w:ilvl w:val="0"/>
          <w:numId w:val="36"/>
        </w:numPr>
        <w:tabs>
          <w:tab w:val="left" w:pos="3065"/>
        </w:tabs>
        <w:jc w:val="both"/>
      </w:pPr>
      <w:r>
        <w:t>SQL DB</w:t>
      </w:r>
    </w:p>
    <w:p w:rsidR="00AD6D3F" w:rsidP="00AD6D3F" w:rsidRDefault="00AD6D3F" w14:paraId="612DCF8D" w14:textId="77777777">
      <w:pPr>
        <w:pStyle w:val="BodyText"/>
        <w:numPr>
          <w:ilvl w:val="0"/>
          <w:numId w:val="36"/>
        </w:numPr>
        <w:tabs>
          <w:tab w:val="left" w:pos="3065"/>
        </w:tabs>
        <w:jc w:val="both"/>
      </w:pPr>
      <w:r>
        <w:t>IOT</w:t>
      </w:r>
    </w:p>
    <w:p w:rsidR="00AD6D3F" w:rsidP="00AD6D3F" w:rsidRDefault="00AD6D3F" w14:paraId="3580364E" w14:textId="77777777">
      <w:pPr>
        <w:pStyle w:val="BodyText"/>
        <w:numPr>
          <w:ilvl w:val="0"/>
          <w:numId w:val="36"/>
        </w:numPr>
        <w:tabs>
          <w:tab w:val="left" w:pos="3065"/>
        </w:tabs>
        <w:jc w:val="both"/>
      </w:pPr>
      <w:r>
        <w:t>MySQL DB</w:t>
      </w:r>
    </w:p>
    <w:p w:rsidR="00AD6D3F" w:rsidP="00AD6D3F" w:rsidRDefault="00AD6D3F" w14:paraId="12B01F43" w14:textId="77777777">
      <w:pPr>
        <w:pStyle w:val="BodyText"/>
        <w:numPr>
          <w:ilvl w:val="0"/>
          <w:numId w:val="36"/>
        </w:numPr>
        <w:tabs>
          <w:tab w:val="left" w:pos="3065"/>
        </w:tabs>
        <w:jc w:val="both"/>
      </w:pPr>
      <w:r>
        <w:t>Virtual Machines Scale Sets</w:t>
      </w:r>
    </w:p>
    <w:p w:rsidR="00AD6D3F" w:rsidP="00AD6D3F" w:rsidRDefault="00AD6D3F" w14:paraId="09AC076A" w14:textId="77777777">
      <w:pPr>
        <w:pStyle w:val="BodyText"/>
        <w:numPr>
          <w:ilvl w:val="0"/>
          <w:numId w:val="36"/>
        </w:numPr>
        <w:tabs>
          <w:tab w:val="left" w:pos="3065"/>
        </w:tabs>
        <w:jc w:val="both"/>
      </w:pPr>
      <w:r>
        <w:t>SQL Managed Instances</w:t>
      </w:r>
    </w:p>
    <w:p w:rsidR="00AD6D3F" w:rsidP="00AD6D3F" w:rsidRDefault="00AD6D3F" w14:paraId="27A51838" w14:textId="77777777">
      <w:pPr>
        <w:pStyle w:val="BodyText"/>
        <w:numPr>
          <w:ilvl w:val="0"/>
          <w:numId w:val="36"/>
        </w:numPr>
        <w:tabs>
          <w:tab w:val="left" w:pos="3065"/>
        </w:tabs>
        <w:jc w:val="both"/>
      </w:pPr>
      <w:r>
        <w:t>Container Registry</w:t>
      </w:r>
    </w:p>
    <w:p w:rsidR="00AD6D3F" w:rsidP="00AD6D3F" w:rsidRDefault="00AD6D3F" w14:paraId="039EE45B" w14:textId="77777777">
      <w:pPr>
        <w:pStyle w:val="BodyText"/>
        <w:numPr>
          <w:ilvl w:val="0"/>
          <w:numId w:val="36"/>
        </w:numPr>
        <w:tabs>
          <w:tab w:val="left" w:pos="3065"/>
        </w:tabs>
        <w:jc w:val="both"/>
      </w:pPr>
      <w:r>
        <w:t>Kubernetes</w:t>
      </w:r>
    </w:p>
    <w:p w:rsidR="00116140" w:rsidP="00AD6D3F" w:rsidRDefault="00AD6D3F" w14:paraId="21C1071C" w14:textId="01AB1988">
      <w:pPr>
        <w:pStyle w:val="BodyText"/>
        <w:numPr>
          <w:ilvl w:val="0"/>
          <w:numId w:val="36"/>
        </w:numPr>
        <w:tabs>
          <w:tab w:val="clear" w:pos="4536"/>
          <w:tab w:val="clear" w:pos="6804"/>
          <w:tab w:val="clear" w:pos="9638"/>
          <w:tab w:val="left" w:pos="3065"/>
        </w:tabs>
        <w:jc w:val="both"/>
      </w:pPr>
      <w:r>
        <w:t>Container Instances</w:t>
      </w:r>
    </w:p>
    <w:p w:rsidR="007A301B" w:rsidP="007D289F" w:rsidRDefault="007A301B" w14:paraId="6E912C2C" w14:textId="77777777">
      <w:pPr>
        <w:pStyle w:val="BodyText"/>
        <w:tabs>
          <w:tab w:val="clear" w:pos="4536"/>
          <w:tab w:val="clear" w:pos="6804"/>
          <w:tab w:val="clear" w:pos="9638"/>
          <w:tab w:val="left" w:pos="3065"/>
        </w:tabs>
        <w:jc w:val="both"/>
      </w:pPr>
    </w:p>
    <w:p w:rsidR="00AD6D3F" w:rsidP="007D289F" w:rsidRDefault="00AD6D3F" w14:paraId="0D220DCB" w14:textId="77777777">
      <w:pPr>
        <w:pStyle w:val="BodyText"/>
        <w:tabs>
          <w:tab w:val="clear" w:pos="4536"/>
          <w:tab w:val="clear" w:pos="6804"/>
          <w:tab w:val="clear" w:pos="9638"/>
          <w:tab w:val="left" w:pos="3065"/>
        </w:tabs>
        <w:jc w:val="both"/>
      </w:pPr>
    </w:p>
    <w:p w:rsidR="00AD6D3F" w:rsidP="007D289F" w:rsidRDefault="00AD6D3F" w14:paraId="41436729" w14:textId="77777777">
      <w:pPr>
        <w:pStyle w:val="BodyText"/>
        <w:tabs>
          <w:tab w:val="clear" w:pos="4536"/>
          <w:tab w:val="clear" w:pos="6804"/>
          <w:tab w:val="clear" w:pos="9638"/>
          <w:tab w:val="left" w:pos="3065"/>
        </w:tabs>
        <w:jc w:val="both"/>
      </w:pPr>
    </w:p>
    <w:p w:rsidR="00AD6D3F" w:rsidP="007D289F" w:rsidRDefault="00AD6D3F" w14:paraId="26BBEEF2" w14:textId="77777777">
      <w:pPr>
        <w:pStyle w:val="BodyText"/>
        <w:tabs>
          <w:tab w:val="clear" w:pos="4536"/>
          <w:tab w:val="clear" w:pos="6804"/>
          <w:tab w:val="clear" w:pos="9638"/>
          <w:tab w:val="left" w:pos="3065"/>
        </w:tabs>
        <w:jc w:val="both"/>
      </w:pPr>
    </w:p>
    <w:p w:rsidR="00AD6D3F" w:rsidP="007D289F" w:rsidRDefault="00AD6D3F" w14:paraId="14CFF387" w14:textId="77777777">
      <w:pPr>
        <w:pStyle w:val="BodyText"/>
        <w:tabs>
          <w:tab w:val="clear" w:pos="4536"/>
          <w:tab w:val="clear" w:pos="6804"/>
          <w:tab w:val="clear" w:pos="9638"/>
          <w:tab w:val="left" w:pos="3065"/>
        </w:tabs>
        <w:jc w:val="both"/>
      </w:pPr>
    </w:p>
    <w:p w:rsidR="00AD6D3F" w:rsidP="007D289F" w:rsidRDefault="00AD6D3F" w14:paraId="05D09BB6" w14:textId="77777777">
      <w:pPr>
        <w:pStyle w:val="BodyText"/>
        <w:tabs>
          <w:tab w:val="clear" w:pos="4536"/>
          <w:tab w:val="clear" w:pos="6804"/>
          <w:tab w:val="clear" w:pos="9638"/>
          <w:tab w:val="left" w:pos="3065"/>
        </w:tabs>
        <w:jc w:val="both"/>
      </w:pPr>
    </w:p>
    <w:p w:rsidR="00116140" w:rsidP="00116140" w:rsidRDefault="00116140" w14:paraId="03D253C5" w14:textId="77777777">
      <w:pPr>
        <w:pStyle w:val="Heading1"/>
        <w:jc w:val="both"/>
        <w:rPr>
          <w:rFonts w:cs="Arial"/>
        </w:rPr>
      </w:pPr>
      <w:bookmarkStart w:name="_Toc157090460" w:id="37"/>
      <w:r>
        <w:rPr>
          <w:rFonts w:cs="Arial"/>
        </w:rPr>
        <w:t>Configuration Templates</w:t>
      </w:r>
      <w:bookmarkEnd w:id="37"/>
    </w:p>
    <w:p w:rsidRPr="00A2213C" w:rsidR="00A2213C" w:rsidP="00A2213C" w:rsidRDefault="00A2213C" w14:paraId="53C7E9C3" w14:textId="5E88D673">
      <w:pPr>
        <w:pStyle w:val="Heading2"/>
      </w:pPr>
      <w:bookmarkStart w:name="_Toc157090461" w:id="38"/>
      <w:r>
        <w:t>Primary Region Central Log Analytics Workspace</w:t>
      </w:r>
      <w:bookmarkEnd w:id="38"/>
    </w:p>
    <w:tbl>
      <w:tblPr>
        <w:tblStyle w:val="AVTable1"/>
        <w:tblW w:w="0" w:type="auto"/>
        <w:tblLook w:val="04A0" w:firstRow="1" w:lastRow="0" w:firstColumn="1" w:lastColumn="0" w:noHBand="0" w:noVBand="1"/>
      </w:tblPr>
      <w:tblGrid>
        <w:gridCol w:w="4513"/>
        <w:gridCol w:w="4514"/>
      </w:tblGrid>
      <w:tr w:rsidR="00A2213C" w:rsidTr="00A2213C" w14:paraId="28A10C21" w14:textId="77777777">
        <w:trPr>
          <w:cnfStyle w:val="100000000000" w:firstRow="1" w:lastRow="0" w:firstColumn="0" w:lastColumn="0" w:oddVBand="0" w:evenVBand="0" w:oddHBand="0" w:evenHBand="0" w:firstRowFirstColumn="0" w:firstRowLastColumn="0" w:lastRowFirstColumn="0" w:lastRowLastColumn="0"/>
        </w:trPr>
        <w:tc>
          <w:tcPr>
            <w:tcW w:w="4513" w:type="dxa"/>
          </w:tcPr>
          <w:p w:rsidRPr="00FE5304" w:rsidR="00A2213C" w:rsidP="00272BD6" w:rsidRDefault="00A2213C" w14:paraId="4CAE620B" w14:textId="5F251E00">
            <w:pPr>
              <w:pStyle w:val="BodyText"/>
              <w:rPr>
                <w:color w:val="FFFFFF" w:themeColor="background1"/>
              </w:rPr>
            </w:pPr>
            <w:r w:rsidRPr="00FE5304">
              <w:rPr>
                <w:color w:val="FFFFFF" w:themeColor="background1"/>
              </w:rPr>
              <w:t>Configuration Item</w:t>
            </w:r>
          </w:p>
        </w:tc>
        <w:tc>
          <w:tcPr>
            <w:tcW w:w="4514" w:type="dxa"/>
          </w:tcPr>
          <w:p w:rsidRPr="00FE5304" w:rsidR="00A2213C" w:rsidP="00272BD6" w:rsidRDefault="00A2213C" w14:paraId="58F420F4" w14:textId="6085E7DC">
            <w:pPr>
              <w:pStyle w:val="BodyText"/>
              <w:rPr>
                <w:color w:val="FFFFFF" w:themeColor="background1"/>
              </w:rPr>
            </w:pPr>
            <w:r w:rsidRPr="00FE5304">
              <w:rPr>
                <w:color w:val="FFFFFF" w:themeColor="background1"/>
              </w:rPr>
              <w:t>Configuration Value</w:t>
            </w:r>
          </w:p>
        </w:tc>
      </w:tr>
      <w:tr w:rsidR="00A2213C" w:rsidTr="00A2213C" w14:paraId="21726C77" w14:textId="77777777">
        <w:tc>
          <w:tcPr>
            <w:tcW w:w="4513" w:type="dxa"/>
          </w:tcPr>
          <w:p w:rsidRPr="00FE5304" w:rsidR="00A2213C" w:rsidP="00272BD6" w:rsidRDefault="00A2213C" w14:paraId="455B1F83" w14:textId="5F92F41C">
            <w:pPr>
              <w:pStyle w:val="BodyText"/>
            </w:pPr>
            <w:r w:rsidRPr="00FE5304">
              <w:t>Name</w:t>
            </w:r>
          </w:p>
        </w:tc>
        <w:tc>
          <w:tcPr>
            <w:tcW w:w="4514" w:type="dxa"/>
          </w:tcPr>
          <w:p w:rsidRPr="00FE5304" w:rsidR="00A2213C" w:rsidP="00272BD6" w:rsidRDefault="00197B50" w14:paraId="53D4B00B" w14:textId="5663A69C">
            <w:pPr>
              <w:pStyle w:val="BodyText"/>
            </w:pPr>
            <w:r w:rsidRPr="00FE5304">
              <w:t>log-prd-ause-mgmt-01</w:t>
            </w:r>
          </w:p>
        </w:tc>
      </w:tr>
      <w:tr w:rsidR="00A2213C" w:rsidTr="00A2213C" w14:paraId="05C081A9" w14:textId="77777777">
        <w:tc>
          <w:tcPr>
            <w:tcW w:w="4513" w:type="dxa"/>
          </w:tcPr>
          <w:p w:rsidRPr="00FE5304" w:rsidR="00A2213C" w:rsidP="00272BD6" w:rsidRDefault="00A2213C" w14:paraId="3DB7DC3C" w14:textId="13D6EEBB">
            <w:pPr>
              <w:pStyle w:val="BodyText"/>
            </w:pPr>
            <w:r w:rsidRPr="00FE5304">
              <w:t>Subscription</w:t>
            </w:r>
          </w:p>
        </w:tc>
        <w:tc>
          <w:tcPr>
            <w:tcW w:w="4514" w:type="dxa"/>
          </w:tcPr>
          <w:p w:rsidRPr="00FE5304" w:rsidR="00A2213C" w:rsidP="00272BD6" w:rsidRDefault="00A2213C" w14:paraId="5188BCD1" w14:textId="42A9B929">
            <w:pPr>
              <w:pStyle w:val="BodyText"/>
            </w:pPr>
            <w:r w:rsidRPr="00FE5304">
              <w:t>AV ALZ Management</w:t>
            </w:r>
          </w:p>
        </w:tc>
      </w:tr>
      <w:tr w:rsidR="00A2213C" w:rsidTr="00A2213C" w14:paraId="6A660D31" w14:textId="77777777">
        <w:tc>
          <w:tcPr>
            <w:tcW w:w="4513" w:type="dxa"/>
          </w:tcPr>
          <w:p w:rsidRPr="00FE5304" w:rsidR="00A2213C" w:rsidP="00272BD6" w:rsidRDefault="00A2213C" w14:paraId="453ADACE" w14:textId="0CE75763">
            <w:pPr>
              <w:pStyle w:val="BodyText"/>
            </w:pPr>
            <w:r w:rsidRPr="00FE5304">
              <w:t>Resource Group</w:t>
            </w:r>
          </w:p>
        </w:tc>
        <w:tc>
          <w:tcPr>
            <w:tcW w:w="4514" w:type="dxa"/>
          </w:tcPr>
          <w:p w:rsidRPr="00FE5304" w:rsidR="00A2213C" w:rsidP="00272BD6" w:rsidRDefault="006266E6" w14:paraId="7DE8E354" w14:textId="78D521F5">
            <w:pPr>
              <w:pStyle w:val="BodyText"/>
            </w:pPr>
            <w:r w:rsidRPr="00FE5304">
              <w:t>rg-prd-ause-management-01</w:t>
            </w:r>
          </w:p>
        </w:tc>
      </w:tr>
      <w:tr w:rsidR="00A2213C" w:rsidTr="00A2213C" w14:paraId="7C750EC5" w14:textId="77777777">
        <w:tc>
          <w:tcPr>
            <w:tcW w:w="4513" w:type="dxa"/>
          </w:tcPr>
          <w:p w:rsidRPr="00FE5304" w:rsidR="00A2213C" w:rsidP="00272BD6" w:rsidRDefault="006266E6" w14:paraId="6814FE6B" w14:textId="48D20D40">
            <w:pPr>
              <w:pStyle w:val="BodyText"/>
            </w:pPr>
            <w:r w:rsidRPr="00FE5304">
              <w:t>Pricing Tier</w:t>
            </w:r>
          </w:p>
        </w:tc>
        <w:tc>
          <w:tcPr>
            <w:tcW w:w="4514" w:type="dxa"/>
          </w:tcPr>
          <w:p w:rsidRPr="00FE5304" w:rsidR="00A2213C" w:rsidP="00272BD6" w:rsidRDefault="006266E6" w14:paraId="0871451D" w14:textId="1F391822">
            <w:pPr>
              <w:pStyle w:val="BodyText"/>
            </w:pPr>
            <w:r w:rsidRPr="00FE5304">
              <w:t>Pay-as-you-go</w:t>
            </w:r>
          </w:p>
        </w:tc>
      </w:tr>
      <w:tr w:rsidR="00550FCA" w:rsidTr="00A2213C" w14:paraId="026C2431" w14:textId="77777777">
        <w:tc>
          <w:tcPr>
            <w:tcW w:w="4513" w:type="dxa"/>
          </w:tcPr>
          <w:p w:rsidRPr="00FE5304" w:rsidR="00550FCA" w:rsidP="00272BD6" w:rsidRDefault="00550FCA" w14:paraId="4F198EBD" w14:textId="0382076F">
            <w:pPr>
              <w:pStyle w:val="BodyText"/>
            </w:pPr>
            <w:r w:rsidRPr="00FE5304">
              <w:t>Data Retention</w:t>
            </w:r>
          </w:p>
        </w:tc>
        <w:tc>
          <w:tcPr>
            <w:tcW w:w="4514" w:type="dxa"/>
          </w:tcPr>
          <w:p w:rsidRPr="00FE5304" w:rsidR="00550FCA" w:rsidP="00272BD6" w:rsidRDefault="00550FCA" w14:paraId="2285CF3D" w14:textId="166435DC">
            <w:pPr>
              <w:pStyle w:val="BodyText"/>
            </w:pPr>
            <w:r w:rsidRPr="00FE5304">
              <w:t xml:space="preserve">90 </w:t>
            </w:r>
            <w:commentRangeStart w:id="39"/>
            <w:r w:rsidRPr="00FE5304">
              <w:t>days</w:t>
            </w:r>
            <w:commentRangeEnd w:id="39"/>
            <w:r w:rsidR="0077111B">
              <w:rPr>
                <w:rStyle w:val="CommentReference"/>
              </w:rPr>
              <w:commentReference w:id="39"/>
            </w:r>
          </w:p>
        </w:tc>
      </w:tr>
      <w:tr w:rsidR="00FE5304" w:rsidTr="00A2213C" w14:paraId="22ED4EBE" w14:textId="77777777">
        <w:tc>
          <w:tcPr>
            <w:tcW w:w="4513" w:type="dxa"/>
          </w:tcPr>
          <w:p w:rsidRPr="00FE5304" w:rsidR="00FE5304" w:rsidP="00272BD6" w:rsidRDefault="00EB6324" w14:paraId="18CD6ACD" w14:textId="4C92EC1E">
            <w:pPr>
              <w:pStyle w:val="BodyText"/>
            </w:pPr>
            <w:r>
              <w:t>Diagnostic Settings to be captured</w:t>
            </w:r>
          </w:p>
        </w:tc>
        <w:tc>
          <w:tcPr>
            <w:tcW w:w="4514" w:type="dxa"/>
          </w:tcPr>
          <w:p w:rsidR="00FE5304" w:rsidP="00272BD6" w:rsidRDefault="00EB6324" w14:paraId="77C25864" w14:textId="77777777">
            <w:pPr>
              <w:pStyle w:val="BodyText"/>
            </w:pPr>
            <w:r>
              <w:t>allLogs</w:t>
            </w:r>
          </w:p>
          <w:p w:rsidRPr="00FE5304" w:rsidR="00EB6324" w:rsidP="00272BD6" w:rsidRDefault="00EB6324" w14:paraId="1B86F18C" w14:textId="1B8232BD">
            <w:pPr>
              <w:pStyle w:val="BodyText"/>
            </w:pPr>
            <w:r>
              <w:t>AllMetrics</w:t>
            </w:r>
          </w:p>
        </w:tc>
      </w:tr>
      <w:tr w:rsidR="00EB6324" w:rsidTr="00A2213C" w14:paraId="58E04C7B" w14:textId="77777777">
        <w:tc>
          <w:tcPr>
            <w:tcW w:w="4513" w:type="dxa"/>
          </w:tcPr>
          <w:p w:rsidR="00EB6324" w:rsidP="00EB6324" w:rsidRDefault="00EB6324" w14:paraId="2DA6A092" w14:textId="4C86346A">
            <w:pPr>
              <w:pStyle w:val="BodyText"/>
            </w:pPr>
            <w:r>
              <w:t>Log Analytics Workspace for logs</w:t>
            </w:r>
          </w:p>
        </w:tc>
        <w:tc>
          <w:tcPr>
            <w:tcW w:w="4514" w:type="dxa"/>
          </w:tcPr>
          <w:p w:rsidR="00EB6324" w:rsidP="00EB6324" w:rsidRDefault="00EB6324" w14:paraId="6C6AD0FC" w14:textId="69C0E4C6">
            <w:pPr>
              <w:pStyle w:val="BodyText"/>
            </w:pPr>
            <w:r w:rsidRPr="00FE5304">
              <w:t>log-prd-ause-mgmt-01</w:t>
            </w:r>
          </w:p>
        </w:tc>
      </w:tr>
    </w:tbl>
    <w:p w:rsidRPr="00A2213C" w:rsidR="00FE5304" w:rsidP="00FE5304" w:rsidRDefault="00DA6DA9" w14:paraId="64A60FDF" w14:textId="6FF86FFC">
      <w:pPr>
        <w:pStyle w:val="Heading2"/>
      </w:pPr>
      <w:r>
        <w:rPr>
          <w:b/>
        </w:rPr>
        <w:tab/>
      </w:r>
      <w:bookmarkStart w:name="_Toc157090462" w:id="40"/>
      <w:r w:rsidRPr="00FE5304" w:rsidR="00FE5304">
        <w:rPr>
          <w:bCs w:val="0"/>
        </w:rPr>
        <w:t>Secondary</w:t>
      </w:r>
      <w:r w:rsidR="00FE5304">
        <w:rPr>
          <w:b/>
        </w:rPr>
        <w:t xml:space="preserve"> </w:t>
      </w:r>
      <w:r w:rsidR="00FE5304">
        <w:t>Region Central Log Analytics Workspace</w:t>
      </w:r>
      <w:bookmarkEnd w:id="40"/>
    </w:p>
    <w:tbl>
      <w:tblPr>
        <w:tblStyle w:val="AVTable1"/>
        <w:tblW w:w="0" w:type="auto"/>
        <w:tblLook w:val="04A0" w:firstRow="1" w:lastRow="0" w:firstColumn="1" w:lastColumn="0" w:noHBand="0" w:noVBand="1"/>
      </w:tblPr>
      <w:tblGrid>
        <w:gridCol w:w="4513"/>
        <w:gridCol w:w="4514"/>
      </w:tblGrid>
      <w:tr w:rsidR="00EB6324" w14:paraId="2F709518" w14:textId="77777777">
        <w:trPr>
          <w:cnfStyle w:val="100000000000" w:firstRow="1" w:lastRow="0" w:firstColumn="0" w:lastColumn="0" w:oddVBand="0" w:evenVBand="0" w:oddHBand="0" w:evenHBand="0" w:firstRowFirstColumn="0" w:firstRowLastColumn="0" w:lastRowFirstColumn="0" w:lastRowLastColumn="0"/>
        </w:trPr>
        <w:tc>
          <w:tcPr>
            <w:tcW w:w="4513" w:type="dxa"/>
          </w:tcPr>
          <w:p w:rsidRPr="00FE5304" w:rsidR="00EB6324" w:rsidRDefault="00EB6324" w14:paraId="6C58811E" w14:textId="77777777">
            <w:pPr>
              <w:pStyle w:val="BodyText"/>
              <w:rPr>
                <w:color w:val="FFFFFF" w:themeColor="background1"/>
              </w:rPr>
            </w:pPr>
            <w:r w:rsidRPr="00FE5304">
              <w:rPr>
                <w:color w:val="FFFFFF" w:themeColor="background1"/>
              </w:rPr>
              <w:t>Configuration Item</w:t>
            </w:r>
          </w:p>
        </w:tc>
        <w:tc>
          <w:tcPr>
            <w:tcW w:w="4514" w:type="dxa"/>
          </w:tcPr>
          <w:p w:rsidRPr="00FE5304" w:rsidR="00EB6324" w:rsidRDefault="00EB6324" w14:paraId="1A5E51B0" w14:textId="77777777">
            <w:pPr>
              <w:pStyle w:val="BodyText"/>
              <w:rPr>
                <w:color w:val="FFFFFF" w:themeColor="background1"/>
              </w:rPr>
            </w:pPr>
            <w:r w:rsidRPr="00FE5304">
              <w:rPr>
                <w:color w:val="FFFFFF" w:themeColor="background1"/>
              </w:rPr>
              <w:t>Configuration Value</w:t>
            </w:r>
          </w:p>
        </w:tc>
      </w:tr>
      <w:tr w:rsidR="00EB6324" w14:paraId="055705A3" w14:textId="77777777">
        <w:tc>
          <w:tcPr>
            <w:tcW w:w="4513" w:type="dxa"/>
          </w:tcPr>
          <w:p w:rsidRPr="00FE5304" w:rsidR="00EB6324" w:rsidRDefault="00EB6324" w14:paraId="0D14907D" w14:textId="77777777">
            <w:pPr>
              <w:pStyle w:val="BodyText"/>
            </w:pPr>
            <w:r w:rsidRPr="00FE5304">
              <w:t>Name</w:t>
            </w:r>
          </w:p>
        </w:tc>
        <w:tc>
          <w:tcPr>
            <w:tcW w:w="4514" w:type="dxa"/>
          </w:tcPr>
          <w:p w:rsidRPr="00FE5304" w:rsidR="00EB6324" w:rsidRDefault="00EB6324" w14:paraId="68F7CBEC" w14:textId="50FAADFD">
            <w:pPr>
              <w:pStyle w:val="BodyText"/>
            </w:pPr>
            <w:r w:rsidRPr="00FE5304">
              <w:t>log-prd-au</w:t>
            </w:r>
            <w:r>
              <w:t>ea</w:t>
            </w:r>
            <w:r w:rsidRPr="00FE5304">
              <w:t>-mgmt-01</w:t>
            </w:r>
          </w:p>
        </w:tc>
      </w:tr>
      <w:tr w:rsidR="00EB6324" w14:paraId="1796DD61" w14:textId="77777777">
        <w:tc>
          <w:tcPr>
            <w:tcW w:w="4513" w:type="dxa"/>
          </w:tcPr>
          <w:p w:rsidRPr="00FE5304" w:rsidR="00EB6324" w:rsidRDefault="00EB6324" w14:paraId="767FFD14" w14:textId="77777777">
            <w:pPr>
              <w:pStyle w:val="BodyText"/>
            </w:pPr>
            <w:r w:rsidRPr="00FE5304">
              <w:t>Subscription</w:t>
            </w:r>
          </w:p>
        </w:tc>
        <w:tc>
          <w:tcPr>
            <w:tcW w:w="4514" w:type="dxa"/>
          </w:tcPr>
          <w:p w:rsidRPr="00FE5304" w:rsidR="00EB6324" w:rsidRDefault="00EB6324" w14:paraId="271CD151" w14:textId="77777777">
            <w:pPr>
              <w:pStyle w:val="BodyText"/>
            </w:pPr>
            <w:r w:rsidRPr="00FE5304">
              <w:t>AV ALZ Management</w:t>
            </w:r>
          </w:p>
        </w:tc>
      </w:tr>
      <w:tr w:rsidR="00EB6324" w14:paraId="41EB0C0D" w14:textId="77777777">
        <w:tc>
          <w:tcPr>
            <w:tcW w:w="4513" w:type="dxa"/>
          </w:tcPr>
          <w:p w:rsidRPr="00FE5304" w:rsidR="00EB6324" w:rsidRDefault="00EB6324" w14:paraId="11B79A9F" w14:textId="77777777">
            <w:pPr>
              <w:pStyle w:val="BodyText"/>
            </w:pPr>
            <w:r w:rsidRPr="00FE5304">
              <w:t>Resource Group</w:t>
            </w:r>
          </w:p>
        </w:tc>
        <w:tc>
          <w:tcPr>
            <w:tcW w:w="4514" w:type="dxa"/>
          </w:tcPr>
          <w:p w:rsidRPr="00FE5304" w:rsidR="00EB6324" w:rsidRDefault="00EB6324" w14:paraId="4BB38B12" w14:textId="75046A34">
            <w:pPr>
              <w:pStyle w:val="BodyText"/>
            </w:pPr>
            <w:r w:rsidRPr="00FE5304">
              <w:t>rg-prd-au</w:t>
            </w:r>
            <w:r>
              <w:t>ea</w:t>
            </w:r>
            <w:r w:rsidRPr="00FE5304">
              <w:t>-management-01</w:t>
            </w:r>
          </w:p>
        </w:tc>
      </w:tr>
      <w:tr w:rsidR="00EB6324" w14:paraId="4B4A0E78" w14:textId="77777777">
        <w:tc>
          <w:tcPr>
            <w:tcW w:w="4513" w:type="dxa"/>
          </w:tcPr>
          <w:p w:rsidRPr="00FE5304" w:rsidR="00EB6324" w:rsidRDefault="00EB6324" w14:paraId="713A38BE" w14:textId="77777777">
            <w:pPr>
              <w:pStyle w:val="BodyText"/>
            </w:pPr>
            <w:r w:rsidRPr="00FE5304">
              <w:t>Pricing Tier</w:t>
            </w:r>
          </w:p>
        </w:tc>
        <w:tc>
          <w:tcPr>
            <w:tcW w:w="4514" w:type="dxa"/>
          </w:tcPr>
          <w:p w:rsidRPr="00FE5304" w:rsidR="00EB6324" w:rsidRDefault="00EB6324" w14:paraId="619FD20C" w14:textId="77777777">
            <w:pPr>
              <w:pStyle w:val="BodyText"/>
            </w:pPr>
            <w:r w:rsidRPr="00FE5304">
              <w:t>Pay-as-you-go</w:t>
            </w:r>
          </w:p>
        </w:tc>
      </w:tr>
      <w:tr w:rsidR="00EB6324" w14:paraId="24BE5697" w14:textId="77777777">
        <w:tc>
          <w:tcPr>
            <w:tcW w:w="4513" w:type="dxa"/>
          </w:tcPr>
          <w:p w:rsidRPr="00FE5304" w:rsidR="00EB6324" w:rsidRDefault="00EB6324" w14:paraId="7319F1F3" w14:textId="77777777">
            <w:pPr>
              <w:pStyle w:val="BodyText"/>
            </w:pPr>
            <w:r w:rsidRPr="00FE5304">
              <w:t>Data Retention</w:t>
            </w:r>
          </w:p>
        </w:tc>
        <w:tc>
          <w:tcPr>
            <w:tcW w:w="4514" w:type="dxa"/>
          </w:tcPr>
          <w:p w:rsidRPr="00FE5304" w:rsidR="00EB6324" w:rsidRDefault="00EB6324" w14:paraId="4563E7BF" w14:textId="77777777">
            <w:pPr>
              <w:pStyle w:val="BodyText"/>
            </w:pPr>
            <w:r w:rsidRPr="00FE5304">
              <w:t>90 days</w:t>
            </w:r>
          </w:p>
        </w:tc>
      </w:tr>
      <w:tr w:rsidR="00EB6324" w14:paraId="17FE5AE5" w14:textId="77777777">
        <w:tc>
          <w:tcPr>
            <w:tcW w:w="4513" w:type="dxa"/>
          </w:tcPr>
          <w:p w:rsidRPr="00FE5304" w:rsidR="00EB6324" w:rsidRDefault="00EB6324" w14:paraId="350CAE48" w14:textId="77777777">
            <w:pPr>
              <w:pStyle w:val="BodyText"/>
            </w:pPr>
            <w:r>
              <w:t>Diagnostic Settings to be captured</w:t>
            </w:r>
          </w:p>
        </w:tc>
        <w:tc>
          <w:tcPr>
            <w:tcW w:w="4514" w:type="dxa"/>
          </w:tcPr>
          <w:p w:rsidR="00EB6324" w:rsidRDefault="00EB6324" w14:paraId="4286C850" w14:textId="77777777">
            <w:pPr>
              <w:pStyle w:val="BodyText"/>
            </w:pPr>
            <w:r>
              <w:t>allLogs</w:t>
            </w:r>
          </w:p>
          <w:p w:rsidRPr="00FE5304" w:rsidR="00EB6324" w:rsidRDefault="00EB6324" w14:paraId="47BF7BD4" w14:textId="77777777">
            <w:pPr>
              <w:pStyle w:val="BodyText"/>
            </w:pPr>
            <w:r>
              <w:t>AllMetrics</w:t>
            </w:r>
          </w:p>
        </w:tc>
      </w:tr>
      <w:tr w:rsidR="00EB6324" w14:paraId="28575C29" w14:textId="77777777">
        <w:tc>
          <w:tcPr>
            <w:tcW w:w="4513" w:type="dxa"/>
          </w:tcPr>
          <w:p w:rsidR="00EB6324" w:rsidRDefault="00EB6324" w14:paraId="13F1C5BB" w14:textId="77777777">
            <w:pPr>
              <w:pStyle w:val="BodyText"/>
            </w:pPr>
            <w:r>
              <w:t>Log Analytics Workspace for logs</w:t>
            </w:r>
          </w:p>
        </w:tc>
        <w:tc>
          <w:tcPr>
            <w:tcW w:w="4514" w:type="dxa"/>
          </w:tcPr>
          <w:p w:rsidR="00EB6324" w:rsidRDefault="00EB6324" w14:paraId="3D3B55CD" w14:textId="47631935">
            <w:pPr>
              <w:pStyle w:val="BodyText"/>
            </w:pPr>
            <w:r w:rsidRPr="00FE5304">
              <w:t>log-prd-au</w:t>
            </w:r>
            <w:r>
              <w:t>ea</w:t>
            </w:r>
            <w:r w:rsidRPr="00FE5304">
              <w:t>-mgmt-01</w:t>
            </w:r>
          </w:p>
        </w:tc>
      </w:tr>
    </w:tbl>
    <w:p w:rsidRPr="00A2213C" w:rsidR="0051394D" w:rsidP="00FE5D7C" w:rsidRDefault="0051394D" w14:paraId="562F4310" w14:textId="0C1B1528">
      <w:pPr>
        <w:pStyle w:val="Heading2"/>
      </w:pPr>
      <w:bookmarkStart w:name="_Toc157090463" w:id="41"/>
      <w:r>
        <w:t>Generic Primary Region Central Log Analytics Workspace</w:t>
      </w:r>
      <w:bookmarkEnd w:id="41"/>
    </w:p>
    <w:tbl>
      <w:tblPr>
        <w:tblStyle w:val="AVTable1"/>
        <w:tblW w:w="0" w:type="auto"/>
        <w:tblLook w:val="04A0" w:firstRow="1" w:lastRow="0" w:firstColumn="1" w:lastColumn="0" w:noHBand="0" w:noVBand="1"/>
      </w:tblPr>
      <w:tblGrid>
        <w:gridCol w:w="4513"/>
        <w:gridCol w:w="4514"/>
      </w:tblGrid>
      <w:tr w:rsidR="0051394D" w14:paraId="7AFA7621" w14:textId="77777777">
        <w:trPr>
          <w:cnfStyle w:val="100000000000" w:firstRow="1" w:lastRow="0" w:firstColumn="0" w:lastColumn="0" w:oddVBand="0" w:evenVBand="0" w:oddHBand="0" w:evenHBand="0" w:firstRowFirstColumn="0" w:firstRowLastColumn="0" w:lastRowFirstColumn="0" w:lastRowLastColumn="0"/>
        </w:trPr>
        <w:tc>
          <w:tcPr>
            <w:tcW w:w="4513" w:type="dxa"/>
          </w:tcPr>
          <w:p w:rsidRPr="00FE5304" w:rsidR="0051394D" w:rsidRDefault="0051394D" w14:paraId="0CC49194" w14:textId="77777777">
            <w:pPr>
              <w:pStyle w:val="BodyText"/>
              <w:rPr>
                <w:color w:val="FFFFFF" w:themeColor="background1"/>
              </w:rPr>
            </w:pPr>
            <w:r w:rsidRPr="00FE5304">
              <w:rPr>
                <w:color w:val="FFFFFF" w:themeColor="background1"/>
              </w:rPr>
              <w:t>Configuration Item</w:t>
            </w:r>
          </w:p>
        </w:tc>
        <w:tc>
          <w:tcPr>
            <w:tcW w:w="4514" w:type="dxa"/>
          </w:tcPr>
          <w:p w:rsidRPr="00FE5304" w:rsidR="0051394D" w:rsidRDefault="0051394D" w14:paraId="6C119E80" w14:textId="77777777">
            <w:pPr>
              <w:pStyle w:val="BodyText"/>
              <w:rPr>
                <w:color w:val="FFFFFF" w:themeColor="background1"/>
              </w:rPr>
            </w:pPr>
            <w:r w:rsidRPr="00FE5304">
              <w:rPr>
                <w:color w:val="FFFFFF" w:themeColor="background1"/>
              </w:rPr>
              <w:t>Configuration Value</w:t>
            </w:r>
          </w:p>
        </w:tc>
      </w:tr>
      <w:tr w:rsidR="0051394D" w14:paraId="2E443A3A" w14:textId="77777777">
        <w:tc>
          <w:tcPr>
            <w:tcW w:w="4513" w:type="dxa"/>
          </w:tcPr>
          <w:p w:rsidRPr="00FE5304" w:rsidR="0051394D" w:rsidRDefault="0051394D" w14:paraId="7592C3E6" w14:textId="77777777">
            <w:pPr>
              <w:pStyle w:val="BodyText"/>
            </w:pPr>
            <w:r w:rsidRPr="00FE5304">
              <w:t>Name</w:t>
            </w:r>
          </w:p>
        </w:tc>
        <w:tc>
          <w:tcPr>
            <w:tcW w:w="4514" w:type="dxa"/>
          </w:tcPr>
          <w:p w:rsidRPr="00FE5304" w:rsidR="0051394D" w:rsidRDefault="0051394D" w14:paraId="1A724EC2" w14:textId="5A701C19">
            <w:pPr>
              <w:pStyle w:val="BodyText"/>
            </w:pPr>
            <w:r w:rsidRPr="00FE5304">
              <w:t>log-</w:t>
            </w:r>
            <w:r w:rsidR="00FE5D7C">
              <w:t>[env]</w:t>
            </w:r>
            <w:r w:rsidRPr="00FE5304">
              <w:t>-ause-</w:t>
            </w:r>
            <w:r>
              <w:t>[appname]</w:t>
            </w:r>
            <w:r w:rsidRPr="00FE5304">
              <w:t>-</w:t>
            </w:r>
            <w:r>
              <w:t>[workload]-</w:t>
            </w:r>
            <w:r w:rsidRPr="00FE5304">
              <w:t>01</w:t>
            </w:r>
          </w:p>
        </w:tc>
      </w:tr>
      <w:tr w:rsidR="0051394D" w14:paraId="21E2F949" w14:textId="77777777">
        <w:tc>
          <w:tcPr>
            <w:tcW w:w="4513" w:type="dxa"/>
          </w:tcPr>
          <w:p w:rsidRPr="00FE5304" w:rsidR="0051394D" w:rsidRDefault="0051394D" w14:paraId="0A7A7D12" w14:textId="77777777">
            <w:pPr>
              <w:pStyle w:val="BodyText"/>
            </w:pPr>
            <w:r w:rsidRPr="00FE5304">
              <w:t>Subscription</w:t>
            </w:r>
          </w:p>
        </w:tc>
        <w:tc>
          <w:tcPr>
            <w:tcW w:w="4514" w:type="dxa"/>
          </w:tcPr>
          <w:p w:rsidRPr="00FE5304" w:rsidR="0051394D" w:rsidRDefault="0051394D" w14:paraId="181CBF48" w14:textId="0172974E">
            <w:pPr>
              <w:pStyle w:val="BodyText"/>
            </w:pPr>
            <w:r w:rsidRPr="00FE5304">
              <w:t xml:space="preserve">AV ALZ </w:t>
            </w:r>
            <w:r>
              <w:t>[Subscription Name]</w:t>
            </w:r>
          </w:p>
        </w:tc>
      </w:tr>
      <w:tr w:rsidR="0051394D" w14:paraId="3999F4C6" w14:textId="77777777">
        <w:tc>
          <w:tcPr>
            <w:tcW w:w="4513" w:type="dxa"/>
          </w:tcPr>
          <w:p w:rsidRPr="00FE5304" w:rsidR="0051394D" w:rsidRDefault="0051394D" w14:paraId="2CE3A96E" w14:textId="77777777">
            <w:pPr>
              <w:pStyle w:val="BodyText"/>
            </w:pPr>
            <w:r w:rsidRPr="00FE5304">
              <w:t>Pricing Tier</w:t>
            </w:r>
          </w:p>
        </w:tc>
        <w:tc>
          <w:tcPr>
            <w:tcW w:w="4514" w:type="dxa"/>
          </w:tcPr>
          <w:p w:rsidRPr="00FE5304" w:rsidR="0051394D" w:rsidRDefault="0051394D" w14:paraId="34E7BF12" w14:textId="77777777">
            <w:pPr>
              <w:pStyle w:val="BodyText"/>
            </w:pPr>
            <w:r w:rsidRPr="00FE5304">
              <w:t>Pay-as-you-go</w:t>
            </w:r>
          </w:p>
        </w:tc>
      </w:tr>
      <w:tr w:rsidR="0051394D" w14:paraId="7F9C3F17" w14:textId="77777777">
        <w:tc>
          <w:tcPr>
            <w:tcW w:w="4513" w:type="dxa"/>
          </w:tcPr>
          <w:p w:rsidRPr="00FE5304" w:rsidR="0051394D" w:rsidRDefault="0051394D" w14:paraId="62502499" w14:textId="77777777">
            <w:pPr>
              <w:pStyle w:val="BodyText"/>
            </w:pPr>
            <w:r w:rsidRPr="00FE5304">
              <w:t>Data Retention</w:t>
            </w:r>
          </w:p>
        </w:tc>
        <w:tc>
          <w:tcPr>
            <w:tcW w:w="4514" w:type="dxa"/>
          </w:tcPr>
          <w:p w:rsidRPr="00FE5304" w:rsidR="0051394D" w:rsidRDefault="0051394D" w14:paraId="3798E52A" w14:textId="77777777">
            <w:pPr>
              <w:pStyle w:val="BodyText"/>
            </w:pPr>
            <w:r w:rsidRPr="00FE5304">
              <w:t>90 days</w:t>
            </w:r>
          </w:p>
        </w:tc>
      </w:tr>
      <w:tr w:rsidR="0051394D" w14:paraId="589ECBDE" w14:textId="77777777">
        <w:tc>
          <w:tcPr>
            <w:tcW w:w="4513" w:type="dxa"/>
          </w:tcPr>
          <w:p w:rsidRPr="00FE5304" w:rsidR="0051394D" w:rsidRDefault="0051394D" w14:paraId="282D5675" w14:textId="77777777">
            <w:pPr>
              <w:pStyle w:val="BodyText"/>
            </w:pPr>
            <w:r>
              <w:t>Diagnostic Settings to be captured</w:t>
            </w:r>
          </w:p>
        </w:tc>
        <w:tc>
          <w:tcPr>
            <w:tcW w:w="4514" w:type="dxa"/>
          </w:tcPr>
          <w:p w:rsidR="0051394D" w:rsidRDefault="0051394D" w14:paraId="6E5A9F24" w14:textId="77777777">
            <w:pPr>
              <w:pStyle w:val="BodyText"/>
            </w:pPr>
            <w:r>
              <w:t>allLogs</w:t>
            </w:r>
          </w:p>
          <w:p w:rsidRPr="00FE5304" w:rsidR="0051394D" w:rsidRDefault="0051394D" w14:paraId="259823B6" w14:textId="77777777">
            <w:pPr>
              <w:pStyle w:val="BodyText"/>
            </w:pPr>
            <w:r>
              <w:t>AllMetrics</w:t>
            </w:r>
          </w:p>
        </w:tc>
      </w:tr>
      <w:tr w:rsidR="0051394D" w14:paraId="69077860" w14:textId="77777777">
        <w:tc>
          <w:tcPr>
            <w:tcW w:w="4513" w:type="dxa"/>
          </w:tcPr>
          <w:p w:rsidR="0051394D" w:rsidRDefault="0051394D" w14:paraId="5EFFD9D0" w14:textId="77777777">
            <w:pPr>
              <w:pStyle w:val="BodyText"/>
            </w:pPr>
            <w:r>
              <w:t>Log Analytics Workspace for logs</w:t>
            </w:r>
          </w:p>
        </w:tc>
        <w:tc>
          <w:tcPr>
            <w:tcW w:w="4514" w:type="dxa"/>
          </w:tcPr>
          <w:p w:rsidR="0051394D" w:rsidRDefault="0051394D" w14:paraId="1853FC6C" w14:textId="77777777">
            <w:pPr>
              <w:pStyle w:val="BodyText"/>
            </w:pPr>
            <w:r w:rsidRPr="00FE5304">
              <w:t>log-prd-ause-mgmt-01</w:t>
            </w:r>
          </w:p>
        </w:tc>
      </w:tr>
    </w:tbl>
    <w:p w:rsidRPr="00A2213C" w:rsidR="00FE5D7C" w:rsidP="00FE5D7C" w:rsidRDefault="00FE5D7C" w14:paraId="06078180" w14:textId="31353F4C">
      <w:pPr>
        <w:pStyle w:val="Heading2"/>
      </w:pPr>
      <w:bookmarkStart w:name="_Toc157090464" w:id="42"/>
      <w:r>
        <w:t xml:space="preserve">Generic </w:t>
      </w:r>
      <w:r w:rsidR="00911E78">
        <w:t xml:space="preserve">DR </w:t>
      </w:r>
      <w:r>
        <w:t>Region Central Log Analytics Workspace</w:t>
      </w:r>
      <w:bookmarkEnd w:id="42"/>
    </w:p>
    <w:tbl>
      <w:tblPr>
        <w:tblStyle w:val="AVTable1"/>
        <w:tblW w:w="0" w:type="auto"/>
        <w:tblLook w:val="04A0" w:firstRow="1" w:lastRow="0" w:firstColumn="1" w:lastColumn="0" w:noHBand="0" w:noVBand="1"/>
      </w:tblPr>
      <w:tblGrid>
        <w:gridCol w:w="4513"/>
        <w:gridCol w:w="4514"/>
      </w:tblGrid>
      <w:tr w:rsidR="00FE5D7C" w14:paraId="12681CC4" w14:textId="77777777">
        <w:trPr>
          <w:cnfStyle w:val="100000000000" w:firstRow="1" w:lastRow="0" w:firstColumn="0" w:lastColumn="0" w:oddVBand="0" w:evenVBand="0" w:oddHBand="0" w:evenHBand="0" w:firstRowFirstColumn="0" w:firstRowLastColumn="0" w:lastRowFirstColumn="0" w:lastRowLastColumn="0"/>
        </w:trPr>
        <w:tc>
          <w:tcPr>
            <w:tcW w:w="4513" w:type="dxa"/>
          </w:tcPr>
          <w:p w:rsidRPr="00FE5304" w:rsidR="00FE5D7C" w:rsidRDefault="00FE5D7C" w14:paraId="68FFCA36" w14:textId="77777777">
            <w:pPr>
              <w:pStyle w:val="BodyText"/>
              <w:rPr>
                <w:color w:val="FFFFFF" w:themeColor="background1"/>
              </w:rPr>
            </w:pPr>
            <w:r w:rsidRPr="00FE5304">
              <w:rPr>
                <w:color w:val="FFFFFF" w:themeColor="background1"/>
              </w:rPr>
              <w:t>Configuration Item</w:t>
            </w:r>
          </w:p>
        </w:tc>
        <w:tc>
          <w:tcPr>
            <w:tcW w:w="4514" w:type="dxa"/>
          </w:tcPr>
          <w:p w:rsidRPr="00FE5304" w:rsidR="00FE5D7C" w:rsidRDefault="00FE5D7C" w14:paraId="37FD7B18" w14:textId="77777777">
            <w:pPr>
              <w:pStyle w:val="BodyText"/>
              <w:rPr>
                <w:color w:val="FFFFFF" w:themeColor="background1"/>
              </w:rPr>
            </w:pPr>
            <w:r w:rsidRPr="00FE5304">
              <w:rPr>
                <w:color w:val="FFFFFF" w:themeColor="background1"/>
              </w:rPr>
              <w:t>Configuration Value</w:t>
            </w:r>
          </w:p>
        </w:tc>
      </w:tr>
      <w:tr w:rsidR="00FE5D7C" w14:paraId="16368E6B" w14:textId="77777777">
        <w:tc>
          <w:tcPr>
            <w:tcW w:w="4513" w:type="dxa"/>
          </w:tcPr>
          <w:p w:rsidRPr="00FE5304" w:rsidR="00FE5D7C" w:rsidRDefault="00FE5D7C" w14:paraId="3F2444E6" w14:textId="77777777">
            <w:pPr>
              <w:pStyle w:val="BodyText"/>
            </w:pPr>
            <w:r w:rsidRPr="00FE5304">
              <w:t>Name</w:t>
            </w:r>
          </w:p>
        </w:tc>
        <w:tc>
          <w:tcPr>
            <w:tcW w:w="4514" w:type="dxa"/>
          </w:tcPr>
          <w:p w:rsidRPr="00FE5304" w:rsidR="00FE5D7C" w:rsidRDefault="00FE5D7C" w14:paraId="6D740025" w14:textId="5B1E4FC3">
            <w:pPr>
              <w:pStyle w:val="BodyText"/>
            </w:pPr>
            <w:r w:rsidRPr="00FE5304">
              <w:t>log-</w:t>
            </w:r>
            <w:r>
              <w:t>[env]</w:t>
            </w:r>
            <w:r w:rsidRPr="00FE5304">
              <w:t>-au</w:t>
            </w:r>
            <w:r w:rsidR="00911E78">
              <w:t>ea</w:t>
            </w:r>
            <w:r w:rsidRPr="00FE5304">
              <w:t>-</w:t>
            </w:r>
            <w:r>
              <w:t>[appname]</w:t>
            </w:r>
            <w:r w:rsidRPr="00FE5304">
              <w:t>-</w:t>
            </w:r>
            <w:r>
              <w:t>[workload]-</w:t>
            </w:r>
            <w:r w:rsidRPr="00FE5304">
              <w:t>01</w:t>
            </w:r>
          </w:p>
        </w:tc>
      </w:tr>
      <w:tr w:rsidR="00FE5D7C" w14:paraId="315D7554" w14:textId="77777777">
        <w:tc>
          <w:tcPr>
            <w:tcW w:w="4513" w:type="dxa"/>
          </w:tcPr>
          <w:p w:rsidRPr="00FE5304" w:rsidR="00FE5D7C" w:rsidRDefault="00FE5D7C" w14:paraId="460265D4" w14:textId="77777777">
            <w:pPr>
              <w:pStyle w:val="BodyText"/>
            </w:pPr>
            <w:r w:rsidRPr="00FE5304">
              <w:t>Subscription</w:t>
            </w:r>
          </w:p>
        </w:tc>
        <w:tc>
          <w:tcPr>
            <w:tcW w:w="4514" w:type="dxa"/>
          </w:tcPr>
          <w:p w:rsidRPr="00FE5304" w:rsidR="00FE5D7C" w:rsidRDefault="00FE5D7C" w14:paraId="65095061" w14:textId="77777777">
            <w:pPr>
              <w:pStyle w:val="BodyText"/>
            </w:pPr>
            <w:r w:rsidRPr="00FE5304">
              <w:t xml:space="preserve">AV ALZ </w:t>
            </w:r>
            <w:r>
              <w:t>[Subscription Name]</w:t>
            </w:r>
          </w:p>
        </w:tc>
      </w:tr>
      <w:tr w:rsidR="00FE5D7C" w14:paraId="7B558112" w14:textId="77777777">
        <w:tc>
          <w:tcPr>
            <w:tcW w:w="4513" w:type="dxa"/>
          </w:tcPr>
          <w:p w:rsidRPr="00FE5304" w:rsidR="00FE5D7C" w:rsidRDefault="00FE5D7C" w14:paraId="696AD40E" w14:textId="77777777">
            <w:pPr>
              <w:pStyle w:val="BodyText"/>
            </w:pPr>
            <w:r w:rsidRPr="00FE5304">
              <w:t>Pricing Tier</w:t>
            </w:r>
          </w:p>
        </w:tc>
        <w:tc>
          <w:tcPr>
            <w:tcW w:w="4514" w:type="dxa"/>
          </w:tcPr>
          <w:p w:rsidRPr="00FE5304" w:rsidR="00FE5D7C" w:rsidRDefault="00FE5D7C" w14:paraId="4256144C" w14:textId="77777777">
            <w:pPr>
              <w:pStyle w:val="BodyText"/>
            </w:pPr>
            <w:r w:rsidRPr="00FE5304">
              <w:t>Pay-as-you-go</w:t>
            </w:r>
          </w:p>
        </w:tc>
      </w:tr>
      <w:tr w:rsidR="00FE5D7C" w14:paraId="1148E9B5" w14:textId="77777777">
        <w:tc>
          <w:tcPr>
            <w:tcW w:w="4513" w:type="dxa"/>
          </w:tcPr>
          <w:p w:rsidRPr="00FE5304" w:rsidR="00FE5D7C" w:rsidRDefault="00FE5D7C" w14:paraId="1A458B19" w14:textId="77777777">
            <w:pPr>
              <w:pStyle w:val="BodyText"/>
            </w:pPr>
            <w:r w:rsidRPr="00FE5304">
              <w:t>Data Retention</w:t>
            </w:r>
          </w:p>
        </w:tc>
        <w:tc>
          <w:tcPr>
            <w:tcW w:w="4514" w:type="dxa"/>
          </w:tcPr>
          <w:p w:rsidRPr="00FE5304" w:rsidR="00FE5D7C" w:rsidRDefault="00FE5D7C" w14:paraId="78F605C9" w14:textId="77777777">
            <w:pPr>
              <w:pStyle w:val="BodyText"/>
            </w:pPr>
            <w:r w:rsidRPr="00FE5304">
              <w:t>90 days</w:t>
            </w:r>
          </w:p>
        </w:tc>
      </w:tr>
      <w:tr w:rsidR="00FE5D7C" w14:paraId="507E2B21" w14:textId="77777777">
        <w:tc>
          <w:tcPr>
            <w:tcW w:w="4513" w:type="dxa"/>
          </w:tcPr>
          <w:p w:rsidRPr="00FE5304" w:rsidR="00FE5D7C" w:rsidRDefault="00FE5D7C" w14:paraId="353A77A2" w14:textId="77777777">
            <w:pPr>
              <w:pStyle w:val="BodyText"/>
            </w:pPr>
            <w:r>
              <w:t>Diagnostic Settings to be captured</w:t>
            </w:r>
          </w:p>
        </w:tc>
        <w:tc>
          <w:tcPr>
            <w:tcW w:w="4514" w:type="dxa"/>
          </w:tcPr>
          <w:p w:rsidR="00FE5D7C" w:rsidRDefault="00FE5D7C" w14:paraId="1F0C4224" w14:textId="77777777">
            <w:pPr>
              <w:pStyle w:val="BodyText"/>
            </w:pPr>
            <w:r>
              <w:t>allLogs</w:t>
            </w:r>
          </w:p>
          <w:p w:rsidRPr="00FE5304" w:rsidR="00FE5D7C" w:rsidRDefault="00FE5D7C" w14:paraId="34523313" w14:textId="77777777">
            <w:pPr>
              <w:pStyle w:val="BodyText"/>
            </w:pPr>
            <w:r>
              <w:t>AllMetrics</w:t>
            </w:r>
          </w:p>
        </w:tc>
      </w:tr>
      <w:tr w:rsidR="00FE5D7C" w14:paraId="0239B4C7" w14:textId="77777777">
        <w:tc>
          <w:tcPr>
            <w:tcW w:w="4513" w:type="dxa"/>
          </w:tcPr>
          <w:p w:rsidR="00FE5D7C" w:rsidRDefault="00FE5D7C" w14:paraId="134978EB" w14:textId="77777777">
            <w:pPr>
              <w:pStyle w:val="BodyText"/>
            </w:pPr>
            <w:r>
              <w:t>Log Analytics Workspace for logs</w:t>
            </w:r>
          </w:p>
        </w:tc>
        <w:tc>
          <w:tcPr>
            <w:tcW w:w="4514" w:type="dxa"/>
          </w:tcPr>
          <w:p w:rsidR="00FE5D7C" w:rsidRDefault="00FE5D7C" w14:paraId="04B08061" w14:textId="5342AE62">
            <w:pPr>
              <w:pStyle w:val="BodyText"/>
            </w:pPr>
            <w:r w:rsidRPr="00FE5304">
              <w:t>log-prd-au</w:t>
            </w:r>
            <w:r w:rsidR="00911E78">
              <w:t>ea</w:t>
            </w:r>
            <w:r w:rsidRPr="00FE5304">
              <w:t>-mgmt-01</w:t>
            </w:r>
          </w:p>
        </w:tc>
      </w:tr>
    </w:tbl>
    <w:p w:rsidR="00631431" w:rsidP="007D289F" w:rsidRDefault="00631431" w14:paraId="6F4DAD53" w14:textId="404F2BC4">
      <w:pPr>
        <w:pStyle w:val="BodyText"/>
        <w:tabs>
          <w:tab w:val="clear" w:pos="4536"/>
          <w:tab w:val="clear" w:pos="6804"/>
          <w:tab w:val="clear" w:pos="9638"/>
          <w:tab w:val="left" w:pos="3065"/>
        </w:tabs>
        <w:jc w:val="both"/>
        <w:rPr>
          <w:b/>
          <w:bCs/>
        </w:rPr>
      </w:pPr>
    </w:p>
    <w:p w:rsidR="00631431" w:rsidP="007D289F" w:rsidRDefault="00631431" w14:paraId="0985BB9F" w14:textId="77777777">
      <w:pPr>
        <w:pStyle w:val="BodyText"/>
        <w:tabs>
          <w:tab w:val="clear" w:pos="4536"/>
          <w:tab w:val="clear" w:pos="6804"/>
          <w:tab w:val="clear" w:pos="9638"/>
          <w:tab w:val="left" w:pos="3065"/>
        </w:tabs>
        <w:jc w:val="both"/>
        <w:rPr>
          <w:b/>
          <w:bCs/>
        </w:rPr>
      </w:pPr>
    </w:p>
    <w:p w:rsidR="00631431" w:rsidP="007D289F" w:rsidRDefault="00631431" w14:paraId="1B93C96F" w14:textId="77777777">
      <w:pPr>
        <w:pStyle w:val="BodyText"/>
        <w:tabs>
          <w:tab w:val="clear" w:pos="4536"/>
          <w:tab w:val="clear" w:pos="6804"/>
          <w:tab w:val="clear" w:pos="9638"/>
          <w:tab w:val="left" w:pos="3065"/>
        </w:tabs>
        <w:jc w:val="both"/>
        <w:rPr>
          <w:b/>
          <w:bCs/>
        </w:rPr>
      </w:pPr>
    </w:p>
    <w:p w:rsidR="00631431" w:rsidP="007D289F" w:rsidRDefault="00631431" w14:paraId="0874E0EF" w14:textId="77777777">
      <w:pPr>
        <w:pStyle w:val="BodyText"/>
        <w:tabs>
          <w:tab w:val="clear" w:pos="4536"/>
          <w:tab w:val="clear" w:pos="6804"/>
          <w:tab w:val="clear" w:pos="9638"/>
          <w:tab w:val="left" w:pos="3065"/>
        </w:tabs>
        <w:jc w:val="both"/>
        <w:rPr>
          <w:b/>
          <w:bCs/>
        </w:rPr>
      </w:pPr>
    </w:p>
    <w:p w:rsidR="00631431" w:rsidP="007D289F" w:rsidRDefault="00631431" w14:paraId="3C3D921A" w14:textId="77777777">
      <w:pPr>
        <w:pStyle w:val="BodyText"/>
        <w:tabs>
          <w:tab w:val="clear" w:pos="4536"/>
          <w:tab w:val="clear" w:pos="6804"/>
          <w:tab w:val="clear" w:pos="9638"/>
          <w:tab w:val="left" w:pos="3065"/>
        </w:tabs>
        <w:jc w:val="both"/>
        <w:rPr>
          <w:b/>
          <w:bCs/>
        </w:rPr>
      </w:pPr>
    </w:p>
    <w:p w:rsidR="00631431" w:rsidP="007D289F" w:rsidRDefault="00631431" w14:paraId="1BD3E541" w14:textId="77777777">
      <w:pPr>
        <w:pStyle w:val="BodyText"/>
        <w:tabs>
          <w:tab w:val="clear" w:pos="4536"/>
          <w:tab w:val="clear" w:pos="6804"/>
          <w:tab w:val="clear" w:pos="9638"/>
          <w:tab w:val="left" w:pos="3065"/>
        </w:tabs>
        <w:jc w:val="both"/>
        <w:rPr>
          <w:b/>
          <w:bCs/>
        </w:rPr>
      </w:pPr>
    </w:p>
    <w:p w:rsidR="00631431" w:rsidP="007D289F" w:rsidRDefault="00631431" w14:paraId="6D97E511" w14:textId="77777777">
      <w:pPr>
        <w:pStyle w:val="BodyText"/>
        <w:tabs>
          <w:tab w:val="clear" w:pos="4536"/>
          <w:tab w:val="clear" w:pos="6804"/>
          <w:tab w:val="clear" w:pos="9638"/>
          <w:tab w:val="left" w:pos="3065"/>
        </w:tabs>
        <w:jc w:val="both"/>
        <w:rPr>
          <w:b/>
          <w:bCs/>
        </w:rPr>
      </w:pPr>
    </w:p>
    <w:p w:rsidR="00631431" w:rsidP="007D289F" w:rsidRDefault="00631431" w14:paraId="4595D555" w14:textId="77777777">
      <w:pPr>
        <w:pStyle w:val="BodyText"/>
        <w:tabs>
          <w:tab w:val="clear" w:pos="4536"/>
          <w:tab w:val="clear" w:pos="6804"/>
          <w:tab w:val="clear" w:pos="9638"/>
          <w:tab w:val="left" w:pos="3065"/>
        </w:tabs>
        <w:jc w:val="both"/>
        <w:rPr>
          <w:b/>
          <w:bCs/>
        </w:rPr>
      </w:pPr>
    </w:p>
    <w:p w:rsidR="00631431" w:rsidP="007D289F" w:rsidRDefault="00631431" w14:paraId="6D3B0CE4" w14:textId="77777777">
      <w:pPr>
        <w:pStyle w:val="BodyText"/>
        <w:tabs>
          <w:tab w:val="clear" w:pos="4536"/>
          <w:tab w:val="clear" w:pos="6804"/>
          <w:tab w:val="clear" w:pos="9638"/>
          <w:tab w:val="left" w:pos="3065"/>
        </w:tabs>
        <w:jc w:val="both"/>
        <w:rPr>
          <w:b/>
          <w:bCs/>
        </w:rPr>
      </w:pPr>
    </w:p>
    <w:p w:rsidR="00631431" w:rsidP="007D289F" w:rsidRDefault="00631431" w14:paraId="4807EF78" w14:textId="77777777">
      <w:pPr>
        <w:pStyle w:val="BodyText"/>
        <w:tabs>
          <w:tab w:val="clear" w:pos="4536"/>
          <w:tab w:val="clear" w:pos="6804"/>
          <w:tab w:val="clear" w:pos="9638"/>
          <w:tab w:val="left" w:pos="3065"/>
        </w:tabs>
        <w:jc w:val="both"/>
        <w:rPr>
          <w:b/>
          <w:bCs/>
        </w:rPr>
      </w:pPr>
    </w:p>
    <w:p w:rsidR="00631431" w:rsidP="007D289F" w:rsidRDefault="00631431" w14:paraId="414976C4" w14:textId="77777777">
      <w:pPr>
        <w:pStyle w:val="BodyText"/>
        <w:tabs>
          <w:tab w:val="clear" w:pos="4536"/>
          <w:tab w:val="clear" w:pos="6804"/>
          <w:tab w:val="clear" w:pos="9638"/>
          <w:tab w:val="left" w:pos="3065"/>
        </w:tabs>
        <w:jc w:val="both"/>
        <w:rPr>
          <w:b/>
          <w:bCs/>
        </w:rPr>
      </w:pPr>
    </w:p>
    <w:p w:rsidR="00631431" w:rsidP="007D289F" w:rsidRDefault="00631431" w14:paraId="47F443AA" w14:textId="77777777">
      <w:pPr>
        <w:pStyle w:val="BodyText"/>
        <w:tabs>
          <w:tab w:val="clear" w:pos="4536"/>
          <w:tab w:val="clear" w:pos="6804"/>
          <w:tab w:val="clear" w:pos="9638"/>
          <w:tab w:val="left" w:pos="3065"/>
        </w:tabs>
        <w:jc w:val="both"/>
        <w:rPr>
          <w:b/>
          <w:bCs/>
        </w:rPr>
      </w:pPr>
    </w:p>
    <w:p w:rsidR="00631431" w:rsidP="007D289F" w:rsidRDefault="00631431" w14:paraId="7CA99E55" w14:textId="77777777">
      <w:pPr>
        <w:pStyle w:val="BodyText"/>
        <w:tabs>
          <w:tab w:val="clear" w:pos="4536"/>
          <w:tab w:val="clear" w:pos="6804"/>
          <w:tab w:val="clear" w:pos="9638"/>
          <w:tab w:val="left" w:pos="3065"/>
        </w:tabs>
        <w:jc w:val="both"/>
        <w:rPr>
          <w:b/>
          <w:bCs/>
        </w:rPr>
      </w:pPr>
    </w:p>
    <w:p w:rsidR="00631431" w:rsidP="007D289F" w:rsidRDefault="00631431" w14:paraId="4233BAF3" w14:textId="77777777">
      <w:pPr>
        <w:pStyle w:val="BodyText"/>
        <w:tabs>
          <w:tab w:val="clear" w:pos="4536"/>
          <w:tab w:val="clear" w:pos="6804"/>
          <w:tab w:val="clear" w:pos="9638"/>
          <w:tab w:val="left" w:pos="3065"/>
        </w:tabs>
        <w:jc w:val="both"/>
        <w:rPr>
          <w:b/>
          <w:bCs/>
        </w:rPr>
      </w:pPr>
    </w:p>
    <w:p w:rsidR="00631431" w:rsidP="007D289F" w:rsidRDefault="00631431" w14:paraId="3D00EE71" w14:textId="77777777">
      <w:pPr>
        <w:pStyle w:val="BodyText"/>
        <w:tabs>
          <w:tab w:val="clear" w:pos="4536"/>
          <w:tab w:val="clear" w:pos="6804"/>
          <w:tab w:val="clear" w:pos="9638"/>
          <w:tab w:val="left" w:pos="3065"/>
        </w:tabs>
        <w:jc w:val="both"/>
        <w:rPr>
          <w:b/>
          <w:bCs/>
        </w:rPr>
      </w:pPr>
    </w:p>
    <w:p w:rsidR="00631431" w:rsidP="007D289F" w:rsidRDefault="00631431" w14:paraId="07722A65" w14:textId="77777777">
      <w:pPr>
        <w:pStyle w:val="BodyText"/>
        <w:tabs>
          <w:tab w:val="clear" w:pos="4536"/>
          <w:tab w:val="clear" w:pos="6804"/>
          <w:tab w:val="clear" w:pos="9638"/>
          <w:tab w:val="left" w:pos="3065"/>
        </w:tabs>
        <w:jc w:val="both"/>
        <w:rPr>
          <w:b/>
          <w:bCs/>
        </w:rPr>
      </w:pPr>
    </w:p>
    <w:p w:rsidR="00631431" w:rsidP="007D289F" w:rsidRDefault="00631431" w14:paraId="0AF579B0" w14:textId="77777777">
      <w:pPr>
        <w:pStyle w:val="BodyText"/>
        <w:tabs>
          <w:tab w:val="clear" w:pos="4536"/>
          <w:tab w:val="clear" w:pos="6804"/>
          <w:tab w:val="clear" w:pos="9638"/>
          <w:tab w:val="left" w:pos="3065"/>
        </w:tabs>
        <w:jc w:val="both"/>
        <w:rPr>
          <w:b/>
          <w:bCs/>
        </w:rPr>
      </w:pPr>
    </w:p>
    <w:p w:rsidR="00631431" w:rsidP="007D289F" w:rsidRDefault="00631431" w14:paraId="6287ACCA" w14:textId="77777777">
      <w:pPr>
        <w:pStyle w:val="BodyText"/>
        <w:tabs>
          <w:tab w:val="clear" w:pos="4536"/>
          <w:tab w:val="clear" w:pos="6804"/>
          <w:tab w:val="clear" w:pos="9638"/>
          <w:tab w:val="left" w:pos="3065"/>
        </w:tabs>
        <w:jc w:val="both"/>
        <w:rPr>
          <w:b/>
          <w:bCs/>
        </w:rPr>
      </w:pPr>
    </w:p>
    <w:p w:rsidR="00631431" w:rsidP="007D289F" w:rsidRDefault="00631431" w14:paraId="3C097DCD" w14:textId="77777777">
      <w:pPr>
        <w:pStyle w:val="BodyText"/>
        <w:tabs>
          <w:tab w:val="clear" w:pos="4536"/>
          <w:tab w:val="clear" w:pos="6804"/>
          <w:tab w:val="clear" w:pos="9638"/>
          <w:tab w:val="left" w:pos="3065"/>
        </w:tabs>
        <w:jc w:val="both"/>
        <w:rPr>
          <w:b/>
          <w:bCs/>
        </w:rPr>
      </w:pPr>
    </w:p>
    <w:p w:rsidR="00631431" w:rsidP="007D289F" w:rsidRDefault="00631431" w14:paraId="57A8B101" w14:textId="77777777">
      <w:pPr>
        <w:pStyle w:val="BodyText"/>
        <w:tabs>
          <w:tab w:val="clear" w:pos="4536"/>
          <w:tab w:val="clear" w:pos="6804"/>
          <w:tab w:val="clear" w:pos="9638"/>
          <w:tab w:val="left" w:pos="3065"/>
        </w:tabs>
        <w:jc w:val="both"/>
        <w:rPr>
          <w:b/>
          <w:bCs/>
        </w:rPr>
      </w:pPr>
    </w:p>
    <w:p w:rsidR="00631431" w:rsidP="007D289F" w:rsidRDefault="00631431" w14:paraId="49E4F5F3" w14:textId="77777777">
      <w:pPr>
        <w:pStyle w:val="BodyText"/>
        <w:tabs>
          <w:tab w:val="clear" w:pos="4536"/>
          <w:tab w:val="clear" w:pos="6804"/>
          <w:tab w:val="clear" w:pos="9638"/>
          <w:tab w:val="left" w:pos="3065"/>
        </w:tabs>
        <w:jc w:val="both"/>
        <w:rPr>
          <w:b/>
          <w:bCs/>
        </w:rPr>
      </w:pPr>
    </w:p>
    <w:p w:rsidR="00631431" w:rsidP="007D289F" w:rsidRDefault="00631431" w14:paraId="26804CE1" w14:textId="77777777">
      <w:pPr>
        <w:pStyle w:val="BodyText"/>
        <w:tabs>
          <w:tab w:val="clear" w:pos="4536"/>
          <w:tab w:val="clear" w:pos="6804"/>
          <w:tab w:val="clear" w:pos="9638"/>
          <w:tab w:val="left" w:pos="3065"/>
        </w:tabs>
        <w:jc w:val="both"/>
        <w:rPr>
          <w:b/>
          <w:bCs/>
        </w:rPr>
      </w:pPr>
    </w:p>
    <w:p w:rsidR="00631431" w:rsidP="007D289F" w:rsidRDefault="00631431" w14:paraId="0A4BE560" w14:textId="77777777">
      <w:pPr>
        <w:pStyle w:val="BodyText"/>
        <w:tabs>
          <w:tab w:val="clear" w:pos="4536"/>
          <w:tab w:val="clear" w:pos="6804"/>
          <w:tab w:val="clear" w:pos="9638"/>
          <w:tab w:val="left" w:pos="3065"/>
        </w:tabs>
        <w:jc w:val="both"/>
        <w:rPr>
          <w:b/>
          <w:bCs/>
        </w:rPr>
      </w:pPr>
    </w:p>
    <w:p w:rsidR="00631431" w:rsidP="007D289F" w:rsidRDefault="00631431" w14:paraId="70506B36" w14:textId="77777777">
      <w:pPr>
        <w:pStyle w:val="BodyText"/>
        <w:tabs>
          <w:tab w:val="clear" w:pos="4536"/>
          <w:tab w:val="clear" w:pos="6804"/>
          <w:tab w:val="clear" w:pos="9638"/>
          <w:tab w:val="left" w:pos="3065"/>
        </w:tabs>
        <w:jc w:val="both"/>
        <w:rPr>
          <w:b/>
          <w:bCs/>
        </w:rPr>
      </w:pPr>
    </w:p>
    <w:p w:rsidR="00631431" w:rsidP="007D289F" w:rsidRDefault="00631431" w14:paraId="754EB473" w14:textId="77777777">
      <w:pPr>
        <w:pStyle w:val="BodyText"/>
        <w:tabs>
          <w:tab w:val="clear" w:pos="4536"/>
          <w:tab w:val="clear" w:pos="6804"/>
          <w:tab w:val="clear" w:pos="9638"/>
          <w:tab w:val="left" w:pos="3065"/>
        </w:tabs>
        <w:jc w:val="both"/>
        <w:rPr>
          <w:b/>
          <w:bCs/>
        </w:rPr>
      </w:pPr>
    </w:p>
    <w:p w:rsidR="00631431" w:rsidP="007D289F" w:rsidRDefault="00631431" w14:paraId="70A57446" w14:textId="77777777">
      <w:pPr>
        <w:pStyle w:val="BodyText"/>
        <w:tabs>
          <w:tab w:val="clear" w:pos="4536"/>
          <w:tab w:val="clear" w:pos="6804"/>
          <w:tab w:val="clear" w:pos="9638"/>
          <w:tab w:val="left" w:pos="3065"/>
        </w:tabs>
        <w:jc w:val="both"/>
        <w:rPr>
          <w:b/>
          <w:bCs/>
        </w:rPr>
      </w:pPr>
    </w:p>
    <w:p w:rsidR="00631431" w:rsidP="007D289F" w:rsidRDefault="00631431" w14:paraId="12BC41B4" w14:textId="77777777">
      <w:pPr>
        <w:pStyle w:val="BodyText"/>
        <w:tabs>
          <w:tab w:val="clear" w:pos="4536"/>
          <w:tab w:val="clear" w:pos="6804"/>
          <w:tab w:val="clear" w:pos="9638"/>
          <w:tab w:val="left" w:pos="3065"/>
        </w:tabs>
        <w:jc w:val="both"/>
        <w:rPr>
          <w:b/>
          <w:bCs/>
        </w:rPr>
      </w:pPr>
    </w:p>
    <w:p w:rsidR="00631431" w:rsidP="007D289F" w:rsidRDefault="00631431" w14:paraId="0EE2A4B1" w14:textId="77777777">
      <w:pPr>
        <w:pStyle w:val="BodyText"/>
        <w:tabs>
          <w:tab w:val="clear" w:pos="4536"/>
          <w:tab w:val="clear" w:pos="6804"/>
          <w:tab w:val="clear" w:pos="9638"/>
          <w:tab w:val="left" w:pos="3065"/>
        </w:tabs>
        <w:jc w:val="both"/>
        <w:rPr>
          <w:b/>
          <w:bCs/>
        </w:rPr>
      </w:pPr>
    </w:p>
    <w:p w:rsidRPr="008B7613" w:rsidR="00DA6DA9" w:rsidP="007D289F" w:rsidRDefault="00DA6DA9" w14:paraId="1BE41880" w14:textId="76F11BBE">
      <w:pPr>
        <w:pStyle w:val="BodyText"/>
        <w:tabs>
          <w:tab w:val="clear" w:pos="4536"/>
          <w:tab w:val="clear" w:pos="6804"/>
          <w:tab w:val="clear" w:pos="9638"/>
          <w:tab w:val="left" w:pos="3065"/>
        </w:tabs>
        <w:jc w:val="both"/>
        <w:rPr>
          <w:b/>
          <w:bCs/>
        </w:rPr>
      </w:pPr>
      <w:r>
        <w:rPr>
          <w:b/>
          <w:bCs/>
        </w:rPr>
        <w:tab/>
      </w:r>
    </w:p>
    <w:p w:rsidRPr="00631431" w:rsidR="00631431" w:rsidP="00631431" w:rsidRDefault="00631431" w14:paraId="27438348" w14:textId="1AC830F4">
      <w:pPr>
        <w:pStyle w:val="Heading1"/>
      </w:pPr>
      <w:bookmarkStart w:name="_Toc157090465" w:id="43"/>
      <w:r>
        <w:t>Acceptance</w:t>
      </w:r>
      <w:bookmarkEnd w:id="43"/>
    </w:p>
    <w:p w:rsidRPr="00631431" w:rsidR="00631431" w:rsidP="00631431" w:rsidRDefault="00631431" w14:paraId="785A2483" w14:textId="77777777">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rsidRPr="00631431" w:rsidR="00631431" w:rsidP="00631431" w:rsidRDefault="00631431" w14:paraId="3537B7BE" w14:textId="77777777">
      <w:pPr>
        <w:spacing w:line="240" w:lineRule="auto"/>
        <w:textAlignment w:val="baseline"/>
        <w:rPr>
          <w:rFonts w:ascii="Segoe UI" w:hAnsi="Segoe UI" w:cs="Segoe UI"/>
          <w:color w:val="auto"/>
          <w:sz w:val="18"/>
          <w:szCs w:val="18"/>
        </w:rPr>
      </w:pPr>
      <w:r w:rsidRPr="00631431">
        <w:rPr>
          <w:rFonts w:cs="Arial"/>
          <w:color w:val="auto"/>
        </w:rPr>
        <w:t> </w:t>
      </w:r>
    </w:p>
    <w:p w:rsidRPr="00631431" w:rsidR="00631431" w:rsidP="00631431" w:rsidRDefault="00631431" w14:paraId="3590BB22" w14:textId="77777777">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rsidRPr="00631431" w:rsidR="00631431" w:rsidP="00631431" w:rsidRDefault="00631431" w14:paraId="0C67C94B" w14:textId="77777777">
      <w:pPr>
        <w:spacing w:line="240" w:lineRule="auto"/>
        <w:textAlignment w:val="baseline"/>
        <w:rPr>
          <w:rFonts w:ascii="Segoe UI" w:hAnsi="Segoe UI" w:cs="Segoe UI"/>
          <w:color w:val="auto"/>
          <w:sz w:val="18"/>
          <w:szCs w:val="18"/>
        </w:rPr>
      </w:pPr>
      <w:r w:rsidRPr="00631431">
        <w:rPr>
          <w:rFonts w:cs="Arial"/>
          <w:color w:val="auto"/>
        </w:rPr>
        <w:t> </w:t>
      </w:r>
    </w:p>
    <w:p w:rsidR="00631431" w:rsidP="00631431" w:rsidRDefault="00631431" w14:paraId="7CFEF9DA" w14:textId="5B9A250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rsidR="00631431" w:rsidP="00631431" w:rsidRDefault="00631431" w14:paraId="5CC42E2F" w14:textId="77777777"/>
    <w:p w:rsidR="00631431" w:rsidP="00631431" w:rsidRDefault="00631431" w14:paraId="6D2CA301" w14:textId="77777777">
      <w:r>
        <w:t>Logicalis will commence build and implementation work once it receives a signed copy of this design document.</w:t>
      </w:r>
    </w:p>
    <w:p w:rsidRPr="00631431" w:rsidR="00631431" w:rsidP="00631431" w:rsidRDefault="00631431" w14:paraId="647646B6" w14:textId="77777777">
      <w:pPr>
        <w:rPr>
          <w:rFonts w:cs="Arial"/>
        </w:rPr>
      </w:pPr>
    </w:p>
    <w:tbl>
      <w:tblPr>
        <w:tblStyle w:val="Logicalis2"/>
        <w:tblW w:w="9072" w:type="dxa"/>
        <w:tblLook w:val="04A0" w:firstRow="1" w:lastRow="0" w:firstColumn="1" w:lastColumn="0" w:noHBand="0" w:noVBand="1"/>
      </w:tblPr>
      <w:tblGrid>
        <w:gridCol w:w="1407"/>
        <w:gridCol w:w="7665"/>
      </w:tblGrid>
      <w:tr w:rsidRPr="00631431" w:rsidR="00631431" w:rsidTr="00511DEF" w14:paraId="1EBA9D5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RDefault="00631431" w14:paraId="28839CF2" w14:textId="77777777">
            <w:pPr>
              <w:rPr>
                <w:rFonts w:ascii="Arial" w:hAnsi="Arial" w:cs="Arial"/>
                <w:color w:val="FFFFFF" w:themeColor="background1"/>
              </w:rPr>
            </w:pPr>
            <w:r w:rsidRPr="00631431">
              <w:rPr>
                <w:rFonts w:ascii="Arial" w:hAnsi="Arial" w:cs="Arial"/>
                <w:color w:val="FFFFFF" w:themeColor="background1"/>
              </w:rPr>
              <w:t>Project</w:t>
            </w:r>
          </w:p>
        </w:tc>
        <w:tc>
          <w:tcPr>
            <w:tcW w:w="7665" w:type="dxa"/>
          </w:tcPr>
          <w:p w:rsidRPr="00631431" w:rsidR="00631431" w:rsidRDefault="00631431" w14:paraId="5C28A7C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Pr="00631431" w:rsidR="00631431" w:rsidTr="00511DEF" w14:paraId="3CD0922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RDefault="00631431" w14:paraId="783411EF" w14:textId="77777777">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rsidRPr="00631431" w:rsidR="00631431" w:rsidRDefault="00631431" w14:paraId="00A1088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rsidRPr="00631431" w:rsidR="00631431" w:rsidP="00631431" w:rsidRDefault="00631431" w14:paraId="0F8EFB7B" w14:textId="77777777">
      <w:pPr>
        <w:rPr>
          <w:rFonts w:cs="Arial"/>
        </w:rPr>
      </w:pPr>
    </w:p>
    <w:p w:rsidRPr="00631431" w:rsidR="00631431" w:rsidP="00631431" w:rsidRDefault="00631431" w14:paraId="7B52677C" w14:textId="3439462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rsidRPr="00631431" w:rsidR="00631431" w:rsidP="00631431" w:rsidRDefault="00631431" w14:paraId="2358FD08"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360AC422"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27EFCE7C"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RDefault="00631431" w14:paraId="35D135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Pr="00631431" w:rsidR="00631431" w:rsidTr="00511DEF" w14:paraId="647BC7D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56131614"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RDefault="00631431" w14:paraId="3542F34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631431" w:rsidR="00631431" w:rsidTr="00511DEF" w14:paraId="358E1B7C"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7BAEE6F6"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RDefault="00535039" w14:paraId="7FDF535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19D73A36">
                <v:shape id="_x0000_i1026" style="width:194.25pt;height:93.75pt" alt="Microsoft Office Signature Line..." type="#_x0000_t75">
                  <v:imagedata o:title="" r:id="rId23"/>
                  <o:lock v:ext="edit" grouping="t" ungrouping="t" rotation="t" cropping="t" verticies="t" text="t"/>
                  <o:signatureline v:ext="edit" issignatureline="t" id="{FD6F036C-0FB5-4356-8A2C-F5C62981E1EA}" provid="{00000000-0000-0000-0000-000000000000}" allowcomments="t"/>
                </v:shape>
              </w:pict>
            </w:r>
          </w:p>
        </w:tc>
      </w:tr>
      <w:tr w:rsidRPr="00631431" w:rsidR="00631431" w:rsidTr="00511DEF" w14:paraId="66998C99"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27C131E6"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RDefault="00631431" w14:paraId="39A413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631431" w:rsidRDefault="00631431" w14:paraId="2BB3A898" w14:textId="77777777">
      <w:pPr>
        <w:rPr>
          <w:rFonts w:cs="Arial"/>
        </w:rPr>
      </w:pPr>
    </w:p>
    <w:p w:rsidRPr="00631431" w:rsidR="00631431" w:rsidP="00631431" w:rsidRDefault="00631431" w14:paraId="26578EFC" w14:textId="77777777">
      <w:pPr>
        <w:rPr>
          <w:rFonts w:cs="Arial"/>
        </w:rPr>
      </w:pPr>
    </w:p>
    <w:p w:rsidRPr="00631431" w:rsidR="00631431" w:rsidP="00631431" w:rsidRDefault="00631431" w14:paraId="08152321" w14:textId="77777777">
      <w:pPr>
        <w:rPr>
          <w:rFonts w:cs="Arial"/>
          <w:b/>
          <w:bCs/>
        </w:rPr>
      </w:pPr>
      <w:r w:rsidRPr="00631431">
        <w:rPr>
          <w:rFonts w:cs="Arial"/>
          <w:b/>
          <w:bCs/>
        </w:rPr>
        <w:t>Signed on behalf of Logicalis Australia</w:t>
      </w:r>
    </w:p>
    <w:p w:rsidRPr="00631431" w:rsidR="00631431" w:rsidP="00631431" w:rsidRDefault="00631431" w14:paraId="2DF16AB4"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08D9887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21973A55"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RDefault="00631431" w14:paraId="41A59889"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Pr="00631431" w:rsidR="00631431" w:rsidTr="00511DEF" w14:paraId="7ABF5D36"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1C5484F6"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RDefault="00631431" w14:paraId="717D9B6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Pr="00631431" w:rsidR="00631431" w:rsidTr="00511DEF" w14:paraId="48A72ED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1A67D3A2"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RDefault="00535039" w14:paraId="1C2EC0C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70E0D958">
                <v:shape id="_x0000_i1027" style="width:194.25pt;height:93.75pt" alt="Microsoft Office Signature Line..." type="#_x0000_t75">
                  <v:imagedata o:title="" r:id="rId23"/>
                  <o:lock v:ext="edit" grouping="t" ungrouping="t" rotation="t" cropping="t" verticies="t" text="t"/>
                  <o:signatureline v:ext="edit" issignatureline="t" id="{F4FB0ED6-258B-47BB-A690-F7CEF4E92222}" provid="{00000000-0000-0000-0000-000000000000}" allowcomments="t"/>
                </v:shape>
              </w:pict>
            </w:r>
          </w:p>
        </w:tc>
      </w:tr>
      <w:tr w:rsidRPr="00631431" w:rsidR="00631431" w:rsidTr="00511DEF" w14:paraId="79B0274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RDefault="00631431" w14:paraId="50BDF5E8"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RDefault="00631431" w14:paraId="228F976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511DEF" w:rsidRDefault="00631431" w14:paraId="4DC92ED9" w14:textId="2CB55C31">
      <w:pPr>
        <w:pStyle w:val="BodyText"/>
      </w:pPr>
    </w:p>
    <w:sectPr w:rsidRPr="00631431" w:rsidR="00631431" w:rsidSect="00C33283">
      <w:headerReference w:type="default" r:id="rId24"/>
      <w:footerReference w:type="default" r:id="rId25"/>
      <w:headerReference w:type="first" r:id="rId26"/>
      <w:type w:val="continuous"/>
      <w:pgSz w:w="11907" w:h="16839" w:orient="portrait"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D" w:author="Vendor TD Dani Nikolic" w:date="2024-01-31T11:44:00Z" w:id="34">
    <w:p w:rsidR="0072045D" w:rsidP="0072045D" w:rsidRDefault="0072045D" w14:paraId="0DC6D7AF" w14:textId="77777777">
      <w:pPr>
        <w:pStyle w:val="CommentText"/>
      </w:pPr>
      <w:r>
        <w:rPr>
          <w:rStyle w:val="CommentReference"/>
        </w:rPr>
        <w:annotationRef/>
      </w:r>
      <w:r>
        <w:t>Added Daily Cap</w:t>
      </w:r>
    </w:p>
  </w:comment>
  <w:comment w:initials="JP" w:author="Pond, Jeremy" w:date="2024-01-30T11:31:00Z" w:id="39">
    <w:p w:rsidR="00764B01" w:rsidP="00764B01" w:rsidRDefault="0077111B" w14:paraId="7E4391BA" w14:textId="4B8E23BE">
      <w:pPr>
        <w:pStyle w:val="CommentText"/>
      </w:pPr>
      <w:r>
        <w:rPr>
          <w:rStyle w:val="CommentReference"/>
        </w:rPr>
        <w:annotationRef/>
      </w:r>
      <w:r w:rsidR="00764B01">
        <w:t>Should we have a daily data cap limit in GBs in case the costs blow out ? Even if it is a large amount. Or at least for Non Prod it should be limited. Prod can have a higher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6D7AF" w15:done="0"/>
  <w15:commentEx w15:paraId="7E439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2A5F9" w16cex:dateUtc="2024-01-31T00:44:00Z"/>
  <w16cex:commentExtensible w16cex:durableId="2465878D" w16cex:dateUtc="2024-01-30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6D7AF" w16cid:durableId="2602A5F9"/>
  <w16cid:commentId w16cid:paraId="7E4391BA" w16cid:durableId="24658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D56EDF" w:rsidP="00256624" w:rsidRDefault="00D56EDF" w14:paraId="267728F3" w14:textId="77777777">
      <w:pPr>
        <w:spacing w:line="240" w:lineRule="auto"/>
        <w:rPr>
          <w:sz w:val="19"/>
          <w:szCs w:val="19"/>
        </w:rPr>
      </w:pPr>
      <w:r w:rsidRPr="00C33C38">
        <w:rPr>
          <w:sz w:val="19"/>
          <w:szCs w:val="19"/>
        </w:rPr>
        <w:separator/>
      </w:r>
    </w:p>
    <w:p w:rsidR="00D56EDF" w:rsidRDefault="00D56EDF" w14:paraId="446AB6D6" w14:textId="77777777"/>
    <w:p w:rsidR="00D56EDF" w:rsidRDefault="00D56EDF" w14:paraId="4CF5114C" w14:textId="77777777"/>
    <w:p w:rsidR="00D56EDF" w:rsidRDefault="00D56EDF" w14:paraId="70A57D7A" w14:textId="77777777"/>
  </w:endnote>
  <w:endnote w:type="continuationSeparator" w:id="0">
    <w:p w:rsidRPr="00C33C38" w:rsidR="00D56EDF" w:rsidP="00256624" w:rsidRDefault="00D56EDF" w14:paraId="7BF61864" w14:textId="77777777">
      <w:pPr>
        <w:spacing w:line="240" w:lineRule="auto"/>
        <w:rPr>
          <w:sz w:val="19"/>
          <w:szCs w:val="19"/>
        </w:rPr>
      </w:pPr>
      <w:r w:rsidRPr="00C33C38">
        <w:rPr>
          <w:sz w:val="19"/>
          <w:szCs w:val="19"/>
        </w:rPr>
        <w:continuationSeparator/>
      </w:r>
    </w:p>
    <w:p w:rsidR="00D56EDF" w:rsidRDefault="00D56EDF" w14:paraId="2B12BB5A" w14:textId="77777777"/>
    <w:p w:rsidR="00D56EDF" w:rsidRDefault="00D56EDF" w14:paraId="08AA2B77" w14:textId="77777777"/>
    <w:p w:rsidR="00D56EDF" w:rsidRDefault="00D56EDF" w14:paraId="03521773" w14:textId="77777777"/>
  </w:endnote>
  <w:endnote w:type="continuationNotice" w:id="1">
    <w:p w:rsidR="00D56EDF" w:rsidRDefault="00D56EDF" w14:paraId="480198B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D56EDF" w:rsidP="00BF472F" w:rsidRDefault="00D56EDF" w14:paraId="23D62218" w14:textId="77777777">
      <w:pPr>
        <w:pStyle w:val="BodyText"/>
      </w:pPr>
      <w:r w:rsidRPr="005F4D7E">
        <w:separator/>
      </w:r>
    </w:p>
    <w:p w:rsidR="00D56EDF" w:rsidRDefault="00D56EDF" w14:paraId="68E6C390" w14:textId="77777777"/>
    <w:p w:rsidR="00D56EDF" w:rsidRDefault="00D56EDF" w14:paraId="77E96B23" w14:textId="77777777"/>
  </w:footnote>
  <w:footnote w:type="continuationSeparator" w:id="0">
    <w:p w:rsidRPr="00C33C38" w:rsidR="00D56EDF" w:rsidP="005F4D7E" w:rsidRDefault="00D56EDF" w14:paraId="74965A22" w14:textId="77777777">
      <w:r w:rsidRPr="00C33C38">
        <w:continuationSeparator/>
      </w:r>
    </w:p>
    <w:p w:rsidR="00D56EDF" w:rsidRDefault="00D56EDF" w14:paraId="470CC409" w14:textId="77777777"/>
    <w:p w:rsidR="00D56EDF" w:rsidRDefault="00D56EDF" w14:paraId="4FC96682" w14:textId="77777777"/>
  </w:footnote>
  <w:footnote w:type="continuationNotice" w:id="1">
    <w:p w:rsidRPr="005F4D7E" w:rsidR="00D56EDF" w:rsidP="00C97369" w:rsidRDefault="00D56EDF" w14:paraId="33C6DEBC" w14:textId="77777777">
      <w:pPr>
        <w:pStyle w:val="Footer"/>
      </w:pPr>
    </w:p>
    <w:p w:rsidR="00D56EDF" w:rsidRDefault="00D56EDF" w14:paraId="6F5B9D99" w14:textId="77777777"/>
    <w:p w:rsidR="00D56EDF" w:rsidRDefault="00D56EDF" w14:paraId="28B9E57A"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0141AB" w:rsidR="000141AB" w:rsidRDefault="000141AB" w14:paraId="098D972D" w14:textId="04B7B711">
      <w:pPr>
        <w:pStyle w:val="FootnoteText"/>
        <w:rPr>
          <w:lang w:val="en-US"/>
        </w:rPr>
      </w:pPr>
      <w:r>
        <w:rPr>
          <w:rStyle w:val="FootnoteReference"/>
        </w:rPr>
        <w:footnoteRef/>
      </w:r>
      <w:r>
        <w:t xml:space="preserve"> </w:t>
      </w:r>
      <w:r w:rsidRPr="000141AB">
        <w:t>https://azure.microsoft.com/en-us/pricing/details/monitor/</w:t>
      </w:r>
    </w:p>
  </w:footnote>
  <w:footnote w:id="4">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5">
    <w:p w:rsidRPr="008B7613" w:rsidR="008B7613" w:rsidRDefault="008B7613" w14:paraId="6B2F842B" w14:textId="304BCC91">
      <w:pPr>
        <w:pStyle w:val="FootnoteText"/>
        <w:rPr>
          <w:lang w:val="en-US"/>
        </w:rPr>
      </w:pPr>
      <w:r>
        <w:rPr>
          <w:rStyle w:val="FootnoteReference"/>
        </w:rPr>
        <w:footnoteRef/>
      </w:r>
      <w:r>
        <w:t xml:space="preserve"> </w:t>
      </w:r>
      <w:r w:rsidRPr="008B7613">
        <w:t>https://learn.microsoft.com/en-us/azure/well-architected/cost/overview</w:t>
      </w:r>
    </w:p>
  </w:footnote>
  <w:footnote w:id="6">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7">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rsidRPr="00F674DD" w:rsidR="00F674DD" w:rsidRDefault="00F674DD" w14:paraId="7BC8DB7F" w14:textId="2D905FC5">
      <w:pPr>
        <w:pStyle w:val="FootnoteText"/>
        <w:rPr>
          <w:lang w:val="en-US"/>
        </w:rPr>
      </w:pPr>
      <w:r>
        <w:rPr>
          <w:rStyle w:val="FootnoteReference"/>
        </w:rPr>
        <w:footnoteRef/>
      </w:r>
      <w:r>
        <w:t xml:space="preserve"> </w:t>
      </w:r>
      <w:r w:rsidRPr="00F674DD">
        <w:t>https://learn.microsoft.com/en-us/azure/azure-monitor/logs/log-analytics-workspace-overview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102E11FD">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9B660B">
          <w:rPr>
            <w:color w:val="auto"/>
            <w:sz w:val="20"/>
            <w:szCs w:val="20"/>
          </w:rPr>
          <w:t>Log Analytics Workspace</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5" w15:restartNumberingAfterBreak="0">
    <w:nsid w:val="22F55AF5"/>
    <w:multiLevelType w:val="multilevel"/>
    <w:tmpl w:val="66C4E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0" w15:restartNumberingAfterBreak="0">
    <w:nsid w:val="3E1D161F"/>
    <w:multiLevelType w:val="multilevel"/>
    <w:tmpl w:val="A7EA5B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28" w15:restartNumberingAfterBreak="0">
    <w:nsid w:val="58592632"/>
    <w:multiLevelType w:val="hybridMultilevel"/>
    <w:tmpl w:val="2A54483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0"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3"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2"/>
  </w:num>
  <w:num w:numId="3" w16cid:durableId="1518273573">
    <w:abstractNumId w:val="0"/>
  </w:num>
  <w:num w:numId="4" w16cid:durableId="331490005">
    <w:abstractNumId w:val="13"/>
  </w:num>
  <w:num w:numId="5" w16cid:durableId="1883208813">
    <w:abstractNumId w:val="17"/>
  </w:num>
  <w:num w:numId="6" w16cid:durableId="1009648220">
    <w:abstractNumId w:val="24"/>
  </w:num>
  <w:num w:numId="7" w16cid:durableId="1148132004">
    <w:abstractNumId w:val="2"/>
  </w:num>
  <w:num w:numId="8" w16cid:durableId="188762563">
    <w:abstractNumId w:val="4"/>
  </w:num>
  <w:num w:numId="9" w16cid:durableId="129715755">
    <w:abstractNumId w:val="19"/>
  </w:num>
  <w:num w:numId="10" w16cid:durableId="238442199">
    <w:abstractNumId w:val="26"/>
  </w:num>
  <w:num w:numId="11" w16cid:durableId="1425227610">
    <w:abstractNumId w:val="37"/>
  </w:num>
  <w:num w:numId="12" w16cid:durableId="1809323372">
    <w:abstractNumId w:val="7"/>
  </w:num>
  <w:num w:numId="13" w16cid:durableId="570582799">
    <w:abstractNumId w:val="33"/>
  </w:num>
  <w:num w:numId="14" w16cid:durableId="1111240024">
    <w:abstractNumId w:val="21"/>
  </w:num>
  <w:num w:numId="15" w16cid:durableId="819345174">
    <w:abstractNumId w:val="3"/>
  </w:num>
  <w:num w:numId="16" w16cid:durableId="1647275130">
    <w:abstractNumId w:val="31"/>
  </w:num>
  <w:num w:numId="17" w16cid:durableId="474832808">
    <w:abstractNumId w:val="18"/>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0"/>
  </w:num>
  <w:num w:numId="26" w16cid:durableId="147866691">
    <w:abstractNumId w:val="38"/>
  </w:num>
  <w:num w:numId="27" w16cid:durableId="635766740">
    <w:abstractNumId w:val="35"/>
  </w:num>
  <w:num w:numId="28" w16cid:durableId="79109722">
    <w:abstractNumId w:val="2"/>
  </w:num>
  <w:num w:numId="29" w16cid:durableId="874195412">
    <w:abstractNumId w:val="32"/>
  </w:num>
  <w:num w:numId="30" w16cid:durableId="1736583244">
    <w:abstractNumId w:val="9"/>
  </w:num>
  <w:num w:numId="31" w16cid:durableId="1167750566">
    <w:abstractNumId w:val="8"/>
  </w:num>
  <w:num w:numId="32" w16cid:durableId="1983267767">
    <w:abstractNumId w:val="36"/>
  </w:num>
  <w:num w:numId="33" w16cid:durableId="1762294583">
    <w:abstractNumId w:val="23"/>
  </w:num>
  <w:num w:numId="34" w16cid:durableId="420026796">
    <w:abstractNumId w:val="20"/>
  </w:num>
  <w:num w:numId="35" w16cid:durableId="51734108">
    <w:abstractNumId w:val="15"/>
  </w:num>
  <w:num w:numId="36" w16cid:durableId="241987299">
    <w:abstractNumId w:val="28"/>
  </w:num>
  <w:num w:numId="37" w16cid:durableId="532034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dor TD Dani Nikolic">
    <w15:presenceInfo w15:providerId="AD" w15:userId="S::ven1tddn@AMBULANCE.VIC.GOV.AU::c3863914-f871-422a-985a-f650b28b83ee"/>
  </w15:person>
  <w15:person w15:author="Pond, Jeremy">
    <w15:presenceInfo w15:providerId="AD" w15:userId="S::Jeremy.Pond@ambulance.vic.gov.au::aedccd2d-b9c9-49d6-97d2-a72360bbdd0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000"/>
    <w:rsid w:val="00000194"/>
    <w:rsid w:val="00001628"/>
    <w:rsid w:val="000019EA"/>
    <w:rsid w:val="000035F6"/>
    <w:rsid w:val="00003ED0"/>
    <w:rsid w:val="000042FD"/>
    <w:rsid w:val="000043B6"/>
    <w:rsid w:val="00004810"/>
    <w:rsid w:val="00004A68"/>
    <w:rsid w:val="00006A51"/>
    <w:rsid w:val="00006C3A"/>
    <w:rsid w:val="00006D6F"/>
    <w:rsid w:val="00007510"/>
    <w:rsid w:val="00007614"/>
    <w:rsid w:val="0000772E"/>
    <w:rsid w:val="0001021B"/>
    <w:rsid w:val="000105A9"/>
    <w:rsid w:val="00011166"/>
    <w:rsid w:val="000123D2"/>
    <w:rsid w:val="000125A5"/>
    <w:rsid w:val="000141AB"/>
    <w:rsid w:val="000142A8"/>
    <w:rsid w:val="00014792"/>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32F7"/>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2625"/>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1151"/>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0D30"/>
    <w:rsid w:val="00152AF0"/>
    <w:rsid w:val="00152DEB"/>
    <w:rsid w:val="001536B2"/>
    <w:rsid w:val="00155B41"/>
    <w:rsid w:val="001563FD"/>
    <w:rsid w:val="00156B28"/>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67DC6"/>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55C6"/>
    <w:rsid w:val="001874D7"/>
    <w:rsid w:val="0018795C"/>
    <w:rsid w:val="00190365"/>
    <w:rsid w:val="0019051E"/>
    <w:rsid w:val="00190F39"/>
    <w:rsid w:val="00193CE4"/>
    <w:rsid w:val="001942E2"/>
    <w:rsid w:val="001948DE"/>
    <w:rsid w:val="00194B60"/>
    <w:rsid w:val="001956D0"/>
    <w:rsid w:val="00195CFA"/>
    <w:rsid w:val="00195D19"/>
    <w:rsid w:val="001965DE"/>
    <w:rsid w:val="00196F2E"/>
    <w:rsid w:val="00197B50"/>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1FC6"/>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06B"/>
    <w:rsid w:val="00366113"/>
    <w:rsid w:val="003667EB"/>
    <w:rsid w:val="00366E1B"/>
    <w:rsid w:val="003670C0"/>
    <w:rsid w:val="003671D4"/>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4F71"/>
    <w:rsid w:val="003954FA"/>
    <w:rsid w:val="003960B3"/>
    <w:rsid w:val="00396661"/>
    <w:rsid w:val="0039701A"/>
    <w:rsid w:val="003972DF"/>
    <w:rsid w:val="00397F7A"/>
    <w:rsid w:val="003A02AE"/>
    <w:rsid w:val="003A0965"/>
    <w:rsid w:val="003A0F33"/>
    <w:rsid w:val="003A205E"/>
    <w:rsid w:val="003A2E8B"/>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737"/>
    <w:rsid w:val="003C3B57"/>
    <w:rsid w:val="003C3B67"/>
    <w:rsid w:val="003C3E74"/>
    <w:rsid w:val="003C4C72"/>
    <w:rsid w:val="003C5282"/>
    <w:rsid w:val="003C54E0"/>
    <w:rsid w:val="003C79B3"/>
    <w:rsid w:val="003D0ACE"/>
    <w:rsid w:val="003D0C47"/>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4AF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AA7"/>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0EC3"/>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686"/>
    <w:rsid w:val="004D085E"/>
    <w:rsid w:val="004D0CA6"/>
    <w:rsid w:val="004D279A"/>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94D"/>
    <w:rsid w:val="00513D22"/>
    <w:rsid w:val="00513E47"/>
    <w:rsid w:val="005153DC"/>
    <w:rsid w:val="0051682F"/>
    <w:rsid w:val="00517E9C"/>
    <w:rsid w:val="005202C1"/>
    <w:rsid w:val="00520860"/>
    <w:rsid w:val="00521502"/>
    <w:rsid w:val="00522412"/>
    <w:rsid w:val="00523E73"/>
    <w:rsid w:val="0052590C"/>
    <w:rsid w:val="00525B21"/>
    <w:rsid w:val="0052671C"/>
    <w:rsid w:val="00526728"/>
    <w:rsid w:val="0052700E"/>
    <w:rsid w:val="005272DD"/>
    <w:rsid w:val="00527A0B"/>
    <w:rsid w:val="00527BD6"/>
    <w:rsid w:val="00531BE4"/>
    <w:rsid w:val="005327B9"/>
    <w:rsid w:val="00533304"/>
    <w:rsid w:val="0053481B"/>
    <w:rsid w:val="00534C52"/>
    <w:rsid w:val="00535039"/>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0FCA"/>
    <w:rsid w:val="005516A4"/>
    <w:rsid w:val="005516E4"/>
    <w:rsid w:val="0055198C"/>
    <w:rsid w:val="0055254F"/>
    <w:rsid w:val="00553612"/>
    <w:rsid w:val="005542F9"/>
    <w:rsid w:val="00554655"/>
    <w:rsid w:val="00554A12"/>
    <w:rsid w:val="00557481"/>
    <w:rsid w:val="0055774D"/>
    <w:rsid w:val="00557A61"/>
    <w:rsid w:val="00560232"/>
    <w:rsid w:val="00560B95"/>
    <w:rsid w:val="00560D2E"/>
    <w:rsid w:val="00561458"/>
    <w:rsid w:val="00561DAB"/>
    <w:rsid w:val="00561FA0"/>
    <w:rsid w:val="005627CD"/>
    <w:rsid w:val="005632C9"/>
    <w:rsid w:val="00563967"/>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5F9D"/>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3A0D"/>
    <w:rsid w:val="00624DF3"/>
    <w:rsid w:val="006254C4"/>
    <w:rsid w:val="006265A6"/>
    <w:rsid w:val="006266E6"/>
    <w:rsid w:val="0062730A"/>
    <w:rsid w:val="00627FD3"/>
    <w:rsid w:val="00630EAB"/>
    <w:rsid w:val="0063141B"/>
    <w:rsid w:val="00631431"/>
    <w:rsid w:val="006319C4"/>
    <w:rsid w:val="00631BA5"/>
    <w:rsid w:val="00632211"/>
    <w:rsid w:val="00632F36"/>
    <w:rsid w:val="0063360F"/>
    <w:rsid w:val="00633B64"/>
    <w:rsid w:val="00634059"/>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2374"/>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A04"/>
    <w:rsid w:val="00712F84"/>
    <w:rsid w:val="0071366C"/>
    <w:rsid w:val="0071370F"/>
    <w:rsid w:val="00715422"/>
    <w:rsid w:val="00715639"/>
    <w:rsid w:val="007164CC"/>
    <w:rsid w:val="00717478"/>
    <w:rsid w:val="0071771A"/>
    <w:rsid w:val="00717822"/>
    <w:rsid w:val="00720389"/>
    <w:rsid w:val="0072045D"/>
    <w:rsid w:val="0072084C"/>
    <w:rsid w:val="007212F4"/>
    <w:rsid w:val="007217F6"/>
    <w:rsid w:val="00721B0D"/>
    <w:rsid w:val="00721E9F"/>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B01"/>
    <w:rsid w:val="00764D97"/>
    <w:rsid w:val="00765B60"/>
    <w:rsid w:val="007661B9"/>
    <w:rsid w:val="007663EC"/>
    <w:rsid w:val="00766587"/>
    <w:rsid w:val="00766D74"/>
    <w:rsid w:val="007678BD"/>
    <w:rsid w:val="00767A66"/>
    <w:rsid w:val="007706BC"/>
    <w:rsid w:val="007709EE"/>
    <w:rsid w:val="00770E64"/>
    <w:rsid w:val="0077111B"/>
    <w:rsid w:val="007715C5"/>
    <w:rsid w:val="00772083"/>
    <w:rsid w:val="007721CE"/>
    <w:rsid w:val="007725BD"/>
    <w:rsid w:val="00772602"/>
    <w:rsid w:val="00775D4A"/>
    <w:rsid w:val="0077620E"/>
    <w:rsid w:val="007762BD"/>
    <w:rsid w:val="0077634C"/>
    <w:rsid w:val="00777A97"/>
    <w:rsid w:val="00777C7B"/>
    <w:rsid w:val="0078097C"/>
    <w:rsid w:val="00780A66"/>
    <w:rsid w:val="00780F87"/>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4029"/>
    <w:rsid w:val="00795A3E"/>
    <w:rsid w:val="00795D98"/>
    <w:rsid w:val="00796548"/>
    <w:rsid w:val="00796BD1"/>
    <w:rsid w:val="00797ACC"/>
    <w:rsid w:val="007A0CFA"/>
    <w:rsid w:val="007A0EE2"/>
    <w:rsid w:val="007A1D80"/>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AA1"/>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1E8"/>
    <w:rsid w:val="00832A33"/>
    <w:rsid w:val="00832A9C"/>
    <w:rsid w:val="008333F6"/>
    <w:rsid w:val="0083435D"/>
    <w:rsid w:val="0083440F"/>
    <w:rsid w:val="008346EA"/>
    <w:rsid w:val="00834F97"/>
    <w:rsid w:val="0083532A"/>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157B"/>
    <w:rsid w:val="008623B2"/>
    <w:rsid w:val="008625C9"/>
    <w:rsid w:val="008625F4"/>
    <w:rsid w:val="0086271C"/>
    <w:rsid w:val="0086389E"/>
    <w:rsid w:val="00864874"/>
    <w:rsid w:val="0086499C"/>
    <w:rsid w:val="00864D16"/>
    <w:rsid w:val="00866D46"/>
    <w:rsid w:val="00867018"/>
    <w:rsid w:val="00867A9A"/>
    <w:rsid w:val="00867D73"/>
    <w:rsid w:val="008700B8"/>
    <w:rsid w:val="00870965"/>
    <w:rsid w:val="00870A00"/>
    <w:rsid w:val="00870E66"/>
    <w:rsid w:val="00871382"/>
    <w:rsid w:val="008717E0"/>
    <w:rsid w:val="008718A2"/>
    <w:rsid w:val="008719A5"/>
    <w:rsid w:val="00871A40"/>
    <w:rsid w:val="008724B9"/>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05DB"/>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07FF"/>
    <w:rsid w:val="008D118E"/>
    <w:rsid w:val="008D1451"/>
    <w:rsid w:val="008D17E6"/>
    <w:rsid w:val="008D2381"/>
    <w:rsid w:val="008D27A1"/>
    <w:rsid w:val="008D29EC"/>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6E24"/>
    <w:rsid w:val="008E77AF"/>
    <w:rsid w:val="008E7E66"/>
    <w:rsid w:val="008F1D01"/>
    <w:rsid w:val="008F1DF6"/>
    <w:rsid w:val="008F2B26"/>
    <w:rsid w:val="008F441F"/>
    <w:rsid w:val="008F55C8"/>
    <w:rsid w:val="008F5757"/>
    <w:rsid w:val="008F7501"/>
    <w:rsid w:val="008F752F"/>
    <w:rsid w:val="00900129"/>
    <w:rsid w:val="009004A6"/>
    <w:rsid w:val="0090090A"/>
    <w:rsid w:val="00900C0C"/>
    <w:rsid w:val="00900E43"/>
    <w:rsid w:val="0090120B"/>
    <w:rsid w:val="00902D03"/>
    <w:rsid w:val="00903693"/>
    <w:rsid w:val="00904F2D"/>
    <w:rsid w:val="009063BC"/>
    <w:rsid w:val="009068BC"/>
    <w:rsid w:val="0090780F"/>
    <w:rsid w:val="0090788B"/>
    <w:rsid w:val="00910243"/>
    <w:rsid w:val="0091073A"/>
    <w:rsid w:val="00910879"/>
    <w:rsid w:val="00911357"/>
    <w:rsid w:val="00911E78"/>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5AE"/>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67B02"/>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23C"/>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6B1A"/>
    <w:rsid w:val="009A7701"/>
    <w:rsid w:val="009A78D4"/>
    <w:rsid w:val="009B0526"/>
    <w:rsid w:val="009B0F0F"/>
    <w:rsid w:val="009B0FBD"/>
    <w:rsid w:val="009B17A1"/>
    <w:rsid w:val="009B2E13"/>
    <w:rsid w:val="009B3B6E"/>
    <w:rsid w:val="009B660B"/>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213C"/>
    <w:rsid w:val="00A236AE"/>
    <w:rsid w:val="00A2375C"/>
    <w:rsid w:val="00A23809"/>
    <w:rsid w:val="00A23A5B"/>
    <w:rsid w:val="00A24A7C"/>
    <w:rsid w:val="00A24B4B"/>
    <w:rsid w:val="00A2568B"/>
    <w:rsid w:val="00A261BF"/>
    <w:rsid w:val="00A272A7"/>
    <w:rsid w:val="00A277D3"/>
    <w:rsid w:val="00A27C0C"/>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444"/>
    <w:rsid w:val="00AC6A9B"/>
    <w:rsid w:val="00AC72F0"/>
    <w:rsid w:val="00AD1B5F"/>
    <w:rsid w:val="00AD28F7"/>
    <w:rsid w:val="00AD2A58"/>
    <w:rsid w:val="00AD3168"/>
    <w:rsid w:val="00AD329C"/>
    <w:rsid w:val="00AD3907"/>
    <w:rsid w:val="00AD3B28"/>
    <w:rsid w:val="00AD4B18"/>
    <w:rsid w:val="00AD5026"/>
    <w:rsid w:val="00AD5316"/>
    <w:rsid w:val="00AD5503"/>
    <w:rsid w:val="00AD57A8"/>
    <w:rsid w:val="00AD60C1"/>
    <w:rsid w:val="00AD6D3F"/>
    <w:rsid w:val="00AD6DB1"/>
    <w:rsid w:val="00AD7688"/>
    <w:rsid w:val="00AD7C2D"/>
    <w:rsid w:val="00AE0455"/>
    <w:rsid w:val="00AE1158"/>
    <w:rsid w:val="00AE11FA"/>
    <w:rsid w:val="00AE1241"/>
    <w:rsid w:val="00AE1838"/>
    <w:rsid w:val="00AE1AB7"/>
    <w:rsid w:val="00AE1ECA"/>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4B1B"/>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B66"/>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AF9"/>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91B"/>
    <w:rsid w:val="00BE1B7A"/>
    <w:rsid w:val="00BE1D42"/>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4974"/>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6A"/>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6BAA"/>
    <w:rsid w:val="00CA739C"/>
    <w:rsid w:val="00CA74E0"/>
    <w:rsid w:val="00CA7B39"/>
    <w:rsid w:val="00CB07C4"/>
    <w:rsid w:val="00CB0DE0"/>
    <w:rsid w:val="00CB1147"/>
    <w:rsid w:val="00CB2F0A"/>
    <w:rsid w:val="00CB42B2"/>
    <w:rsid w:val="00CB4676"/>
    <w:rsid w:val="00CB51E5"/>
    <w:rsid w:val="00CB541B"/>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1B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A56"/>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78"/>
    <w:rsid w:val="00D51B89"/>
    <w:rsid w:val="00D51E2C"/>
    <w:rsid w:val="00D52139"/>
    <w:rsid w:val="00D539E9"/>
    <w:rsid w:val="00D53FB2"/>
    <w:rsid w:val="00D544DD"/>
    <w:rsid w:val="00D55B0C"/>
    <w:rsid w:val="00D55B8F"/>
    <w:rsid w:val="00D56ED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3A1A"/>
    <w:rsid w:val="00DB438E"/>
    <w:rsid w:val="00DB4518"/>
    <w:rsid w:val="00DB4CC5"/>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540"/>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59CF"/>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324"/>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338"/>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4DD"/>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3E6B"/>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4090"/>
    <w:rsid w:val="00FE5304"/>
    <w:rsid w:val="00FE5982"/>
    <w:rsid w:val="00FE5D7C"/>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DD5F0DF"/>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6FEB921"/>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8ADE09A0-69BA-4AE4-9C73-4811B70BD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styleId="TableBodyText" w:customStyle="1">
    <w:name w:val="Table Body Text"/>
    <w:basedOn w:val="Normal"/>
    <w:qFormat/>
    <w:rsid w:val="00F92281"/>
    <w:pPr>
      <w:spacing w:before="80" w:after="80"/>
      <w:ind w:left="57" w:right="57"/>
    </w:p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spacing w:line="240" w:lineRule="auto"/>
    </w:pPr>
    <w:rPr>
      <w:rFonts w:ascii="Montserrat Light" w:hAnsi="Montserrat Light" w:eastAsia="Arial"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hAnsi="Montserrat Light" w:eastAsia="Arial" w:cs="Arial"/>
      <w:color w:val="FF1414"/>
      <w:sz w:val="28"/>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ascii="Times New Roman" w:hAnsi="Montserrat Light" w:eastAsia="Arial"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eastAsia="Times"/>
      <w:color w:val="auto"/>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contentcontrolboundarysink" w:customStyle="1">
    <w:name w:val="contentcontrolboundarysink"/>
    <w:basedOn w:val="DefaultParagraphFont"/>
    <w:rsid w:val="00631431"/>
  </w:style>
  <w:style w:type="character" w:styleId="wacimagecontainer" w:customStyle="1">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58323616">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762243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70890337">
      <w:bodyDiv w:val="1"/>
      <w:marLeft w:val="0"/>
      <w:marRight w:val="0"/>
      <w:marTop w:val="0"/>
      <w:marBottom w:val="0"/>
      <w:divBdr>
        <w:top w:val="none" w:sz="0" w:space="0" w:color="auto"/>
        <w:left w:val="none" w:sz="0" w:space="0" w:color="auto"/>
        <w:bottom w:val="none" w:sz="0" w:space="0" w:color="auto"/>
        <w:right w:val="none" w:sz="0" w:space="0" w:color="auto"/>
      </w:divBdr>
      <w:divsChild>
        <w:div w:id="58944314">
          <w:marLeft w:val="0"/>
          <w:marRight w:val="0"/>
          <w:marTop w:val="0"/>
          <w:marBottom w:val="0"/>
          <w:divBdr>
            <w:top w:val="none" w:sz="0" w:space="0" w:color="auto"/>
            <w:left w:val="none" w:sz="0" w:space="0" w:color="auto"/>
            <w:bottom w:val="none" w:sz="0" w:space="0" w:color="auto"/>
            <w:right w:val="none" w:sz="0" w:space="0" w:color="auto"/>
          </w:divBdr>
        </w:div>
      </w:divsChild>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package" Target="embeddings/Microsoft_Visio_Drawing.vsdx"/><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1/relationships/commentsExtended" Target="commentsExtended.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image" Target="media/image2.emf"/><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microsoft.com/office/2018/08/relationships/commentsExtensible" Target="commentsExtensible.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xmlns:wp14="http://schemas.microsoft.com/office/word/2010/wordml" w:rsidR="00E97512" w:rsidRDefault="00E97512" w14:paraId="508EAAEE" wp14:textId="77777777">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xmlns:wp14="http://schemas.microsoft.com/office/word/2010/wordml" w:rsidR="00E97512" w:rsidRDefault="00E97512" w14:paraId="62FE8563" wp14:textId="77777777">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xmlns:wp14="http://schemas.microsoft.com/office/word/2010/wordml" w:rsidR="00E97512" w:rsidRDefault="00E97512" w14:paraId="3E0917D2" wp14:textId="77777777">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xmlns:wp14="http://schemas.microsoft.com/office/word/2010/wordml" w:rsidR="00E97512" w:rsidRDefault="00E97512" w14:paraId="5D9BCB1C" wp14:textId="77777777">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xmlns:wp14="http://schemas.microsoft.com/office/word/2010/wordml" w:rsidR="00E97512" w:rsidRDefault="00E97512" w14:paraId="5052147F" wp14:textId="77777777">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xmlns:wp14="http://schemas.microsoft.com/office/word/2010/wordml" w:rsidR="00E97512" w:rsidRDefault="00E97512" w14:paraId="115E4533" wp14:textId="77777777">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xmlns:wp14="http://schemas.microsoft.com/office/word/2010/wordml" w:rsidR="00E97512" w:rsidRDefault="00E97512" w14:paraId="5F650911" wp14:textId="77777777">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xmlns:wp14="http://schemas.microsoft.com/office/word/2010/wordml" w:rsidR="00E97512" w:rsidRDefault="00E97512" w14:paraId="02A673A5" wp14:textId="77777777">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xmlns:wp14="http://schemas.microsoft.com/office/word/2010/wordml" w:rsidR="00E97512" w:rsidRDefault="00E97512" w14:paraId="5F47FA74" wp14:textId="77777777">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xmlns:wp14="http://schemas.microsoft.com/office/word/2010/wordml" w:rsidR="00E97512" w:rsidP="00E97512" w:rsidRDefault="00E97512" w14:paraId="5AB579E7" wp14:textId="77777777">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xmlns:wp14="http://schemas.microsoft.com/office/word/2010/wordml" w:rsidR="00E97512" w:rsidP="00E97512" w:rsidRDefault="00E97512" w14:paraId="04BD12F8" wp14:textId="77777777">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xmlns:wp14="http://schemas.microsoft.com/office/word/2010/wordml" w:rsidR="00B060B6" w:rsidRDefault="00B060B6" w14:paraId="0DF1D221" wp14:textId="77777777">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xmlns:wp14="http://schemas.microsoft.com/office/word/2010/wordml" w:rsidR="00B060B6" w:rsidP="00B060B6" w:rsidRDefault="00B060B6" w14:paraId="32DF4469" wp14:textId="77777777">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xmlns:wp14="http://schemas.microsoft.com/office/word/2010/wordml" w:rsidR="00B060B6" w:rsidP="00B060B6" w:rsidRDefault="00B060B6" w14:paraId="4CDAA4A5" wp14:textId="77777777">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xmlns:wp14="http://schemas.microsoft.com/office/word/2010/wordml" w:rsidR="00F513E2" w:rsidRDefault="00F513E2" w14:paraId="1E9D3A78" wp14:textId="77777777">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xmlns:wp14="http://schemas.microsoft.com/office/word/2010/wordml" w:rsidR="00D738BF" w:rsidP="00D738BF" w:rsidRDefault="00D738BF" w14:paraId="165223A2" wp14:textId="77777777">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xmlns:wp14="http://schemas.microsoft.com/office/word/2010/wordml" w:rsidR="00D738BF" w:rsidP="00D738BF" w:rsidRDefault="00D738BF" w14:paraId="3E4F6973" wp14:textId="77777777">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31A06"/>
    <w:rsid w:val="005E2CCE"/>
    <w:rsid w:val="00AC5467"/>
    <w:rsid w:val="00B060B6"/>
    <w:rsid w:val="00B935AE"/>
    <w:rsid w:val="00D738BF"/>
    <w:rsid w:val="00E97512"/>
    <w:rsid w:val="00F44183"/>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5.xml><?xml version="1.0" encoding="utf-8"?>
<ds:datastoreItem xmlns:ds="http://schemas.openxmlformats.org/officeDocument/2006/customXml" ds:itemID="{A4C00263-9A87-4D7B-8C7C-635A05672B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 Minutes - Executive</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Fiona;cpasselegue@metapm.com.au</dc:creator>
  <keywords/>
  <lastModifiedBy>Smith, Paul (Security)</lastModifiedBy>
  <revision>174</revision>
  <lastPrinted>2018-06-30T16:11:00.0000000Z</lastPrinted>
  <dcterms:created xsi:type="dcterms:W3CDTF">2023-11-13T18:49:00.0000000Z</dcterms:created>
  <dcterms:modified xsi:type="dcterms:W3CDTF">2024-01-31T03:09:32.3730579Z</dcterms:modified>
  <category>Log Analytics Workspace</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1ad9e872-5796-4b1a-b95a-5a770a1fd8b4</vt:lpwstr>
  </property>
  <property fmtid="{D5CDD505-2E9C-101B-9397-08002B2CF9AE}" pid="5" name="ResourceName">
    <vt:lpwstr>ResourceName</vt:lpwstr>
  </property>
</Properties>
</file>