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color w:val="2B579A"/>
          <w:shd w:val="clear" w:color="auto" w:fill="E6E6E6"/>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v:shapetype id="_x0000_t6" coordsize="21600,21600" o:spt="6" path="m,l,21600r21600,xe" w14:anchorId="6436D021">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color w:val="2B579A"/>
          <w:shd w:val="clear" w:color="auto" w:fill="E6E6E6"/>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7007BE4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shd w:val="clear" w:color="auto" w:fill="E6E6E6"/>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D94CC2">
                                  <w:rPr>
                                    <w:b/>
                                    <w:bCs/>
                                    <w:color w:val="FFFFFF" w:themeColor="background1"/>
                                    <w:sz w:val="48"/>
                                    <w:szCs w:val="48"/>
                                  </w:rPr>
                                  <w:t>Azure Monitor</w:t>
                                </w:r>
                                <w:r w:rsidR="00CB62C3">
                                  <w:rPr>
                                    <w:b/>
                                    <w:bCs/>
                                    <w:color w:val="FFFFFF" w:themeColor="background1"/>
                                    <w:sz w:val="48"/>
                                    <w:szCs w:val="48"/>
                                  </w:rPr>
                                  <w:t xml:space="preserve"> and Insights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7007BE42">
                      <w:pPr>
                        <w:rPr>
                          <w:b/>
                          <w:bCs/>
                          <w:color w:val="FFFFFF" w:themeColor="background1"/>
                          <w:sz w:val="48"/>
                          <w:szCs w:val="48"/>
                        </w:rPr>
                      </w:pPr>
                      <w:r>
                        <w:rPr>
                          <w:b/>
                          <w:bCs/>
                          <w:color w:val="FFFFFF" w:themeColor="background1"/>
                          <w:sz w:val="48"/>
                          <w:szCs w:val="48"/>
                        </w:rPr>
                        <w:tab/>
                      </w:r>
                      <w:sdt>
                        <w:sdtPr>
                          <w:rPr>
                            <w:b/>
                            <w:bCs/>
                            <w:color w:val="FFFFFF" w:themeColor="background1"/>
                            <w:sz w:val="48"/>
                            <w:szCs w:val="48"/>
                            <w:shd w:val="clear" w:color="auto" w:fill="E6E6E6"/>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D94CC2">
                            <w:rPr>
                              <w:b/>
                              <w:bCs/>
                              <w:color w:val="FFFFFF" w:themeColor="background1"/>
                              <w:sz w:val="48"/>
                              <w:szCs w:val="48"/>
                            </w:rPr>
                            <w:t>Azure Monitor</w:t>
                          </w:r>
                          <w:r w:rsidR="00CB62C3">
                            <w:rPr>
                              <w:b/>
                              <w:bCs/>
                              <w:color w:val="FFFFFF" w:themeColor="background1"/>
                              <w:sz w:val="48"/>
                              <w:szCs w:val="48"/>
                            </w:rPr>
                            <w:t xml:space="preserve"> and Insights</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D94CC2">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t>IT Owner Details</w:t>
            </w:r>
          </w:p>
        </w:tc>
      </w:tr>
      <w:tr w:rsidR="00502938" w:rsidRPr="00330EB3" w14:paraId="02911C77" w14:textId="77777777" w:rsidTr="00D94CC2">
        <w:tc>
          <w:tcPr>
            <w:tcW w:w="2121" w:type="dxa"/>
            <w:shd w:val="clear" w:color="auto" w:fill="002060"/>
          </w:tcPr>
          <w:p w14:paraId="6D574233" w14:textId="77777777" w:rsidR="00502938" w:rsidRPr="00330EB3" w:rsidRDefault="00502938" w:rsidP="00F94C6F">
            <w:pPr>
              <w:pStyle w:val="BodyText"/>
              <w:ind w:left="0"/>
              <w:rPr>
                <w:rFonts w:cs="Arial"/>
                <w:b/>
                <w:bCs/>
                <w:color w:val="FFFFFF" w:themeColor="background1"/>
              </w:rPr>
            </w:pPr>
            <w:r>
              <w:rPr>
                <w:rFonts w:cs="Arial"/>
                <w:b/>
                <w:bCs/>
                <w:color w:val="FFFFFF" w:themeColor="background1"/>
              </w:rPr>
              <w:t xml:space="preserve"> </w:t>
            </w:r>
            <w:r w:rsidRPr="00330EB3">
              <w:rPr>
                <w:rFonts w:cs="Arial"/>
                <w:b/>
                <w:bCs/>
                <w:color w:val="FFFFFF" w:themeColor="background1"/>
              </w:rPr>
              <w:t>Department</w:t>
            </w:r>
          </w:p>
        </w:tc>
        <w:tc>
          <w:tcPr>
            <w:tcW w:w="6798" w:type="dxa"/>
            <w:shd w:val="clear" w:color="auto" w:fill="auto"/>
          </w:tcPr>
          <w:p w14:paraId="47938CE6" w14:textId="475A45B5" w:rsidR="00502938" w:rsidRPr="00330EB3" w:rsidRDefault="00502938" w:rsidP="00F94C6F">
            <w:pPr>
              <w:pStyle w:val="BodyText"/>
              <w:ind w:left="0"/>
              <w:rPr>
                <w:rFonts w:cs="Arial"/>
                <w:color w:val="FFFFFF" w:themeColor="background1"/>
              </w:rPr>
            </w:pPr>
            <w:r w:rsidRPr="00330EB3">
              <w:rPr>
                <w:rFonts w:cs="Arial"/>
                <w:color w:val="auto"/>
              </w:rPr>
              <w:t xml:space="preserve"> </w:t>
            </w:r>
            <w:r w:rsidR="00697C15" w:rsidRPr="00330EB3">
              <w:rPr>
                <w:rFonts w:cs="Arial"/>
                <w:color w:val="auto"/>
              </w:rPr>
              <w:t>DTS</w:t>
            </w:r>
          </w:p>
        </w:tc>
      </w:tr>
      <w:tr w:rsidR="00502938" w:rsidRPr="00330EB3" w14:paraId="0B5A4FC1" w14:textId="77777777" w:rsidTr="00D94CC2">
        <w:tc>
          <w:tcPr>
            <w:tcW w:w="2121" w:type="dxa"/>
            <w:shd w:val="clear" w:color="auto" w:fill="002060"/>
          </w:tcPr>
          <w:p w14:paraId="13FDAA98" w14:textId="77777777" w:rsidR="00502938" w:rsidRPr="00330EB3" w:rsidRDefault="00502938" w:rsidP="00F94C6F">
            <w:pPr>
              <w:pStyle w:val="BodyText"/>
              <w:ind w:left="0"/>
              <w:rPr>
                <w:rFonts w:cs="Arial"/>
                <w:b/>
                <w:bCs/>
                <w:color w:val="FFFFFF" w:themeColor="background1"/>
              </w:rPr>
            </w:pPr>
            <w:r w:rsidRPr="00330EB3">
              <w:rPr>
                <w:rFonts w:cs="Arial"/>
                <w:b/>
                <w:bCs/>
                <w:color w:val="FFFFFF" w:themeColor="background1"/>
              </w:rPr>
              <w:t xml:space="preserve"> Contact Name</w:t>
            </w:r>
          </w:p>
        </w:tc>
        <w:tc>
          <w:tcPr>
            <w:tcW w:w="6798" w:type="dxa"/>
          </w:tcPr>
          <w:p w14:paraId="058646E4" w14:textId="55A55074" w:rsidR="00502938" w:rsidRPr="00330EB3" w:rsidRDefault="00502938" w:rsidP="00F94C6F">
            <w:pPr>
              <w:pStyle w:val="BodyText"/>
              <w:ind w:left="0"/>
              <w:rPr>
                <w:rFonts w:cs="Arial"/>
              </w:rPr>
            </w:pPr>
            <w:r w:rsidRPr="00330EB3">
              <w:rPr>
                <w:rFonts w:cs="Arial"/>
              </w:rPr>
              <w:t xml:space="preserve"> </w:t>
            </w:r>
            <w:r w:rsidR="00697C15" w:rsidRPr="00330EB3">
              <w:rPr>
                <w:rFonts w:cs="Arial"/>
              </w:rPr>
              <w:t>Dominic Panzera</w:t>
            </w:r>
          </w:p>
        </w:tc>
      </w:tr>
      <w:tr w:rsidR="00502938" w:rsidRPr="00330EB3" w14:paraId="27DCA4A2" w14:textId="77777777" w:rsidTr="00D94CC2">
        <w:tc>
          <w:tcPr>
            <w:tcW w:w="2121" w:type="dxa"/>
            <w:shd w:val="clear" w:color="auto" w:fill="002060"/>
          </w:tcPr>
          <w:p w14:paraId="47B59444" w14:textId="77777777" w:rsidR="00502938" w:rsidRPr="00330EB3" w:rsidRDefault="00502938" w:rsidP="00F94C6F">
            <w:pPr>
              <w:pStyle w:val="BodyText"/>
              <w:ind w:left="0"/>
              <w:rPr>
                <w:rFonts w:cs="Arial"/>
                <w:b/>
                <w:bCs/>
                <w:color w:val="FFFFFF" w:themeColor="background1"/>
              </w:rPr>
            </w:pPr>
            <w:r w:rsidRPr="00330EB3">
              <w:rPr>
                <w:rFonts w:cs="Arial"/>
                <w:b/>
                <w:bCs/>
                <w:color w:val="FFFFFF" w:themeColor="background1"/>
              </w:rPr>
              <w:t xml:space="preserve"> Address</w:t>
            </w:r>
          </w:p>
        </w:tc>
        <w:tc>
          <w:tcPr>
            <w:tcW w:w="6798" w:type="dxa"/>
          </w:tcPr>
          <w:p w14:paraId="1C05DC2E" w14:textId="77777777" w:rsidR="00502938" w:rsidRPr="00330EB3" w:rsidRDefault="00502938" w:rsidP="00F94C6F">
            <w:pPr>
              <w:pStyle w:val="BodyText"/>
              <w:ind w:left="0"/>
              <w:rPr>
                <w:rFonts w:cs="Arial"/>
              </w:rPr>
            </w:pPr>
            <w:r w:rsidRPr="00330EB3">
              <w:rPr>
                <w:rFonts w:cs="Arial"/>
              </w:rPr>
              <w:t xml:space="preserve"> 375 Manningham Road, Doncaster, Victoria 3108</w:t>
            </w:r>
          </w:p>
        </w:tc>
      </w:tr>
    </w:tbl>
    <w:p w14:paraId="50EB2AEB" w14:textId="77777777" w:rsidR="00502938" w:rsidRPr="00330EB3"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330EB3" w14:paraId="72C704D4" w14:textId="77777777" w:rsidTr="042B6F28">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330EB3" w:rsidRDefault="00502938" w:rsidP="00F94C6F">
            <w:pPr>
              <w:pStyle w:val="BodyText"/>
              <w:rPr>
                <w:rFonts w:cs="Arial"/>
                <w:color w:val="FFFFFF" w:themeColor="background1"/>
                <w:sz w:val="28"/>
                <w:szCs w:val="28"/>
              </w:rPr>
            </w:pPr>
            <w:r w:rsidRPr="00330EB3">
              <w:rPr>
                <w:rFonts w:cs="Arial"/>
                <w:color w:val="FFFFFF" w:themeColor="background1"/>
                <w:sz w:val="28"/>
                <w:szCs w:val="28"/>
              </w:rPr>
              <w:t>Document Control</w:t>
            </w:r>
          </w:p>
        </w:tc>
      </w:tr>
      <w:tr w:rsidR="00502938" w:rsidRPr="00330EB3" w14:paraId="5BFC87D6" w14:textId="77777777" w:rsidTr="042B6F28">
        <w:tc>
          <w:tcPr>
            <w:tcW w:w="2288" w:type="dxa"/>
            <w:shd w:val="clear" w:color="auto" w:fill="002060"/>
          </w:tcPr>
          <w:p w14:paraId="58113505" w14:textId="77777777" w:rsidR="00502938" w:rsidRPr="00330EB3" w:rsidRDefault="00502938" w:rsidP="00F94C6F">
            <w:pPr>
              <w:pStyle w:val="BodyText"/>
              <w:ind w:left="0"/>
              <w:rPr>
                <w:rFonts w:cs="Arial"/>
                <w:color w:val="auto"/>
              </w:rPr>
            </w:pPr>
            <w:r w:rsidRPr="00330EB3">
              <w:rPr>
                <w:rFonts w:cs="Arial"/>
                <w:color w:val="auto"/>
              </w:rPr>
              <w:t xml:space="preserve"> Title</w:t>
            </w:r>
          </w:p>
        </w:tc>
        <w:tc>
          <w:tcPr>
            <w:tcW w:w="7812" w:type="dxa"/>
            <w:shd w:val="clear" w:color="auto" w:fill="auto"/>
          </w:tcPr>
          <w:p w14:paraId="272BF256" w14:textId="1D7DAB85" w:rsidR="00502938" w:rsidRPr="00330EB3" w:rsidRDefault="00502938" w:rsidP="00F94C6F">
            <w:pPr>
              <w:pStyle w:val="BodyText"/>
              <w:ind w:left="0"/>
              <w:rPr>
                <w:rFonts w:cs="Arial"/>
                <w:b/>
                <w:bCs/>
              </w:rPr>
            </w:pPr>
            <w:r w:rsidRPr="00330EB3">
              <w:rPr>
                <w:rFonts w:cs="Arial"/>
              </w:rPr>
              <w:t xml:space="preserve"> </w:t>
            </w:r>
            <w:r w:rsidR="003B06EB" w:rsidRPr="00330EB3">
              <w:rPr>
                <w:rFonts w:cs="Arial"/>
              </w:rPr>
              <w:t xml:space="preserve">Ambulance Victoria – </w:t>
            </w:r>
            <w:sdt>
              <w:sdtPr>
                <w:rPr>
                  <w:rFonts w:cs="Arial"/>
                  <w:color w:val="2B579A"/>
                  <w:shd w:val="clear" w:color="auto" w:fill="E6E6E6"/>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sidRPr="00330EB3">
                  <w:rPr>
                    <w:rFonts w:cs="Arial"/>
                  </w:rPr>
                  <w:t>Azure Monitor and Insights</w:t>
                </w:r>
              </w:sdtContent>
            </w:sdt>
            <w:r w:rsidR="003B06EB" w:rsidRPr="00330EB3">
              <w:rPr>
                <w:rFonts w:cs="Arial"/>
              </w:rPr>
              <w:t xml:space="preserve"> Core Service Design</w:t>
            </w:r>
          </w:p>
        </w:tc>
      </w:tr>
      <w:tr w:rsidR="00502938" w:rsidRPr="00330EB3" w14:paraId="57A54275" w14:textId="77777777" w:rsidTr="042B6F28">
        <w:tc>
          <w:tcPr>
            <w:tcW w:w="2288" w:type="dxa"/>
            <w:shd w:val="clear" w:color="auto" w:fill="002060"/>
          </w:tcPr>
          <w:p w14:paraId="01F3F83C" w14:textId="77777777" w:rsidR="00502938" w:rsidRPr="00330EB3" w:rsidRDefault="00502938" w:rsidP="00F94C6F">
            <w:pPr>
              <w:pStyle w:val="BodyText"/>
              <w:ind w:left="0"/>
              <w:rPr>
                <w:rFonts w:cs="Arial"/>
                <w:b/>
                <w:color w:val="auto"/>
              </w:rPr>
            </w:pPr>
            <w:r w:rsidRPr="00330EB3">
              <w:rPr>
                <w:rFonts w:cs="Arial"/>
                <w:b/>
                <w:color w:val="auto"/>
              </w:rPr>
              <w:t xml:space="preserve"> File Name</w:t>
            </w:r>
          </w:p>
        </w:tc>
        <w:tc>
          <w:tcPr>
            <w:tcW w:w="7812" w:type="dxa"/>
          </w:tcPr>
          <w:p w14:paraId="0786C0F6" w14:textId="4C074CF5" w:rsidR="00502938" w:rsidRPr="00330EB3" w:rsidRDefault="00502938" w:rsidP="00F94C6F">
            <w:pPr>
              <w:pStyle w:val="BodyText"/>
              <w:ind w:left="0"/>
              <w:rPr>
                <w:rFonts w:cs="Arial"/>
              </w:rPr>
            </w:pPr>
            <w:r w:rsidRPr="00330EB3">
              <w:rPr>
                <w:rFonts w:cs="Arial"/>
              </w:rPr>
              <w:t xml:space="preserve"> </w:t>
            </w:r>
            <w:r w:rsidR="003B06EB" w:rsidRPr="00330EB3">
              <w:rPr>
                <w:rFonts w:cs="Arial"/>
              </w:rPr>
              <w:t>Ambulance Victoria –</w:t>
            </w:r>
            <w:r w:rsidR="00874AFF" w:rsidRPr="00330EB3">
              <w:rPr>
                <w:rFonts w:cs="Arial"/>
              </w:rPr>
              <w:t xml:space="preserve"> </w:t>
            </w:r>
            <w:sdt>
              <w:sdtPr>
                <w:rPr>
                  <w:rFonts w:cs="Arial"/>
                  <w:color w:val="2B579A"/>
                  <w:shd w:val="clear" w:color="auto" w:fill="E6E6E6"/>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sidRPr="00330EB3">
                  <w:rPr>
                    <w:rFonts w:cs="Arial"/>
                  </w:rPr>
                  <w:t>Azure Monitor and Insights</w:t>
                </w:r>
              </w:sdtContent>
            </w:sdt>
            <w:r w:rsidR="00874AFF" w:rsidRPr="00330EB3">
              <w:rPr>
                <w:rFonts w:cs="Arial"/>
              </w:rPr>
              <w:t xml:space="preserve"> </w:t>
            </w:r>
            <w:r w:rsidR="003B06EB" w:rsidRPr="00330EB3">
              <w:rPr>
                <w:rFonts w:cs="Arial"/>
              </w:rPr>
              <w:t>Core Service Design</w:t>
            </w:r>
            <w:r w:rsidR="2E9F5D2A" w:rsidRPr="00330EB3">
              <w:rPr>
                <w:rFonts w:cs="Arial"/>
              </w:rPr>
              <w:t xml:space="preserve"> v</w:t>
            </w:r>
            <w:r w:rsidR="151337A6" w:rsidRPr="00330EB3">
              <w:rPr>
                <w:rFonts w:cs="Arial"/>
              </w:rPr>
              <w:t>2</w:t>
            </w:r>
            <w:r w:rsidR="2E9F5D2A" w:rsidRPr="00330EB3">
              <w:rPr>
                <w:rFonts w:cs="Arial"/>
              </w:rPr>
              <w:t>.0</w:t>
            </w:r>
            <w:r w:rsidR="003B06EB" w:rsidRPr="00330EB3">
              <w:rPr>
                <w:rFonts w:cs="Arial"/>
              </w:rPr>
              <w:t>.docx</w:t>
            </w:r>
          </w:p>
        </w:tc>
      </w:tr>
      <w:tr w:rsidR="00502938" w:rsidRPr="00330EB3" w14:paraId="2D038423" w14:textId="77777777" w:rsidTr="042B6F28">
        <w:tc>
          <w:tcPr>
            <w:tcW w:w="2288" w:type="dxa"/>
            <w:shd w:val="clear" w:color="auto" w:fill="002060"/>
          </w:tcPr>
          <w:p w14:paraId="79F36FF6" w14:textId="77777777" w:rsidR="00502938" w:rsidRPr="00330EB3" w:rsidRDefault="00502938" w:rsidP="00F94C6F">
            <w:pPr>
              <w:pStyle w:val="BodyText"/>
              <w:ind w:left="0"/>
              <w:rPr>
                <w:rFonts w:cs="Arial"/>
                <w:b/>
                <w:color w:val="auto"/>
              </w:rPr>
            </w:pPr>
            <w:r w:rsidRPr="00330EB3">
              <w:rPr>
                <w:rFonts w:cs="Arial"/>
                <w:b/>
                <w:color w:val="auto"/>
              </w:rPr>
              <w:t xml:space="preserve"> Version</w:t>
            </w:r>
          </w:p>
        </w:tc>
        <w:tc>
          <w:tcPr>
            <w:tcW w:w="7812" w:type="dxa"/>
          </w:tcPr>
          <w:p w14:paraId="0B1B2FC0" w14:textId="7E43A463" w:rsidR="00502938" w:rsidRPr="00330EB3" w:rsidRDefault="00502938" w:rsidP="00F94C6F">
            <w:pPr>
              <w:pStyle w:val="BodyText"/>
              <w:ind w:left="0"/>
              <w:rPr>
                <w:rFonts w:cs="Arial"/>
              </w:rPr>
            </w:pPr>
            <w:r w:rsidRPr="042B6F28">
              <w:rPr>
                <w:rFonts w:cs="Arial"/>
              </w:rPr>
              <w:t xml:space="preserve"> </w:t>
            </w:r>
            <w:r w:rsidR="6E20A135" w:rsidRPr="042B6F28">
              <w:rPr>
                <w:rFonts w:cs="Arial"/>
              </w:rPr>
              <w:t>2</w:t>
            </w:r>
            <w:r w:rsidR="00D94CC2" w:rsidRPr="042B6F28">
              <w:rPr>
                <w:rFonts w:cs="Arial"/>
              </w:rPr>
              <w:t>.0</w:t>
            </w:r>
          </w:p>
        </w:tc>
      </w:tr>
      <w:tr w:rsidR="00502938" w:rsidRPr="00330EB3" w14:paraId="646872E8" w14:textId="77777777" w:rsidTr="042B6F28">
        <w:tc>
          <w:tcPr>
            <w:tcW w:w="2288" w:type="dxa"/>
            <w:shd w:val="clear" w:color="auto" w:fill="002060"/>
          </w:tcPr>
          <w:p w14:paraId="7AF0ECB5" w14:textId="77777777" w:rsidR="00502938" w:rsidRPr="00330EB3" w:rsidRDefault="00502938" w:rsidP="00F94C6F">
            <w:pPr>
              <w:pStyle w:val="BodyText"/>
              <w:ind w:left="0"/>
              <w:rPr>
                <w:rFonts w:cs="Arial"/>
                <w:b/>
                <w:color w:val="auto"/>
              </w:rPr>
            </w:pPr>
            <w:r w:rsidRPr="00330EB3">
              <w:rPr>
                <w:rFonts w:cs="Arial"/>
                <w:b/>
                <w:color w:val="auto"/>
              </w:rPr>
              <w:t xml:space="preserve"> Status</w:t>
            </w:r>
          </w:p>
        </w:tc>
        <w:tc>
          <w:tcPr>
            <w:tcW w:w="7812" w:type="dxa"/>
          </w:tcPr>
          <w:p w14:paraId="07B5CC3A" w14:textId="71CC9CDF" w:rsidR="00502938" w:rsidRPr="00330EB3" w:rsidRDefault="00502938" w:rsidP="00F94C6F">
            <w:pPr>
              <w:pStyle w:val="BodyText"/>
              <w:ind w:left="0"/>
              <w:rPr>
                <w:rFonts w:cs="Arial"/>
              </w:rPr>
            </w:pPr>
            <w:r w:rsidRPr="042B6F28">
              <w:rPr>
                <w:rFonts w:cs="Arial"/>
              </w:rPr>
              <w:t xml:space="preserve"> </w:t>
            </w:r>
            <w:r w:rsidR="1EACE6C8" w:rsidRPr="042B6F28">
              <w:rPr>
                <w:rFonts w:cs="Arial"/>
              </w:rPr>
              <w:t>Updated</w:t>
            </w:r>
          </w:p>
        </w:tc>
      </w:tr>
      <w:tr w:rsidR="00502938" w:rsidRPr="00330EB3" w14:paraId="1BC8196F" w14:textId="77777777" w:rsidTr="042B6F28">
        <w:trPr>
          <w:trHeight w:val="179"/>
        </w:trPr>
        <w:tc>
          <w:tcPr>
            <w:tcW w:w="2288" w:type="dxa"/>
            <w:shd w:val="clear" w:color="auto" w:fill="002060"/>
          </w:tcPr>
          <w:p w14:paraId="160D2412" w14:textId="77777777" w:rsidR="00502938" w:rsidRPr="00330EB3" w:rsidRDefault="00502938" w:rsidP="00F94C6F">
            <w:pPr>
              <w:pStyle w:val="BodyText"/>
              <w:ind w:left="0"/>
              <w:rPr>
                <w:rFonts w:cs="Arial"/>
                <w:b/>
                <w:color w:val="auto"/>
              </w:rPr>
            </w:pPr>
            <w:r w:rsidRPr="00330EB3">
              <w:rPr>
                <w:rFonts w:cs="Arial"/>
                <w:b/>
                <w:color w:val="auto"/>
              </w:rPr>
              <w:t xml:space="preserve"> Release Date</w:t>
            </w:r>
          </w:p>
        </w:tc>
        <w:tc>
          <w:tcPr>
            <w:tcW w:w="7812" w:type="dxa"/>
            <w:shd w:val="clear" w:color="auto" w:fill="auto"/>
          </w:tcPr>
          <w:p w14:paraId="112D8EB3" w14:textId="248B4F86" w:rsidR="00502938" w:rsidRPr="00330EB3" w:rsidRDefault="00330EB3" w:rsidP="00F94C6F">
            <w:pPr>
              <w:pStyle w:val="BodyText"/>
              <w:ind w:left="0"/>
              <w:rPr>
                <w:rFonts w:cs="Arial"/>
              </w:rPr>
            </w:pPr>
            <w:r w:rsidRPr="042B6F28">
              <w:rPr>
                <w:rFonts w:cs="Arial"/>
              </w:rPr>
              <w:t xml:space="preserve"> </w:t>
            </w:r>
            <w:r w:rsidR="43A37F75" w:rsidRPr="042B6F28">
              <w:rPr>
                <w:rFonts w:cs="Arial"/>
              </w:rPr>
              <w:t>14</w:t>
            </w:r>
            <w:r w:rsidRPr="042B6F28">
              <w:rPr>
                <w:rFonts w:cs="Arial"/>
              </w:rPr>
              <w:t>/02/2024</w:t>
            </w:r>
          </w:p>
        </w:tc>
      </w:tr>
    </w:tbl>
    <w:p w14:paraId="668477D6" w14:textId="77777777" w:rsidR="00502938" w:rsidRPr="00330EB3"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330EB3"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330EB3" w:rsidRDefault="00502938" w:rsidP="00F94C6F">
            <w:pPr>
              <w:pStyle w:val="BodyText"/>
              <w:rPr>
                <w:rFonts w:cs="Arial"/>
                <w:color w:val="auto"/>
              </w:rPr>
            </w:pPr>
            <w:r w:rsidRPr="00330EB3">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330EB3"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330EB3"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330EB3" w:rsidRDefault="00502938" w:rsidP="00F94C6F">
            <w:pPr>
              <w:pStyle w:val="BodyText"/>
              <w:rPr>
                <w:rFonts w:cs="Arial"/>
                <w:b w:val="0"/>
                <w:color w:val="auto"/>
              </w:rPr>
            </w:pPr>
          </w:p>
        </w:tc>
      </w:tr>
      <w:tr w:rsidR="00502938" w:rsidRPr="00330EB3"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330EB3" w:rsidRDefault="00502938" w:rsidP="00F94C6F">
            <w:pPr>
              <w:pStyle w:val="BodyText"/>
              <w:ind w:left="0"/>
              <w:rPr>
                <w:rFonts w:cs="Arial"/>
                <w:b/>
                <w:bCs/>
                <w:color w:val="auto"/>
              </w:rPr>
            </w:pPr>
            <w:r w:rsidRPr="00330EB3">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1AE7D25C" w:rsidR="00502938" w:rsidRPr="00330EB3" w:rsidRDefault="00874AFF" w:rsidP="00F94C6F">
            <w:pPr>
              <w:pStyle w:val="BodyText"/>
              <w:ind w:left="0"/>
              <w:rPr>
                <w:rFonts w:cs="Arial"/>
                <w:b/>
                <w:color w:val="auto"/>
              </w:rPr>
            </w:pPr>
            <w:r w:rsidRPr="00330EB3">
              <w:rPr>
                <w:rFonts w:cs="Arial"/>
                <w:color w:val="auto"/>
              </w:rPr>
              <w:t xml:space="preserve"> </w:t>
            </w:r>
            <w:r w:rsidR="00D94CC2" w:rsidRPr="00330EB3">
              <w:rPr>
                <w:rFonts w:cs="Arial"/>
                <w:color w:val="auto"/>
              </w:rPr>
              <w:t xml:space="preserve"> Dani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330EB3"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330EB3" w:rsidRDefault="00502938" w:rsidP="00F94C6F">
            <w:pPr>
              <w:pStyle w:val="BodyText"/>
              <w:ind w:left="0"/>
              <w:rPr>
                <w:rFonts w:cs="Arial"/>
                <w:b/>
                <w:color w:val="auto"/>
              </w:rPr>
            </w:pPr>
          </w:p>
        </w:tc>
      </w:tr>
      <w:tr w:rsidR="00502938" w:rsidRPr="00330EB3"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330EB3" w:rsidRDefault="00502938" w:rsidP="00F94C6F">
            <w:pPr>
              <w:pStyle w:val="BodyText"/>
              <w:ind w:left="0"/>
              <w:rPr>
                <w:rFonts w:cs="Arial"/>
                <w:b/>
                <w:color w:val="auto"/>
              </w:rPr>
            </w:pPr>
            <w:r w:rsidRPr="00330EB3">
              <w:rPr>
                <w:rFonts w:cs="Arial"/>
                <w:b/>
                <w:color w:val="auto"/>
              </w:rPr>
              <w:t xml:space="preserve"> Authorised</w:t>
            </w:r>
          </w:p>
        </w:tc>
        <w:tc>
          <w:tcPr>
            <w:tcW w:w="2007" w:type="dxa"/>
            <w:tcBorders>
              <w:top w:val="single" w:sz="4" w:space="0" w:color="A6A6A6" w:themeColor="background1" w:themeShade="A6"/>
            </w:tcBorders>
          </w:tcPr>
          <w:p w14:paraId="227AD298" w14:textId="38C6CB3B" w:rsidR="00502938" w:rsidRPr="00330EB3" w:rsidRDefault="00502938" w:rsidP="00F94C6F">
            <w:pPr>
              <w:pStyle w:val="BodyText"/>
              <w:ind w:left="0"/>
              <w:rPr>
                <w:rFonts w:cs="Arial"/>
                <w:color w:val="auto"/>
              </w:rPr>
            </w:pPr>
            <w:r w:rsidRPr="00330EB3">
              <w:rPr>
                <w:rFonts w:cs="Arial"/>
                <w:color w:val="auto"/>
              </w:rPr>
              <w:t xml:space="preserve"> </w:t>
            </w:r>
            <w:r w:rsidR="00874AFF" w:rsidRPr="00330EB3">
              <w:rPr>
                <w:rFonts w:cs="Arial"/>
                <w:color w:val="auto"/>
              </w:rPr>
              <w:t xml:space="preserve"> </w:t>
            </w:r>
            <w:r w:rsidR="00D94CC2" w:rsidRPr="00330EB3">
              <w:rPr>
                <w:rFonts w:cs="Arial"/>
                <w:color w:val="auto"/>
              </w:rPr>
              <w:t>Dileep Pradeep</w:t>
            </w:r>
          </w:p>
        </w:tc>
        <w:tc>
          <w:tcPr>
            <w:tcW w:w="2961" w:type="dxa"/>
            <w:tcBorders>
              <w:top w:val="single" w:sz="4" w:space="0" w:color="A6A6A6" w:themeColor="background1" w:themeShade="A6"/>
            </w:tcBorders>
          </w:tcPr>
          <w:p w14:paraId="5CEDC7FD" w14:textId="77777777" w:rsidR="00502938" w:rsidRPr="00330EB3"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330EB3" w:rsidRDefault="00502938" w:rsidP="00F94C6F">
            <w:pPr>
              <w:pStyle w:val="BodyText"/>
              <w:ind w:left="0"/>
              <w:rPr>
                <w:rFonts w:cs="Arial"/>
                <w:color w:val="auto"/>
              </w:rPr>
            </w:pPr>
          </w:p>
        </w:tc>
      </w:tr>
    </w:tbl>
    <w:p w14:paraId="447F65E3" w14:textId="77777777" w:rsidR="00502938" w:rsidRPr="00330EB3"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7"/>
        <w:gridCol w:w="1627"/>
        <w:gridCol w:w="1882"/>
        <w:gridCol w:w="2056"/>
        <w:gridCol w:w="1687"/>
      </w:tblGrid>
      <w:tr w:rsidR="00502938" w:rsidRPr="00330EB3" w14:paraId="1EE9C45F" w14:textId="77777777" w:rsidTr="00DE0EBA">
        <w:trPr>
          <w:cnfStyle w:val="100000000000" w:firstRow="1" w:lastRow="0" w:firstColumn="0" w:lastColumn="0" w:oddVBand="0" w:evenVBand="0" w:oddHBand="0" w:evenHBand="0" w:firstRowFirstColumn="0" w:firstRowLastColumn="0" w:lastRowFirstColumn="0" w:lastRowLastColumn="0"/>
        </w:trPr>
        <w:tc>
          <w:tcPr>
            <w:tcW w:w="7232"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330EB3" w:rsidRDefault="00502938" w:rsidP="00F94C6F">
            <w:pPr>
              <w:pStyle w:val="BodyText"/>
              <w:rPr>
                <w:rFonts w:cs="Arial"/>
                <w:color w:val="auto"/>
              </w:rPr>
            </w:pPr>
            <w:r w:rsidRPr="00330EB3">
              <w:rPr>
                <w:rFonts w:cs="Arial"/>
                <w:color w:val="FFFFFF" w:themeColor="background1"/>
                <w:sz w:val="28"/>
                <w:szCs w:val="28"/>
              </w:rPr>
              <w:t>Version Tracking</w:t>
            </w:r>
          </w:p>
        </w:tc>
        <w:tc>
          <w:tcPr>
            <w:tcW w:w="1687"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330EB3" w:rsidRDefault="00502938" w:rsidP="00F94C6F">
            <w:pPr>
              <w:pStyle w:val="BodyText"/>
              <w:rPr>
                <w:rFonts w:cs="Arial"/>
                <w:color w:val="auto"/>
              </w:rPr>
            </w:pPr>
          </w:p>
        </w:tc>
      </w:tr>
      <w:tr w:rsidR="00502938" w:rsidRPr="00330EB3" w14:paraId="0FF91FC6" w14:textId="77777777" w:rsidTr="00DE0EBA">
        <w:tc>
          <w:tcPr>
            <w:tcW w:w="1667"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330EB3" w:rsidRDefault="00502938" w:rsidP="00F94C6F">
            <w:pPr>
              <w:pStyle w:val="BodyText"/>
              <w:ind w:left="0"/>
              <w:rPr>
                <w:rFonts w:cs="Arial"/>
                <w:color w:val="auto"/>
              </w:rPr>
            </w:pPr>
            <w:r w:rsidRPr="00330EB3">
              <w:rPr>
                <w:rFonts w:cs="Arial"/>
                <w:color w:val="auto"/>
              </w:rPr>
              <w:t xml:space="preserve"> Version</w:t>
            </w:r>
          </w:p>
        </w:tc>
        <w:tc>
          <w:tcPr>
            <w:tcW w:w="162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330EB3" w:rsidRDefault="00502938" w:rsidP="00F94C6F">
            <w:pPr>
              <w:pStyle w:val="BodyText"/>
              <w:ind w:left="0"/>
              <w:rPr>
                <w:rFonts w:cs="Arial"/>
                <w:color w:val="auto"/>
              </w:rPr>
            </w:pPr>
            <w:r w:rsidRPr="00330EB3">
              <w:rPr>
                <w:rFonts w:cs="Arial"/>
                <w:color w:val="auto"/>
              </w:rPr>
              <w:t>Remarks</w:t>
            </w:r>
          </w:p>
        </w:tc>
        <w:tc>
          <w:tcPr>
            <w:tcW w:w="1882"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330EB3" w:rsidRDefault="00502938" w:rsidP="00F94C6F">
            <w:pPr>
              <w:pStyle w:val="BodyText"/>
              <w:ind w:left="0"/>
              <w:rPr>
                <w:rFonts w:cs="Arial"/>
                <w:color w:val="auto"/>
              </w:rPr>
            </w:pPr>
            <w:r w:rsidRPr="00330EB3">
              <w:rPr>
                <w:rFonts w:cs="Arial"/>
                <w:color w:val="auto"/>
              </w:rPr>
              <w:t>Change Requested</w:t>
            </w:r>
          </w:p>
        </w:tc>
        <w:tc>
          <w:tcPr>
            <w:tcW w:w="2056"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330EB3" w:rsidRDefault="00502938" w:rsidP="00F94C6F">
            <w:pPr>
              <w:pStyle w:val="BodyText"/>
              <w:ind w:left="0"/>
              <w:rPr>
                <w:rFonts w:cs="Arial"/>
                <w:color w:val="auto"/>
              </w:rPr>
            </w:pPr>
            <w:r w:rsidRPr="00330EB3">
              <w:rPr>
                <w:rFonts w:cs="Arial"/>
                <w:color w:val="auto"/>
              </w:rPr>
              <w:t>Pages Affected</w:t>
            </w:r>
          </w:p>
        </w:tc>
        <w:tc>
          <w:tcPr>
            <w:tcW w:w="1687"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330EB3" w:rsidRDefault="00502938" w:rsidP="00F94C6F">
            <w:pPr>
              <w:pStyle w:val="BodyText"/>
              <w:ind w:left="0"/>
              <w:rPr>
                <w:rFonts w:cs="Arial"/>
                <w:color w:val="auto"/>
              </w:rPr>
            </w:pPr>
            <w:r w:rsidRPr="00330EB3">
              <w:rPr>
                <w:rFonts w:cs="Arial"/>
                <w:color w:val="auto"/>
              </w:rPr>
              <w:t>Release Date</w:t>
            </w:r>
          </w:p>
        </w:tc>
      </w:tr>
      <w:tr w:rsidR="00502938" w:rsidRPr="00633B64" w14:paraId="7E572129" w14:textId="77777777" w:rsidTr="00DE0EBA">
        <w:tc>
          <w:tcPr>
            <w:tcW w:w="1667"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330EB3" w:rsidRDefault="00502938" w:rsidP="00F94C6F">
            <w:pPr>
              <w:pStyle w:val="BodyText"/>
              <w:ind w:left="0"/>
              <w:rPr>
                <w:rFonts w:cs="Arial"/>
                <w:color w:val="auto"/>
              </w:rPr>
            </w:pPr>
            <w:r w:rsidRPr="00330EB3">
              <w:rPr>
                <w:rFonts w:cs="Arial"/>
                <w:color w:val="auto"/>
              </w:rPr>
              <w:t xml:space="preserve"> 1.0</w:t>
            </w:r>
          </w:p>
        </w:tc>
        <w:tc>
          <w:tcPr>
            <w:tcW w:w="1627" w:type="dxa"/>
            <w:tcBorders>
              <w:top w:val="single" w:sz="4" w:space="0" w:color="A6A6A6" w:themeColor="background1" w:themeShade="A6"/>
              <w:bottom w:val="single" w:sz="4" w:space="0" w:color="A6A6A6" w:themeColor="background1" w:themeShade="A6"/>
            </w:tcBorders>
          </w:tcPr>
          <w:p w14:paraId="594E3604" w14:textId="77777777" w:rsidR="00502938" w:rsidRPr="00330EB3" w:rsidRDefault="00502938" w:rsidP="00F94C6F">
            <w:pPr>
              <w:pStyle w:val="BodyText"/>
              <w:ind w:left="0"/>
              <w:rPr>
                <w:rFonts w:cs="Arial"/>
                <w:color w:val="auto"/>
              </w:rPr>
            </w:pPr>
            <w:r w:rsidRPr="00330EB3">
              <w:rPr>
                <w:rFonts w:cs="Arial"/>
                <w:color w:val="auto"/>
              </w:rPr>
              <w:t>Initial Release</w:t>
            </w:r>
          </w:p>
        </w:tc>
        <w:tc>
          <w:tcPr>
            <w:tcW w:w="1882" w:type="dxa"/>
            <w:tcBorders>
              <w:top w:val="single" w:sz="4" w:space="0" w:color="A6A6A6" w:themeColor="background1" w:themeShade="A6"/>
              <w:bottom w:val="single" w:sz="4" w:space="0" w:color="A6A6A6" w:themeColor="background1" w:themeShade="A6"/>
            </w:tcBorders>
          </w:tcPr>
          <w:p w14:paraId="287B13EB" w14:textId="3492260F" w:rsidR="00502938" w:rsidRPr="00330EB3" w:rsidRDefault="00DE0EBA" w:rsidP="00F94C6F">
            <w:pPr>
              <w:pStyle w:val="BodyText"/>
              <w:ind w:left="0"/>
              <w:rPr>
                <w:rFonts w:cs="Arial"/>
                <w:color w:val="auto"/>
              </w:rPr>
            </w:pPr>
            <w:r>
              <w:rPr>
                <w:rFonts w:cs="Arial"/>
                <w:color w:val="auto"/>
              </w:rPr>
              <w:t xml:space="preserve"> </w:t>
            </w:r>
            <w:r w:rsidR="00502938" w:rsidRPr="00330EB3">
              <w:rPr>
                <w:rFonts w:cs="Arial"/>
                <w:color w:val="auto"/>
              </w:rPr>
              <w:t>N/A</w:t>
            </w:r>
          </w:p>
        </w:tc>
        <w:tc>
          <w:tcPr>
            <w:tcW w:w="2056" w:type="dxa"/>
            <w:tcBorders>
              <w:top w:val="single" w:sz="4" w:space="0" w:color="A6A6A6" w:themeColor="background1" w:themeShade="A6"/>
              <w:bottom w:val="single" w:sz="4" w:space="0" w:color="A6A6A6" w:themeColor="background1" w:themeShade="A6"/>
            </w:tcBorders>
          </w:tcPr>
          <w:p w14:paraId="14B7D765" w14:textId="77777777" w:rsidR="00502938" w:rsidRPr="00330EB3" w:rsidRDefault="00502938" w:rsidP="00F94C6F">
            <w:pPr>
              <w:pStyle w:val="BodyText"/>
              <w:ind w:left="0"/>
              <w:rPr>
                <w:rFonts w:cs="Arial"/>
                <w:color w:val="auto"/>
              </w:rPr>
            </w:pPr>
            <w:r w:rsidRPr="00330EB3">
              <w:rPr>
                <w:rFonts w:cs="Arial"/>
                <w:color w:val="auto"/>
              </w:rPr>
              <w:t>All</w:t>
            </w:r>
          </w:p>
        </w:tc>
        <w:tc>
          <w:tcPr>
            <w:tcW w:w="1687" w:type="dxa"/>
            <w:tcBorders>
              <w:top w:val="single" w:sz="4" w:space="0" w:color="A6A6A6" w:themeColor="background1" w:themeShade="A6"/>
              <w:bottom w:val="single" w:sz="4" w:space="0" w:color="A6A6A6" w:themeColor="background1" w:themeShade="A6"/>
            </w:tcBorders>
          </w:tcPr>
          <w:p w14:paraId="6BCEF9EE" w14:textId="73FF20F6" w:rsidR="00502938" w:rsidRPr="00633B64" w:rsidRDefault="00330EB3" w:rsidP="00F94C6F">
            <w:pPr>
              <w:pStyle w:val="BodyText"/>
              <w:ind w:left="0"/>
              <w:rPr>
                <w:rFonts w:cs="Arial"/>
                <w:color w:val="auto"/>
              </w:rPr>
            </w:pPr>
            <w:r w:rsidRPr="00330EB3">
              <w:rPr>
                <w:rFonts w:cs="Arial"/>
              </w:rPr>
              <w:t>8/02/2024</w:t>
            </w:r>
          </w:p>
        </w:tc>
      </w:tr>
      <w:tr w:rsidR="00F64218" w:rsidRPr="00633B64" w14:paraId="73550B63" w14:textId="77777777" w:rsidTr="00DE0EBA">
        <w:tc>
          <w:tcPr>
            <w:tcW w:w="1667" w:type="dxa"/>
            <w:tcBorders>
              <w:top w:val="single" w:sz="4" w:space="0" w:color="A6A6A6" w:themeColor="background1" w:themeShade="A6"/>
            </w:tcBorders>
            <w:shd w:val="clear" w:color="auto" w:fill="auto"/>
          </w:tcPr>
          <w:p w14:paraId="392F78B7" w14:textId="6F81266A" w:rsidR="00F64218" w:rsidRPr="00330EB3" w:rsidRDefault="00F64218" w:rsidP="00F94C6F">
            <w:pPr>
              <w:pStyle w:val="BodyText"/>
              <w:rPr>
                <w:rFonts w:cs="Arial"/>
                <w:color w:val="auto"/>
              </w:rPr>
            </w:pPr>
            <w:r>
              <w:rPr>
                <w:rFonts w:cs="Arial"/>
                <w:color w:val="auto"/>
              </w:rPr>
              <w:t>2.0</w:t>
            </w:r>
          </w:p>
        </w:tc>
        <w:tc>
          <w:tcPr>
            <w:tcW w:w="1627" w:type="dxa"/>
            <w:tcBorders>
              <w:top w:val="single" w:sz="4" w:space="0" w:color="A6A6A6" w:themeColor="background1" w:themeShade="A6"/>
            </w:tcBorders>
          </w:tcPr>
          <w:p w14:paraId="6D36DD1E" w14:textId="7A2F29A6" w:rsidR="00F64218" w:rsidRPr="00330EB3" w:rsidRDefault="00F64218" w:rsidP="00F64218">
            <w:pPr>
              <w:pStyle w:val="BodyText"/>
              <w:ind w:left="0"/>
              <w:rPr>
                <w:rFonts w:cs="Arial"/>
                <w:color w:val="auto"/>
              </w:rPr>
            </w:pPr>
            <w:r>
              <w:rPr>
                <w:rFonts w:cs="Arial"/>
                <w:color w:val="auto"/>
              </w:rPr>
              <w:t>Minor Updates</w:t>
            </w:r>
          </w:p>
        </w:tc>
        <w:tc>
          <w:tcPr>
            <w:tcW w:w="1882" w:type="dxa"/>
            <w:tcBorders>
              <w:top w:val="single" w:sz="4" w:space="0" w:color="A6A6A6" w:themeColor="background1" w:themeShade="A6"/>
            </w:tcBorders>
          </w:tcPr>
          <w:p w14:paraId="73B02B6C" w14:textId="77777777" w:rsidR="000230E5" w:rsidRDefault="00F64218" w:rsidP="00F94C6F">
            <w:pPr>
              <w:pStyle w:val="BodyText"/>
              <w:rPr>
                <w:rFonts w:cs="Arial"/>
                <w:color w:val="auto"/>
              </w:rPr>
            </w:pPr>
            <w:r>
              <w:rPr>
                <w:rFonts w:cs="Arial"/>
                <w:color w:val="auto"/>
              </w:rPr>
              <w:t xml:space="preserve">Naming </w:t>
            </w:r>
          </w:p>
          <w:p w14:paraId="6CCDC387" w14:textId="0282EC4E" w:rsidR="00F64218" w:rsidRPr="00330EB3" w:rsidRDefault="00F64218" w:rsidP="00F94C6F">
            <w:pPr>
              <w:pStyle w:val="BodyText"/>
              <w:rPr>
                <w:rFonts w:cs="Arial"/>
                <w:color w:val="auto"/>
              </w:rPr>
            </w:pPr>
            <w:r>
              <w:rPr>
                <w:rFonts w:cs="Arial"/>
                <w:color w:val="auto"/>
              </w:rPr>
              <w:t>convention</w:t>
            </w:r>
          </w:p>
        </w:tc>
        <w:tc>
          <w:tcPr>
            <w:tcW w:w="2056" w:type="dxa"/>
            <w:tcBorders>
              <w:top w:val="single" w:sz="4" w:space="0" w:color="A6A6A6" w:themeColor="background1" w:themeShade="A6"/>
            </w:tcBorders>
          </w:tcPr>
          <w:p w14:paraId="2CD30728" w14:textId="00A5E5D7" w:rsidR="00F64218" w:rsidRPr="00330EB3" w:rsidRDefault="00F64218" w:rsidP="00F94C6F">
            <w:pPr>
              <w:pStyle w:val="BodyText"/>
              <w:rPr>
                <w:rFonts w:cs="Arial"/>
                <w:color w:val="auto"/>
              </w:rPr>
            </w:pPr>
            <w:r>
              <w:rPr>
                <w:rFonts w:cs="Arial"/>
                <w:color w:val="auto"/>
              </w:rPr>
              <w:t>18</w:t>
            </w:r>
          </w:p>
        </w:tc>
        <w:tc>
          <w:tcPr>
            <w:tcW w:w="1687" w:type="dxa"/>
            <w:tcBorders>
              <w:top w:val="single" w:sz="4" w:space="0" w:color="A6A6A6" w:themeColor="background1" w:themeShade="A6"/>
            </w:tcBorders>
          </w:tcPr>
          <w:p w14:paraId="36C65FC6" w14:textId="57E1A24B" w:rsidR="00F64218" w:rsidRPr="00330EB3" w:rsidRDefault="00F64218" w:rsidP="00F64218">
            <w:pPr>
              <w:pStyle w:val="BodyText"/>
              <w:ind w:left="0"/>
              <w:rPr>
                <w:rFonts w:cs="Arial"/>
              </w:rPr>
            </w:pPr>
            <w:r>
              <w:rPr>
                <w:rFonts w:cs="Arial"/>
              </w:rPr>
              <w:t>14/02/2024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shd w:val="clear" w:color="auto" w:fill="E6E6E6"/>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05291636" w14:textId="72039EFA" w:rsidR="00C12AE3" w:rsidRDefault="00B035CE">
          <w:pPr>
            <w:pStyle w:val="TOC1"/>
            <w:tabs>
              <w:tab w:val="left" w:pos="851"/>
            </w:tabs>
            <w:rPr>
              <w:rFonts w:asciiTheme="minorHAnsi" w:eastAsiaTheme="minorEastAsia" w:hAnsiTheme="minorHAnsi" w:cstheme="minorBidi"/>
              <w:color w:val="auto"/>
              <w:kern w:val="2"/>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58801735" w:history="1">
            <w:r w:rsidR="00C12AE3" w:rsidRPr="007B5B61">
              <w:rPr>
                <w:rStyle w:val="Hyperlink"/>
                <w:rFonts w:cs="Arial"/>
              </w:rPr>
              <w:t>1.</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Overview</w:t>
            </w:r>
            <w:r w:rsidR="00C12AE3">
              <w:rPr>
                <w:webHidden/>
              </w:rPr>
              <w:tab/>
            </w:r>
            <w:r w:rsidR="00C12AE3">
              <w:rPr>
                <w:webHidden/>
              </w:rPr>
              <w:fldChar w:fldCharType="begin"/>
            </w:r>
            <w:r w:rsidR="00C12AE3">
              <w:rPr>
                <w:webHidden/>
              </w:rPr>
              <w:instrText xml:space="preserve"> PAGEREF _Toc158801735 \h </w:instrText>
            </w:r>
            <w:r w:rsidR="00C12AE3">
              <w:rPr>
                <w:webHidden/>
              </w:rPr>
            </w:r>
            <w:r w:rsidR="00C12AE3">
              <w:rPr>
                <w:webHidden/>
              </w:rPr>
              <w:fldChar w:fldCharType="separate"/>
            </w:r>
            <w:r w:rsidR="00C12AE3">
              <w:rPr>
                <w:webHidden/>
              </w:rPr>
              <w:t>5</w:t>
            </w:r>
            <w:r w:rsidR="00C12AE3">
              <w:rPr>
                <w:webHidden/>
              </w:rPr>
              <w:fldChar w:fldCharType="end"/>
            </w:r>
          </w:hyperlink>
        </w:p>
        <w:p w14:paraId="1445D35C" w14:textId="120F419B" w:rsidR="00C12AE3" w:rsidRDefault="00434A75">
          <w:pPr>
            <w:pStyle w:val="TOC2"/>
            <w:rPr>
              <w:rFonts w:asciiTheme="minorHAnsi" w:eastAsiaTheme="minorEastAsia" w:hAnsiTheme="minorHAnsi" w:cstheme="minorBidi"/>
              <w:color w:val="auto"/>
              <w:kern w:val="2"/>
              <w14:ligatures w14:val="standardContextual"/>
            </w:rPr>
          </w:pPr>
          <w:hyperlink w:anchor="_Toc158801736" w:history="1">
            <w:r w:rsidR="00C12AE3" w:rsidRPr="007B5B61">
              <w:rPr>
                <w:rStyle w:val="Hyperlink"/>
                <w:rFonts w:cs="Arial"/>
                <w:spacing w:val="-8"/>
              </w:rPr>
              <w:t>1.1</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Purpose and Audience</w:t>
            </w:r>
            <w:r w:rsidR="00C12AE3">
              <w:rPr>
                <w:webHidden/>
              </w:rPr>
              <w:tab/>
            </w:r>
            <w:r w:rsidR="00C12AE3">
              <w:rPr>
                <w:webHidden/>
              </w:rPr>
              <w:fldChar w:fldCharType="begin"/>
            </w:r>
            <w:r w:rsidR="00C12AE3">
              <w:rPr>
                <w:webHidden/>
              </w:rPr>
              <w:instrText xml:space="preserve"> PAGEREF _Toc158801736 \h </w:instrText>
            </w:r>
            <w:r w:rsidR="00C12AE3">
              <w:rPr>
                <w:webHidden/>
              </w:rPr>
            </w:r>
            <w:r w:rsidR="00C12AE3">
              <w:rPr>
                <w:webHidden/>
              </w:rPr>
              <w:fldChar w:fldCharType="separate"/>
            </w:r>
            <w:r w:rsidR="00C12AE3">
              <w:rPr>
                <w:webHidden/>
              </w:rPr>
              <w:t>5</w:t>
            </w:r>
            <w:r w:rsidR="00C12AE3">
              <w:rPr>
                <w:webHidden/>
              </w:rPr>
              <w:fldChar w:fldCharType="end"/>
            </w:r>
          </w:hyperlink>
        </w:p>
        <w:p w14:paraId="55CA3DAC" w14:textId="2A0BB699" w:rsidR="00C12AE3" w:rsidRDefault="00434A75">
          <w:pPr>
            <w:pStyle w:val="TOC2"/>
            <w:rPr>
              <w:rFonts w:asciiTheme="minorHAnsi" w:eastAsiaTheme="minorEastAsia" w:hAnsiTheme="minorHAnsi" w:cstheme="minorBidi"/>
              <w:color w:val="auto"/>
              <w:kern w:val="2"/>
              <w14:ligatures w14:val="standardContextual"/>
            </w:rPr>
          </w:pPr>
          <w:hyperlink w:anchor="_Toc158801737" w:history="1">
            <w:r w:rsidR="00C12AE3" w:rsidRPr="007B5B61">
              <w:rPr>
                <w:rStyle w:val="Hyperlink"/>
                <w:rFonts w:cs="Arial"/>
                <w:spacing w:val="-8"/>
              </w:rPr>
              <w:t>1.2</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Scope and Key Deliverables</w:t>
            </w:r>
            <w:r w:rsidR="00C12AE3">
              <w:rPr>
                <w:webHidden/>
              </w:rPr>
              <w:tab/>
            </w:r>
            <w:r w:rsidR="00C12AE3">
              <w:rPr>
                <w:webHidden/>
              </w:rPr>
              <w:fldChar w:fldCharType="begin"/>
            </w:r>
            <w:r w:rsidR="00C12AE3">
              <w:rPr>
                <w:webHidden/>
              </w:rPr>
              <w:instrText xml:space="preserve"> PAGEREF _Toc158801737 \h </w:instrText>
            </w:r>
            <w:r w:rsidR="00C12AE3">
              <w:rPr>
                <w:webHidden/>
              </w:rPr>
            </w:r>
            <w:r w:rsidR="00C12AE3">
              <w:rPr>
                <w:webHidden/>
              </w:rPr>
              <w:fldChar w:fldCharType="separate"/>
            </w:r>
            <w:r w:rsidR="00C12AE3">
              <w:rPr>
                <w:webHidden/>
              </w:rPr>
              <w:t>5</w:t>
            </w:r>
            <w:r w:rsidR="00C12AE3">
              <w:rPr>
                <w:webHidden/>
              </w:rPr>
              <w:fldChar w:fldCharType="end"/>
            </w:r>
          </w:hyperlink>
        </w:p>
        <w:p w14:paraId="4AACD3BD" w14:textId="4210AD07" w:rsidR="00C12AE3" w:rsidRDefault="00434A75">
          <w:pPr>
            <w:pStyle w:val="TOC2"/>
            <w:rPr>
              <w:rFonts w:asciiTheme="minorHAnsi" w:eastAsiaTheme="minorEastAsia" w:hAnsiTheme="minorHAnsi" w:cstheme="minorBidi"/>
              <w:color w:val="auto"/>
              <w:kern w:val="2"/>
              <w14:ligatures w14:val="standardContextual"/>
            </w:rPr>
          </w:pPr>
          <w:hyperlink w:anchor="_Toc158801738" w:history="1">
            <w:r w:rsidR="00C12AE3" w:rsidRPr="007B5B61">
              <w:rPr>
                <w:rStyle w:val="Hyperlink"/>
                <w:rFonts w:cs="Arial"/>
                <w:spacing w:val="-8"/>
              </w:rPr>
              <w:t>1.3</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Glossary and Definitions</w:t>
            </w:r>
            <w:r w:rsidR="00C12AE3">
              <w:rPr>
                <w:webHidden/>
              </w:rPr>
              <w:tab/>
            </w:r>
            <w:r w:rsidR="00C12AE3">
              <w:rPr>
                <w:webHidden/>
              </w:rPr>
              <w:fldChar w:fldCharType="begin"/>
            </w:r>
            <w:r w:rsidR="00C12AE3">
              <w:rPr>
                <w:webHidden/>
              </w:rPr>
              <w:instrText xml:space="preserve"> PAGEREF _Toc158801738 \h </w:instrText>
            </w:r>
            <w:r w:rsidR="00C12AE3">
              <w:rPr>
                <w:webHidden/>
              </w:rPr>
            </w:r>
            <w:r w:rsidR="00C12AE3">
              <w:rPr>
                <w:webHidden/>
              </w:rPr>
              <w:fldChar w:fldCharType="separate"/>
            </w:r>
            <w:r w:rsidR="00C12AE3">
              <w:rPr>
                <w:webHidden/>
              </w:rPr>
              <w:t>6</w:t>
            </w:r>
            <w:r w:rsidR="00C12AE3">
              <w:rPr>
                <w:webHidden/>
              </w:rPr>
              <w:fldChar w:fldCharType="end"/>
            </w:r>
          </w:hyperlink>
        </w:p>
        <w:p w14:paraId="6343D4D9" w14:textId="7338218F"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39" w:history="1">
            <w:r w:rsidR="00C12AE3" w:rsidRPr="007B5B61">
              <w:rPr>
                <w:rStyle w:val="Hyperlink"/>
                <w:rFonts w:cs="Arial"/>
              </w:rPr>
              <w:t>2.</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Executive Summary</w:t>
            </w:r>
            <w:r w:rsidR="00C12AE3">
              <w:rPr>
                <w:webHidden/>
              </w:rPr>
              <w:tab/>
            </w:r>
            <w:r w:rsidR="00C12AE3">
              <w:rPr>
                <w:webHidden/>
              </w:rPr>
              <w:fldChar w:fldCharType="begin"/>
            </w:r>
            <w:r w:rsidR="00C12AE3">
              <w:rPr>
                <w:webHidden/>
              </w:rPr>
              <w:instrText xml:space="preserve"> PAGEREF _Toc158801739 \h </w:instrText>
            </w:r>
            <w:r w:rsidR="00C12AE3">
              <w:rPr>
                <w:webHidden/>
              </w:rPr>
            </w:r>
            <w:r w:rsidR="00C12AE3">
              <w:rPr>
                <w:webHidden/>
              </w:rPr>
              <w:fldChar w:fldCharType="separate"/>
            </w:r>
            <w:r w:rsidR="00C12AE3">
              <w:rPr>
                <w:webHidden/>
              </w:rPr>
              <w:t>7</w:t>
            </w:r>
            <w:r w:rsidR="00C12AE3">
              <w:rPr>
                <w:webHidden/>
              </w:rPr>
              <w:fldChar w:fldCharType="end"/>
            </w:r>
          </w:hyperlink>
        </w:p>
        <w:p w14:paraId="3C4964D8" w14:textId="2520BE32"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40" w:history="1">
            <w:r w:rsidR="00C12AE3" w:rsidRPr="007B5B61">
              <w:rPr>
                <w:rStyle w:val="Hyperlink"/>
                <w:rFonts w:cs="Arial"/>
              </w:rPr>
              <w:t>3.</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Resource Cost</w:t>
            </w:r>
            <w:r w:rsidR="00C12AE3">
              <w:rPr>
                <w:webHidden/>
              </w:rPr>
              <w:tab/>
            </w:r>
            <w:r w:rsidR="00C12AE3">
              <w:rPr>
                <w:webHidden/>
              </w:rPr>
              <w:fldChar w:fldCharType="begin"/>
            </w:r>
            <w:r w:rsidR="00C12AE3">
              <w:rPr>
                <w:webHidden/>
              </w:rPr>
              <w:instrText xml:space="preserve"> PAGEREF _Toc158801740 \h </w:instrText>
            </w:r>
            <w:r w:rsidR="00C12AE3">
              <w:rPr>
                <w:webHidden/>
              </w:rPr>
            </w:r>
            <w:r w:rsidR="00C12AE3">
              <w:rPr>
                <w:webHidden/>
              </w:rPr>
              <w:fldChar w:fldCharType="separate"/>
            </w:r>
            <w:r w:rsidR="00C12AE3">
              <w:rPr>
                <w:webHidden/>
              </w:rPr>
              <w:t>8</w:t>
            </w:r>
            <w:r w:rsidR="00C12AE3">
              <w:rPr>
                <w:webHidden/>
              </w:rPr>
              <w:fldChar w:fldCharType="end"/>
            </w:r>
          </w:hyperlink>
        </w:p>
        <w:p w14:paraId="66AE8E67" w14:textId="2E9F1B1C"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41" w:history="1">
            <w:r w:rsidR="00C12AE3" w:rsidRPr="007B5B61">
              <w:rPr>
                <w:rStyle w:val="Hyperlink"/>
                <w:rFonts w:cs="Arial"/>
              </w:rPr>
              <w:t>4.</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WAF and Security Control Alignment</w:t>
            </w:r>
            <w:r w:rsidR="00C12AE3">
              <w:rPr>
                <w:webHidden/>
              </w:rPr>
              <w:tab/>
            </w:r>
            <w:r w:rsidR="00C12AE3">
              <w:rPr>
                <w:webHidden/>
              </w:rPr>
              <w:fldChar w:fldCharType="begin"/>
            </w:r>
            <w:r w:rsidR="00C12AE3">
              <w:rPr>
                <w:webHidden/>
              </w:rPr>
              <w:instrText xml:space="preserve"> PAGEREF _Toc158801741 \h </w:instrText>
            </w:r>
            <w:r w:rsidR="00C12AE3">
              <w:rPr>
                <w:webHidden/>
              </w:rPr>
            </w:r>
            <w:r w:rsidR="00C12AE3">
              <w:rPr>
                <w:webHidden/>
              </w:rPr>
              <w:fldChar w:fldCharType="separate"/>
            </w:r>
            <w:r w:rsidR="00C12AE3">
              <w:rPr>
                <w:webHidden/>
              </w:rPr>
              <w:t>8</w:t>
            </w:r>
            <w:r w:rsidR="00C12AE3">
              <w:rPr>
                <w:webHidden/>
              </w:rPr>
              <w:fldChar w:fldCharType="end"/>
            </w:r>
          </w:hyperlink>
        </w:p>
        <w:p w14:paraId="519A00C0" w14:textId="0B249087" w:rsidR="00C12AE3" w:rsidRDefault="00434A75">
          <w:pPr>
            <w:pStyle w:val="TOC2"/>
            <w:rPr>
              <w:rFonts w:asciiTheme="minorHAnsi" w:eastAsiaTheme="minorEastAsia" w:hAnsiTheme="minorHAnsi" w:cstheme="minorBidi"/>
              <w:color w:val="auto"/>
              <w:kern w:val="2"/>
              <w14:ligatures w14:val="standardContextual"/>
            </w:rPr>
          </w:pPr>
          <w:hyperlink w:anchor="_Toc158801742" w:history="1">
            <w:r w:rsidR="00C12AE3" w:rsidRPr="007B5B61">
              <w:rPr>
                <w:rStyle w:val="Hyperlink"/>
                <w:spacing w:val="-8"/>
              </w:rPr>
              <w:t>4.1</w:t>
            </w:r>
            <w:r w:rsidR="00C12AE3">
              <w:rPr>
                <w:rFonts w:asciiTheme="minorHAnsi" w:eastAsiaTheme="minorEastAsia" w:hAnsiTheme="minorHAnsi" w:cstheme="minorBidi"/>
                <w:color w:val="auto"/>
                <w:kern w:val="2"/>
                <w14:ligatures w14:val="standardContextual"/>
              </w:rPr>
              <w:tab/>
            </w:r>
            <w:r w:rsidR="00C12AE3" w:rsidRPr="007B5B61">
              <w:rPr>
                <w:rStyle w:val="Hyperlink"/>
              </w:rPr>
              <w:t>Reliability</w:t>
            </w:r>
            <w:r w:rsidR="00C12AE3">
              <w:rPr>
                <w:webHidden/>
              </w:rPr>
              <w:tab/>
            </w:r>
            <w:r w:rsidR="00C12AE3">
              <w:rPr>
                <w:webHidden/>
              </w:rPr>
              <w:fldChar w:fldCharType="begin"/>
            </w:r>
            <w:r w:rsidR="00C12AE3">
              <w:rPr>
                <w:webHidden/>
              </w:rPr>
              <w:instrText xml:space="preserve"> PAGEREF _Toc158801742 \h </w:instrText>
            </w:r>
            <w:r w:rsidR="00C12AE3">
              <w:rPr>
                <w:webHidden/>
              </w:rPr>
            </w:r>
            <w:r w:rsidR="00C12AE3">
              <w:rPr>
                <w:webHidden/>
              </w:rPr>
              <w:fldChar w:fldCharType="separate"/>
            </w:r>
            <w:r w:rsidR="00C12AE3">
              <w:rPr>
                <w:webHidden/>
              </w:rPr>
              <w:t>9</w:t>
            </w:r>
            <w:r w:rsidR="00C12AE3">
              <w:rPr>
                <w:webHidden/>
              </w:rPr>
              <w:fldChar w:fldCharType="end"/>
            </w:r>
          </w:hyperlink>
        </w:p>
        <w:p w14:paraId="1C1B9ED8" w14:textId="2E85B3BC"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43" w:history="1">
            <w:r w:rsidR="00C12AE3" w:rsidRPr="007B5B61">
              <w:rPr>
                <w:rStyle w:val="Hyperlink"/>
              </w:rPr>
              <w:t>4.1.1</w:t>
            </w:r>
            <w:r w:rsidR="00C12AE3">
              <w:rPr>
                <w:rFonts w:asciiTheme="minorHAnsi" w:eastAsiaTheme="minorEastAsia" w:hAnsiTheme="minorHAnsi" w:cstheme="minorBidi"/>
                <w:color w:val="auto"/>
                <w:kern w:val="2"/>
                <w14:ligatures w14:val="standardContextual"/>
              </w:rPr>
              <w:tab/>
            </w:r>
            <w:r w:rsidR="00C12AE3" w:rsidRPr="007B5B61">
              <w:rPr>
                <w:rStyle w:val="Hyperlink"/>
              </w:rPr>
              <w:t>Overview</w:t>
            </w:r>
            <w:r w:rsidR="00C12AE3">
              <w:rPr>
                <w:webHidden/>
              </w:rPr>
              <w:tab/>
            </w:r>
            <w:r w:rsidR="00C12AE3">
              <w:rPr>
                <w:webHidden/>
              </w:rPr>
              <w:fldChar w:fldCharType="begin"/>
            </w:r>
            <w:r w:rsidR="00C12AE3">
              <w:rPr>
                <w:webHidden/>
              </w:rPr>
              <w:instrText xml:space="preserve"> PAGEREF _Toc158801743 \h </w:instrText>
            </w:r>
            <w:r w:rsidR="00C12AE3">
              <w:rPr>
                <w:webHidden/>
              </w:rPr>
            </w:r>
            <w:r w:rsidR="00C12AE3">
              <w:rPr>
                <w:webHidden/>
              </w:rPr>
              <w:fldChar w:fldCharType="separate"/>
            </w:r>
            <w:r w:rsidR="00C12AE3">
              <w:rPr>
                <w:webHidden/>
              </w:rPr>
              <w:t>9</w:t>
            </w:r>
            <w:r w:rsidR="00C12AE3">
              <w:rPr>
                <w:webHidden/>
              </w:rPr>
              <w:fldChar w:fldCharType="end"/>
            </w:r>
          </w:hyperlink>
        </w:p>
        <w:p w14:paraId="6AA976D1" w14:textId="6DD0BC7E"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44" w:history="1">
            <w:r w:rsidR="00C12AE3" w:rsidRPr="007B5B61">
              <w:rPr>
                <w:rStyle w:val="Hyperlink"/>
              </w:rPr>
              <w:t>4.1.2</w:t>
            </w:r>
            <w:r w:rsidR="00C12AE3">
              <w:rPr>
                <w:rFonts w:asciiTheme="minorHAnsi" w:eastAsiaTheme="minorEastAsia" w:hAnsiTheme="minorHAnsi" w:cstheme="minorBidi"/>
                <w:color w:val="auto"/>
                <w:kern w:val="2"/>
                <w14:ligatures w14:val="standardContextual"/>
              </w:rPr>
              <w:tab/>
            </w:r>
            <w:r w:rsidR="00C12AE3" w:rsidRPr="007B5B61">
              <w:rPr>
                <w:rStyle w:val="Hyperlink"/>
              </w:rPr>
              <w:t>Azure Monitor and Insights Reliability Checklist</w:t>
            </w:r>
            <w:r w:rsidR="00C12AE3">
              <w:rPr>
                <w:webHidden/>
              </w:rPr>
              <w:tab/>
            </w:r>
            <w:r w:rsidR="00C12AE3">
              <w:rPr>
                <w:webHidden/>
              </w:rPr>
              <w:fldChar w:fldCharType="begin"/>
            </w:r>
            <w:r w:rsidR="00C12AE3">
              <w:rPr>
                <w:webHidden/>
              </w:rPr>
              <w:instrText xml:space="preserve"> PAGEREF _Toc158801744 \h </w:instrText>
            </w:r>
            <w:r w:rsidR="00C12AE3">
              <w:rPr>
                <w:webHidden/>
              </w:rPr>
            </w:r>
            <w:r w:rsidR="00C12AE3">
              <w:rPr>
                <w:webHidden/>
              </w:rPr>
              <w:fldChar w:fldCharType="separate"/>
            </w:r>
            <w:r w:rsidR="00C12AE3">
              <w:rPr>
                <w:webHidden/>
              </w:rPr>
              <w:t>9</w:t>
            </w:r>
            <w:r w:rsidR="00C12AE3">
              <w:rPr>
                <w:webHidden/>
              </w:rPr>
              <w:fldChar w:fldCharType="end"/>
            </w:r>
          </w:hyperlink>
        </w:p>
        <w:p w14:paraId="02403288" w14:textId="2BEE23C3" w:rsidR="00C12AE3" w:rsidRDefault="00434A75">
          <w:pPr>
            <w:pStyle w:val="TOC2"/>
            <w:rPr>
              <w:rFonts w:asciiTheme="minorHAnsi" w:eastAsiaTheme="minorEastAsia" w:hAnsiTheme="minorHAnsi" w:cstheme="minorBidi"/>
              <w:color w:val="auto"/>
              <w:kern w:val="2"/>
              <w14:ligatures w14:val="standardContextual"/>
            </w:rPr>
          </w:pPr>
          <w:hyperlink w:anchor="_Toc158801745" w:history="1">
            <w:r w:rsidR="00C12AE3" w:rsidRPr="007B5B61">
              <w:rPr>
                <w:rStyle w:val="Hyperlink"/>
                <w:spacing w:val="-8"/>
              </w:rPr>
              <w:t>4.2</w:t>
            </w:r>
            <w:r w:rsidR="00C12AE3">
              <w:rPr>
                <w:rFonts w:asciiTheme="minorHAnsi" w:eastAsiaTheme="minorEastAsia" w:hAnsiTheme="minorHAnsi" w:cstheme="minorBidi"/>
                <w:color w:val="auto"/>
                <w:kern w:val="2"/>
                <w14:ligatures w14:val="standardContextual"/>
              </w:rPr>
              <w:tab/>
            </w:r>
            <w:r w:rsidR="00C12AE3" w:rsidRPr="007B5B61">
              <w:rPr>
                <w:rStyle w:val="Hyperlink"/>
              </w:rPr>
              <w:t>Cost Optimisation</w:t>
            </w:r>
            <w:r w:rsidR="00C12AE3">
              <w:rPr>
                <w:webHidden/>
              </w:rPr>
              <w:tab/>
            </w:r>
            <w:r w:rsidR="00C12AE3">
              <w:rPr>
                <w:webHidden/>
              </w:rPr>
              <w:fldChar w:fldCharType="begin"/>
            </w:r>
            <w:r w:rsidR="00C12AE3">
              <w:rPr>
                <w:webHidden/>
              </w:rPr>
              <w:instrText xml:space="preserve"> PAGEREF _Toc158801745 \h </w:instrText>
            </w:r>
            <w:r w:rsidR="00C12AE3">
              <w:rPr>
                <w:webHidden/>
              </w:rPr>
            </w:r>
            <w:r w:rsidR="00C12AE3">
              <w:rPr>
                <w:webHidden/>
              </w:rPr>
              <w:fldChar w:fldCharType="separate"/>
            </w:r>
            <w:r w:rsidR="00C12AE3">
              <w:rPr>
                <w:webHidden/>
              </w:rPr>
              <w:t>9</w:t>
            </w:r>
            <w:r w:rsidR="00C12AE3">
              <w:rPr>
                <w:webHidden/>
              </w:rPr>
              <w:fldChar w:fldCharType="end"/>
            </w:r>
          </w:hyperlink>
        </w:p>
        <w:p w14:paraId="73DF2F85" w14:textId="31D8F992"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46" w:history="1">
            <w:r w:rsidR="00C12AE3" w:rsidRPr="007B5B61">
              <w:rPr>
                <w:rStyle w:val="Hyperlink"/>
              </w:rPr>
              <w:t>4.2.1</w:t>
            </w:r>
            <w:r w:rsidR="00C12AE3">
              <w:rPr>
                <w:rFonts w:asciiTheme="minorHAnsi" w:eastAsiaTheme="minorEastAsia" w:hAnsiTheme="minorHAnsi" w:cstheme="minorBidi"/>
                <w:color w:val="auto"/>
                <w:kern w:val="2"/>
                <w14:ligatures w14:val="standardContextual"/>
              </w:rPr>
              <w:tab/>
            </w:r>
            <w:r w:rsidR="00C12AE3" w:rsidRPr="007B5B61">
              <w:rPr>
                <w:rStyle w:val="Hyperlink"/>
              </w:rPr>
              <w:t>Overview</w:t>
            </w:r>
            <w:r w:rsidR="00C12AE3">
              <w:rPr>
                <w:webHidden/>
              </w:rPr>
              <w:tab/>
            </w:r>
            <w:r w:rsidR="00C12AE3">
              <w:rPr>
                <w:webHidden/>
              </w:rPr>
              <w:fldChar w:fldCharType="begin"/>
            </w:r>
            <w:r w:rsidR="00C12AE3">
              <w:rPr>
                <w:webHidden/>
              </w:rPr>
              <w:instrText xml:space="preserve"> PAGEREF _Toc158801746 \h </w:instrText>
            </w:r>
            <w:r w:rsidR="00C12AE3">
              <w:rPr>
                <w:webHidden/>
              </w:rPr>
            </w:r>
            <w:r w:rsidR="00C12AE3">
              <w:rPr>
                <w:webHidden/>
              </w:rPr>
              <w:fldChar w:fldCharType="separate"/>
            </w:r>
            <w:r w:rsidR="00C12AE3">
              <w:rPr>
                <w:webHidden/>
              </w:rPr>
              <w:t>9</w:t>
            </w:r>
            <w:r w:rsidR="00C12AE3">
              <w:rPr>
                <w:webHidden/>
              </w:rPr>
              <w:fldChar w:fldCharType="end"/>
            </w:r>
          </w:hyperlink>
        </w:p>
        <w:p w14:paraId="542EF049" w14:textId="78F635E1"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47" w:history="1">
            <w:r w:rsidR="00C12AE3" w:rsidRPr="007B5B61">
              <w:rPr>
                <w:rStyle w:val="Hyperlink"/>
              </w:rPr>
              <w:t>4.2.2</w:t>
            </w:r>
            <w:r w:rsidR="00C12AE3">
              <w:rPr>
                <w:rFonts w:asciiTheme="minorHAnsi" w:eastAsiaTheme="minorEastAsia" w:hAnsiTheme="minorHAnsi" w:cstheme="minorBidi"/>
                <w:color w:val="auto"/>
                <w:kern w:val="2"/>
                <w14:ligatures w14:val="standardContextual"/>
              </w:rPr>
              <w:tab/>
            </w:r>
            <w:r w:rsidR="00C12AE3" w:rsidRPr="007B5B61">
              <w:rPr>
                <w:rStyle w:val="Hyperlink"/>
              </w:rPr>
              <w:t>Azure Monitor and Insights Cost Optimisation Checklist</w:t>
            </w:r>
            <w:r w:rsidR="00C12AE3">
              <w:rPr>
                <w:webHidden/>
              </w:rPr>
              <w:tab/>
            </w:r>
            <w:r w:rsidR="00C12AE3">
              <w:rPr>
                <w:webHidden/>
              </w:rPr>
              <w:fldChar w:fldCharType="begin"/>
            </w:r>
            <w:r w:rsidR="00C12AE3">
              <w:rPr>
                <w:webHidden/>
              </w:rPr>
              <w:instrText xml:space="preserve"> PAGEREF _Toc158801747 \h </w:instrText>
            </w:r>
            <w:r w:rsidR="00C12AE3">
              <w:rPr>
                <w:webHidden/>
              </w:rPr>
            </w:r>
            <w:r w:rsidR="00C12AE3">
              <w:rPr>
                <w:webHidden/>
              </w:rPr>
              <w:fldChar w:fldCharType="separate"/>
            </w:r>
            <w:r w:rsidR="00C12AE3">
              <w:rPr>
                <w:webHidden/>
              </w:rPr>
              <w:t>9</w:t>
            </w:r>
            <w:r w:rsidR="00C12AE3">
              <w:rPr>
                <w:webHidden/>
              </w:rPr>
              <w:fldChar w:fldCharType="end"/>
            </w:r>
          </w:hyperlink>
        </w:p>
        <w:p w14:paraId="27C511BD" w14:textId="752A8F7F" w:rsidR="00C12AE3" w:rsidRDefault="00434A75">
          <w:pPr>
            <w:pStyle w:val="TOC2"/>
            <w:rPr>
              <w:rFonts w:asciiTheme="minorHAnsi" w:eastAsiaTheme="minorEastAsia" w:hAnsiTheme="minorHAnsi" w:cstheme="minorBidi"/>
              <w:color w:val="auto"/>
              <w:kern w:val="2"/>
              <w14:ligatures w14:val="standardContextual"/>
            </w:rPr>
          </w:pPr>
          <w:hyperlink w:anchor="_Toc158801748" w:history="1">
            <w:r w:rsidR="00C12AE3" w:rsidRPr="007B5B61">
              <w:rPr>
                <w:rStyle w:val="Hyperlink"/>
                <w:spacing w:val="-8"/>
              </w:rPr>
              <w:t>4.3</w:t>
            </w:r>
            <w:r w:rsidR="00C12AE3">
              <w:rPr>
                <w:rFonts w:asciiTheme="minorHAnsi" w:eastAsiaTheme="minorEastAsia" w:hAnsiTheme="minorHAnsi" w:cstheme="minorBidi"/>
                <w:color w:val="auto"/>
                <w:kern w:val="2"/>
                <w14:ligatures w14:val="standardContextual"/>
              </w:rPr>
              <w:tab/>
            </w:r>
            <w:r w:rsidR="00C12AE3" w:rsidRPr="007B5B61">
              <w:rPr>
                <w:rStyle w:val="Hyperlink"/>
              </w:rPr>
              <w:t>Operational Excellence</w:t>
            </w:r>
            <w:r w:rsidR="00C12AE3">
              <w:rPr>
                <w:webHidden/>
              </w:rPr>
              <w:tab/>
            </w:r>
            <w:r w:rsidR="00C12AE3">
              <w:rPr>
                <w:webHidden/>
              </w:rPr>
              <w:fldChar w:fldCharType="begin"/>
            </w:r>
            <w:r w:rsidR="00C12AE3">
              <w:rPr>
                <w:webHidden/>
              </w:rPr>
              <w:instrText xml:space="preserve"> PAGEREF _Toc158801748 \h </w:instrText>
            </w:r>
            <w:r w:rsidR="00C12AE3">
              <w:rPr>
                <w:webHidden/>
              </w:rPr>
            </w:r>
            <w:r w:rsidR="00C12AE3">
              <w:rPr>
                <w:webHidden/>
              </w:rPr>
              <w:fldChar w:fldCharType="separate"/>
            </w:r>
            <w:r w:rsidR="00C12AE3">
              <w:rPr>
                <w:webHidden/>
              </w:rPr>
              <w:t>10</w:t>
            </w:r>
            <w:r w:rsidR="00C12AE3">
              <w:rPr>
                <w:webHidden/>
              </w:rPr>
              <w:fldChar w:fldCharType="end"/>
            </w:r>
          </w:hyperlink>
        </w:p>
        <w:p w14:paraId="4E4644BE" w14:textId="583E1D75"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49" w:history="1">
            <w:r w:rsidR="00C12AE3" w:rsidRPr="007B5B61">
              <w:rPr>
                <w:rStyle w:val="Hyperlink"/>
              </w:rPr>
              <w:t>4.3.1</w:t>
            </w:r>
            <w:r w:rsidR="00C12AE3">
              <w:rPr>
                <w:rFonts w:asciiTheme="minorHAnsi" w:eastAsiaTheme="minorEastAsia" w:hAnsiTheme="minorHAnsi" w:cstheme="minorBidi"/>
                <w:color w:val="auto"/>
                <w:kern w:val="2"/>
                <w14:ligatures w14:val="standardContextual"/>
              </w:rPr>
              <w:tab/>
            </w:r>
            <w:r w:rsidR="00C12AE3" w:rsidRPr="007B5B61">
              <w:rPr>
                <w:rStyle w:val="Hyperlink"/>
              </w:rPr>
              <w:t>Overview</w:t>
            </w:r>
            <w:r w:rsidR="00C12AE3">
              <w:rPr>
                <w:webHidden/>
              </w:rPr>
              <w:tab/>
            </w:r>
            <w:r w:rsidR="00C12AE3">
              <w:rPr>
                <w:webHidden/>
              </w:rPr>
              <w:fldChar w:fldCharType="begin"/>
            </w:r>
            <w:r w:rsidR="00C12AE3">
              <w:rPr>
                <w:webHidden/>
              </w:rPr>
              <w:instrText xml:space="preserve"> PAGEREF _Toc158801749 \h </w:instrText>
            </w:r>
            <w:r w:rsidR="00C12AE3">
              <w:rPr>
                <w:webHidden/>
              </w:rPr>
            </w:r>
            <w:r w:rsidR="00C12AE3">
              <w:rPr>
                <w:webHidden/>
              </w:rPr>
              <w:fldChar w:fldCharType="separate"/>
            </w:r>
            <w:r w:rsidR="00C12AE3">
              <w:rPr>
                <w:webHidden/>
              </w:rPr>
              <w:t>10</w:t>
            </w:r>
            <w:r w:rsidR="00C12AE3">
              <w:rPr>
                <w:webHidden/>
              </w:rPr>
              <w:fldChar w:fldCharType="end"/>
            </w:r>
          </w:hyperlink>
        </w:p>
        <w:p w14:paraId="78C818FE" w14:textId="4F1C9F7F"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50" w:history="1">
            <w:r w:rsidR="00C12AE3" w:rsidRPr="007B5B61">
              <w:rPr>
                <w:rStyle w:val="Hyperlink"/>
              </w:rPr>
              <w:t>4.3.2</w:t>
            </w:r>
            <w:r w:rsidR="00C12AE3">
              <w:rPr>
                <w:rFonts w:asciiTheme="minorHAnsi" w:eastAsiaTheme="minorEastAsia" w:hAnsiTheme="minorHAnsi" w:cstheme="minorBidi"/>
                <w:color w:val="auto"/>
                <w:kern w:val="2"/>
                <w14:ligatures w14:val="standardContextual"/>
              </w:rPr>
              <w:tab/>
            </w:r>
            <w:r w:rsidR="00C12AE3" w:rsidRPr="007B5B61">
              <w:rPr>
                <w:rStyle w:val="Hyperlink"/>
              </w:rPr>
              <w:t>Azure Monitor and Insights Operational Excellence Checklist</w:t>
            </w:r>
            <w:r w:rsidR="00C12AE3">
              <w:rPr>
                <w:webHidden/>
              </w:rPr>
              <w:tab/>
            </w:r>
            <w:r w:rsidR="00C12AE3">
              <w:rPr>
                <w:webHidden/>
              </w:rPr>
              <w:fldChar w:fldCharType="begin"/>
            </w:r>
            <w:r w:rsidR="00C12AE3">
              <w:rPr>
                <w:webHidden/>
              </w:rPr>
              <w:instrText xml:space="preserve"> PAGEREF _Toc158801750 \h </w:instrText>
            </w:r>
            <w:r w:rsidR="00C12AE3">
              <w:rPr>
                <w:webHidden/>
              </w:rPr>
            </w:r>
            <w:r w:rsidR="00C12AE3">
              <w:rPr>
                <w:webHidden/>
              </w:rPr>
              <w:fldChar w:fldCharType="separate"/>
            </w:r>
            <w:r w:rsidR="00C12AE3">
              <w:rPr>
                <w:webHidden/>
              </w:rPr>
              <w:t>10</w:t>
            </w:r>
            <w:r w:rsidR="00C12AE3">
              <w:rPr>
                <w:webHidden/>
              </w:rPr>
              <w:fldChar w:fldCharType="end"/>
            </w:r>
          </w:hyperlink>
        </w:p>
        <w:p w14:paraId="2F73BEA9" w14:textId="375ACEB3" w:rsidR="00C12AE3" w:rsidRDefault="00434A75">
          <w:pPr>
            <w:pStyle w:val="TOC2"/>
            <w:rPr>
              <w:rFonts w:asciiTheme="minorHAnsi" w:eastAsiaTheme="minorEastAsia" w:hAnsiTheme="minorHAnsi" w:cstheme="minorBidi"/>
              <w:color w:val="auto"/>
              <w:kern w:val="2"/>
              <w14:ligatures w14:val="standardContextual"/>
            </w:rPr>
          </w:pPr>
          <w:hyperlink w:anchor="_Toc158801751" w:history="1">
            <w:r w:rsidR="00C12AE3" w:rsidRPr="007B5B61">
              <w:rPr>
                <w:rStyle w:val="Hyperlink"/>
                <w:spacing w:val="-8"/>
              </w:rPr>
              <w:t>4.4</w:t>
            </w:r>
            <w:r w:rsidR="00C12AE3">
              <w:rPr>
                <w:rFonts w:asciiTheme="minorHAnsi" w:eastAsiaTheme="minorEastAsia" w:hAnsiTheme="minorHAnsi" w:cstheme="minorBidi"/>
                <w:color w:val="auto"/>
                <w:kern w:val="2"/>
                <w14:ligatures w14:val="standardContextual"/>
              </w:rPr>
              <w:tab/>
            </w:r>
            <w:r w:rsidR="00C12AE3" w:rsidRPr="007B5B61">
              <w:rPr>
                <w:rStyle w:val="Hyperlink"/>
              </w:rPr>
              <w:t>Performance Efficiency</w:t>
            </w:r>
            <w:r w:rsidR="00C12AE3">
              <w:rPr>
                <w:webHidden/>
              </w:rPr>
              <w:tab/>
            </w:r>
            <w:r w:rsidR="00C12AE3">
              <w:rPr>
                <w:webHidden/>
              </w:rPr>
              <w:fldChar w:fldCharType="begin"/>
            </w:r>
            <w:r w:rsidR="00C12AE3">
              <w:rPr>
                <w:webHidden/>
              </w:rPr>
              <w:instrText xml:space="preserve"> PAGEREF _Toc158801751 \h </w:instrText>
            </w:r>
            <w:r w:rsidR="00C12AE3">
              <w:rPr>
                <w:webHidden/>
              </w:rPr>
            </w:r>
            <w:r w:rsidR="00C12AE3">
              <w:rPr>
                <w:webHidden/>
              </w:rPr>
              <w:fldChar w:fldCharType="separate"/>
            </w:r>
            <w:r w:rsidR="00C12AE3">
              <w:rPr>
                <w:webHidden/>
              </w:rPr>
              <w:t>11</w:t>
            </w:r>
            <w:r w:rsidR="00C12AE3">
              <w:rPr>
                <w:webHidden/>
              </w:rPr>
              <w:fldChar w:fldCharType="end"/>
            </w:r>
          </w:hyperlink>
        </w:p>
        <w:p w14:paraId="066632F0" w14:textId="494513C9"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52" w:history="1">
            <w:r w:rsidR="00C12AE3" w:rsidRPr="007B5B61">
              <w:rPr>
                <w:rStyle w:val="Hyperlink"/>
              </w:rPr>
              <w:t>4.4.1</w:t>
            </w:r>
            <w:r w:rsidR="00C12AE3">
              <w:rPr>
                <w:rFonts w:asciiTheme="minorHAnsi" w:eastAsiaTheme="minorEastAsia" w:hAnsiTheme="minorHAnsi" w:cstheme="minorBidi"/>
                <w:color w:val="auto"/>
                <w:kern w:val="2"/>
                <w14:ligatures w14:val="standardContextual"/>
              </w:rPr>
              <w:tab/>
            </w:r>
            <w:r w:rsidR="00C12AE3" w:rsidRPr="007B5B61">
              <w:rPr>
                <w:rStyle w:val="Hyperlink"/>
              </w:rPr>
              <w:t>Overview</w:t>
            </w:r>
            <w:r w:rsidR="00C12AE3">
              <w:rPr>
                <w:webHidden/>
              </w:rPr>
              <w:tab/>
            </w:r>
            <w:r w:rsidR="00C12AE3">
              <w:rPr>
                <w:webHidden/>
              </w:rPr>
              <w:fldChar w:fldCharType="begin"/>
            </w:r>
            <w:r w:rsidR="00C12AE3">
              <w:rPr>
                <w:webHidden/>
              </w:rPr>
              <w:instrText xml:space="preserve"> PAGEREF _Toc158801752 \h </w:instrText>
            </w:r>
            <w:r w:rsidR="00C12AE3">
              <w:rPr>
                <w:webHidden/>
              </w:rPr>
            </w:r>
            <w:r w:rsidR="00C12AE3">
              <w:rPr>
                <w:webHidden/>
              </w:rPr>
              <w:fldChar w:fldCharType="separate"/>
            </w:r>
            <w:r w:rsidR="00C12AE3">
              <w:rPr>
                <w:webHidden/>
              </w:rPr>
              <w:t>11</w:t>
            </w:r>
            <w:r w:rsidR="00C12AE3">
              <w:rPr>
                <w:webHidden/>
              </w:rPr>
              <w:fldChar w:fldCharType="end"/>
            </w:r>
          </w:hyperlink>
        </w:p>
        <w:p w14:paraId="19BCD6FD" w14:textId="476CCAC1"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53" w:history="1">
            <w:r w:rsidR="00C12AE3" w:rsidRPr="007B5B61">
              <w:rPr>
                <w:rStyle w:val="Hyperlink"/>
              </w:rPr>
              <w:t>4.4.2</w:t>
            </w:r>
            <w:r w:rsidR="00C12AE3">
              <w:rPr>
                <w:rFonts w:asciiTheme="minorHAnsi" w:eastAsiaTheme="minorEastAsia" w:hAnsiTheme="minorHAnsi" w:cstheme="minorBidi"/>
                <w:color w:val="auto"/>
                <w:kern w:val="2"/>
                <w14:ligatures w14:val="standardContextual"/>
              </w:rPr>
              <w:tab/>
            </w:r>
            <w:r w:rsidR="00C12AE3" w:rsidRPr="007B5B61">
              <w:rPr>
                <w:rStyle w:val="Hyperlink"/>
              </w:rPr>
              <w:t>Azure Monitor and Insights Performance Efficiency Checklist</w:t>
            </w:r>
            <w:r w:rsidR="00C12AE3">
              <w:rPr>
                <w:webHidden/>
              </w:rPr>
              <w:tab/>
            </w:r>
            <w:r w:rsidR="00C12AE3">
              <w:rPr>
                <w:webHidden/>
              </w:rPr>
              <w:fldChar w:fldCharType="begin"/>
            </w:r>
            <w:r w:rsidR="00C12AE3">
              <w:rPr>
                <w:webHidden/>
              </w:rPr>
              <w:instrText xml:space="preserve"> PAGEREF _Toc158801753 \h </w:instrText>
            </w:r>
            <w:r w:rsidR="00C12AE3">
              <w:rPr>
                <w:webHidden/>
              </w:rPr>
            </w:r>
            <w:r w:rsidR="00C12AE3">
              <w:rPr>
                <w:webHidden/>
              </w:rPr>
              <w:fldChar w:fldCharType="separate"/>
            </w:r>
            <w:r w:rsidR="00C12AE3">
              <w:rPr>
                <w:webHidden/>
              </w:rPr>
              <w:t>11</w:t>
            </w:r>
            <w:r w:rsidR="00C12AE3">
              <w:rPr>
                <w:webHidden/>
              </w:rPr>
              <w:fldChar w:fldCharType="end"/>
            </w:r>
          </w:hyperlink>
        </w:p>
        <w:p w14:paraId="7C906B6B" w14:textId="0E13F010" w:rsidR="00C12AE3" w:rsidRDefault="00434A75">
          <w:pPr>
            <w:pStyle w:val="TOC2"/>
            <w:rPr>
              <w:rFonts w:asciiTheme="minorHAnsi" w:eastAsiaTheme="minorEastAsia" w:hAnsiTheme="minorHAnsi" w:cstheme="minorBidi"/>
              <w:color w:val="auto"/>
              <w:kern w:val="2"/>
              <w14:ligatures w14:val="standardContextual"/>
            </w:rPr>
          </w:pPr>
          <w:hyperlink w:anchor="_Toc158801754" w:history="1">
            <w:r w:rsidR="00C12AE3" w:rsidRPr="007B5B61">
              <w:rPr>
                <w:rStyle w:val="Hyperlink"/>
                <w:spacing w:val="-8"/>
              </w:rPr>
              <w:t>4.5</w:t>
            </w:r>
            <w:r w:rsidR="00C12AE3">
              <w:rPr>
                <w:rFonts w:asciiTheme="minorHAnsi" w:eastAsiaTheme="minorEastAsia" w:hAnsiTheme="minorHAnsi" w:cstheme="minorBidi"/>
                <w:color w:val="auto"/>
                <w:kern w:val="2"/>
                <w14:ligatures w14:val="standardContextual"/>
              </w:rPr>
              <w:tab/>
            </w:r>
            <w:r w:rsidR="00C12AE3" w:rsidRPr="007B5B61">
              <w:rPr>
                <w:rStyle w:val="Hyperlink"/>
              </w:rPr>
              <w:t>Security</w:t>
            </w:r>
            <w:r w:rsidR="00C12AE3">
              <w:rPr>
                <w:webHidden/>
              </w:rPr>
              <w:tab/>
            </w:r>
            <w:r w:rsidR="00C12AE3">
              <w:rPr>
                <w:webHidden/>
              </w:rPr>
              <w:fldChar w:fldCharType="begin"/>
            </w:r>
            <w:r w:rsidR="00C12AE3">
              <w:rPr>
                <w:webHidden/>
              </w:rPr>
              <w:instrText xml:space="preserve"> PAGEREF _Toc158801754 \h </w:instrText>
            </w:r>
            <w:r w:rsidR="00C12AE3">
              <w:rPr>
                <w:webHidden/>
              </w:rPr>
            </w:r>
            <w:r w:rsidR="00C12AE3">
              <w:rPr>
                <w:webHidden/>
              </w:rPr>
              <w:fldChar w:fldCharType="separate"/>
            </w:r>
            <w:r w:rsidR="00C12AE3">
              <w:rPr>
                <w:webHidden/>
              </w:rPr>
              <w:t>12</w:t>
            </w:r>
            <w:r w:rsidR="00C12AE3">
              <w:rPr>
                <w:webHidden/>
              </w:rPr>
              <w:fldChar w:fldCharType="end"/>
            </w:r>
          </w:hyperlink>
        </w:p>
        <w:p w14:paraId="4B75DAF6" w14:textId="113FC7F9"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55" w:history="1">
            <w:r w:rsidR="00C12AE3" w:rsidRPr="007B5B61">
              <w:rPr>
                <w:rStyle w:val="Hyperlink"/>
              </w:rPr>
              <w:t>4.5.1</w:t>
            </w:r>
            <w:r w:rsidR="00C12AE3">
              <w:rPr>
                <w:rFonts w:asciiTheme="minorHAnsi" w:eastAsiaTheme="minorEastAsia" w:hAnsiTheme="minorHAnsi" w:cstheme="minorBidi"/>
                <w:color w:val="auto"/>
                <w:kern w:val="2"/>
                <w14:ligatures w14:val="standardContextual"/>
              </w:rPr>
              <w:tab/>
            </w:r>
            <w:r w:rsidR="00C12AE3" w:rsidRPr="007B5B61">
              <w:rPr>
                <w:rStyle w:val="Hyperlink"/>
              </w:rPr>
              <w:t>Overview</w:t>
            </w:r>
            <w:r w:rsidR="00C12AE3">
              <w:rPr>
                <w:webHidden/>
              </w:rPr>
              <w:tab/>
            </w:r>
            <w:r w:rsidR="00C12AE3">
              <w:rPr>
                <w:webHidden/>
              </w:rPr>
              <w:fldChar w:fldCharType="begin"/>
            </w:r>
            <w:r w:rsidR="00C12AE3">
              <w:rPr>
                <w:webHidden/>
              </w:rPr>
              <w:instrText xml:space="preserve"> PAGEREF _Toc158801755 \h </w:instrText>
            </w:r>
            <w:r w:rsidR="00C12AE3">
              <w:rPr>
                <w:webHidden/>
              </w:rPr>
            </w:r>
            <w:r w:rsidR="00C12AE3">
              <w:rPr>
                <w:webHidden/>
              </w:rPr>
              <w:fldChar w:fldCharType="separate"/>
            </w:r>
            <w:r w:rsidR="00C12AE3">
              <w:rPr>
                <w:webHidden/>
              </w:rPr>
              <w:t>12</w:t>
            </w:r>
            <w:r w:rsidR="00C12AE3">
              <w:rPr>
                <w:webHidden/>
              </w:rPr>
              <w:fldChar w:fldCharType="end"/>
            </w:r>
          </w:hyperlink>
        </w:p>
        <w:p w14:paraId="035DE936" w14:textId="0E782ACA"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56" w:history="1">
            <w:r w:rsidR="00C12AE3" w:rsidRPr="007B5B61">
              <w:rPr>
                <w:rStyle w:val="Hyperlink"/>
                <w:rFonts w:cs="Arial"/>
              </w:rPr>
              <w:t>5.</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Architecture Summary</w:t>
            </w:r>
            <w:r w:rsidR="00C12AE3">
              <w:rPr>
                <w:webHidden/>
              </w:rPr>
              <w:tab/>
            </w:r>
            <w:r w:rsidR="00C12AE3">
              <w:rPr>
                <w:webHidden/>
              </w:rPr>
              <w:fldChar w:fldCharType="begin"/>
            </w:r>
            <w:r w:rsidR="00C12AE3">
              <w:rPr>
                <w:webHidden/>
              </w:rPr>
              <w:instrText xml:space="preserve"> PAGEREF _Toc158801756 \h </w:instrText>
            </w:r>
            <w:r w:rsidR="00C12AE3">
              <w:rPr>
                <w:webHidden/>
              </w:rPr>
            </w:r>
            <w:r w:rsidR="00C12AE3">
              <w:rPr>
                <w:webHidden/>
              </w:rPr>
              <w:fldChar w:fldCharType="separate"/>
            </w:r>
            <w:r w:rsidR="00C12AE3">
              <w:rPr>
                <w:webHidden/>
              </w:rPr>
              <w:t>13</w:t>
            </w:r>
            <w:r w:rsidR="00C12AE3">
              <w:rPr>
                <w:webHidden/>
              </w:rPr>
              <w:fldChar w:fldCharType="end"/>
            </w:r>
          </w:hyperlink>
        </w:p>
        <w:p w14:paraId="44C867ED" w14:textId="3B45AC20" w:rsidR="00C12AE3" w:rsidRDefault="00434A75">
          <w:pPr>
            <w:pStyle w:val="TOC2"/>
            <w:rPr>
              <w:rFonts w:asciiTheme="minorHAnsi" w:eastAsiaTheme="minorEastAsia" w:hAnsiTheme="minorHAnsi" w:cstheme="minorBidi"/>
              <w:color w:val="auto"/>
              <w:kern w:val="2"/>
              <w14:ligatures w14:val="standardContextual"/>
            </w:rPr>
          </w:pPr>
          <w:hyperlink w:anchor="_Toc158801757" w:history="1">
            <w:r w:rsidR="00C12AE3" w:rsidRPr="007B5B61">
              <w:rPr>
                <w:rStyle w:val="Hyperlink"/>
                <w:spacing w:val="-8"/>
              </w:rPr>
              <w:t>5.1</w:t>
            </w:r>
            <w:r w:rsidR="00C12AE3">
              <w:rPr>
                <w:rFonts w:asciiTheme="minorHAnsi" w:eastAsiaTheme="minorEastAsia" w:hAnsiTheme="minorHAnsi" w:cstheme="minorBidi"/>
                <w:color w:val="auto"/>
                <w:kern w:val="2"/>
                <w14:ligatures w14:val="standardContextual"/>
              </w:rPr>
              <w:tab/>
            </w:r>
            <w:r w:rsidR="00C12AE3" w:rsidRPr="007B5B61">
              <w:rPr>
                <w:rStyle w:val="Hyperlink"/>
              </w:rPr>
              <w:t>Resource Overview</w:t>
            </w:r>
            <w:r w:rsidR="00C12AE3">
              <w:rPr>
                <w:webHidden/>
              </w:rPr>
              <w:tab/>
            </w:r>
            <w:r w:rsidR="00C12AE3">
              <w:rPr>
                <w:webHidden/>
              </w:rPr>
              <w:fldChar w:fldCharType="begin"/>
            </w:r>
            <w:r w:rsidR="00C12AE3">
              <w:rPr>
                <w:webHidden/>
              </w:rPr>
              <w:instrText xml:space="preserve"> PAGEREF _Toc158801757 \h </w:instrText>
            </w:r>
            <w:r w:rsidR="00C12AE3">
              <w:rPr>
                <w:webHidden/>
              </w:rPr>
            </w:r>
            <w:r w:rsidR="00C12AE3">
              <w:rPr>
                <w:webHidden/>
              </w:rPr>
              <w:fldChar w:fldCharType="separate"/>
            </w:r>
            <w:r w:rsidR="00C12AE3">
              <w:rPr>
                <w:webHidden/>
              </w:rPr>
              <w:t>13</w:t>
            </w:r>
            <w:r w:rsidR="00C12AE3">
              <w:rPr>
                <w:webHidden/>
              </w:rPr>
              <w:fldChar w:fldCharType="end"/>
            </w:r>
          </w:hyperlink>
        </w:p>
        <w:p w14:paraId="5747C87C" w14:textId="7119FFD3"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58" w:history="1">
            <w:r w:rsidR="00C12AE3" w:rsidRPr="007B5B61">
              <w:rPr>
                <w:rStyle w:val="Hyperlink"/>
              </w:rPr>
              <w:t>5.1.1</w:t>
            </w:r>
            <w:r w:rsidR="00C12AE3">
              <w:rPr>
                <w:rFonts w:asciiTheme="minorHAnsi" w:eastAsiaTheme="minorEastAsia" w:hAnsiTheme="minorHAnsi" w:cstheme="minorBidi"/>
                <w:color w:val="auto"/>
                <w:kern w:val="2"/>
                <w14:ligatures w14:val="standardContextual"/>
              </w:rPr>
              <w:tab/>
            </w:r>
            <w:r w:rsidR="00C12AE3" w:rsidRPr="007B5B61">
              <w:rPr>
                <w:rStyle w:val="Hyperlink"/>
              </w:rPr>
              <w:t>Azure Monitor Insights</w:t>
            </w:r>
            <w:r w:rsidR="00C12AE3">
              <w:rPr>
                <w:webHidden/>
              </w:rPr>
              <w:tab/>
            </w:r>
            <w:r w:rsidR="00C12AE3">
              <w:rPr>
                <w:webHidden/>
              </w:rPr>
              <w:fldChar w:fldCharType="begin"/>
            </w:r>
            <w:r w:rsidR="00C12AE3">
              <w:rPr>
                <w:webHidden/>
              </w:rPr>
              <w:instrText xml:space="preserve"> PAGEREF _Toc158801758 \h </w:instrText>
            </w:r>
            <w:r w:rsidR="00C12AE3">
              <w:rPr>
                <w:webHidden/>
              </w:rPr>
            </w:r>
            <w:r w:rsidR="00C12AE3">
              <w:rPr>
                <w:webHidden/>
              </w:rPr>
              <w:fldChar w:fldCharType="separate"/>
            </w:r>
            <w:r w:rsidR="00C12AE3">
              <w:rPr>
                <w:webHidden/>
              </w:rPr>
              <w:t>14</w:t>
            </w:r>
            <w:r w:rsidR="00C12AE3">
              <w:rPr>
                <w:webHidden/>
              </w:rPr>
              <w:fldChar w:fldCharType="end"/>
            </w:r>
          </w:hyperlink>
        </w:p>
        <w:p w14:paraId="77E331A2" w14:textId="75D0832C" w:rsidR="00C12AE3" w:rsidRDefault="00434A75">
          <w:pPr>
            <w:pStyle w:val="TOC2"/>
            <w:rPr>
              <w:rFonts w:asciiTheme="minorHAnsi" w:eastAsiaTheme="minorEastAsia" w:hAnsiTheme="minorHAnsi" w:cstheme="minorBidi"/>
              <w:color w:val="auto"/>
              <w:kern w:val="2"/>
              <w14:ligatures w14:val="standardContextual"/>
            </w:rPr>
          </w:pPr>
          <w:hyperlink w:anchor="_Toc158801759" w:history="1">
            <w:r w:rsidR="00C12AE3" w:rsidRPr="007B5B61">
              <w:rPr>
                <w:rStyle w:val="Hyperlink"/>
                <w:spacing w:val="-8"/>
              </w:rPr>
              <w:t>5.2</w:t>
            </w:r>
            <w:r w:rsidR="00C12AE3">
              <w:rPr>
                <w:rFonts w:asciiTheme="minorHAnsi" w:eastAsiaTheme="minorEastAsia" w:hAnsiTheme="minorHAnsi" w:cstheme="minorBidi"/>
                <w:color w:val="auto"/>
                <w:kern w:val="2"/>
                <w14:ligatures w14:val="standardContextual"/>
              </w:rPr>
              <w:tab/>
            </w:r>
            <w:r w:rsidR="00C12AE3" w:rsidRPr="007B5B61">
              <w:rPr>
                <w:rStyle w:val="Hyperlink"/>
              </w:rPr>
              <w:t>RBAC</w:t>
            </w:r>
            <w:r w:rsidR="00C12AE3">
              <w:rPr>
                <w:webHidden/>
              </w:rPr>
              <w:tab/>
            </w:r>
            <w:r w:rsidR="00C12AE3">
              <w:rPr>
                <w:webHidden/>
              </w:rPr>
              <w:fldChar w:fldCharType="begin"/>
            </w:r>
            <w:r w:rsidR="00C12AE3">
              <w:rPr>
                <w:webHidden/>
              </w:rPr>
              <w:instrText xml:space="preserve"> PAGEREF _Toc158801759 \h </w:instrText>
            </w:r>
            <w:r w:rsidR="00C12AE3">
              <w:rPr>
                <w:webHidden/>
              </w:rPr>
            </w:r>
            <w:r w:rsidR="00C12AE3">
              <w:rPr>
                <w:webHidden/>
              </w:rPr>
              <w:fldChar w:fldCharType="separate"/>
            </w:r>
            <w:r w:rsidR="00C12AE3">
              <w:rPr>
                <w:webHidden/>
              </w:rPr>
              <w:t>15</w:t>
            </w:r>
            <w:r w:rsidR="00C12AE3">
              <w:rPr>
                <w:webHidden/>
              </w:rPr>
              <w:fldChar w:fldCharType="end"/>
            </w:r>
          </w:hyperlink>
        </w:p>
        <w:p w14:paraId="61F405F7" w14:textId="558E6975" w:rsidR="00C12AE3" w:rsidRDefault="00434A75">
          <w:pPr>
            <w:pStyle w:val="TOC2"/>
            <w:rPr>
              <w:rFonts w:asciiTheme="minorHAnsi" w:eastAsiaTheme="minorEastAsia" w:hAnsiTheme="minorHAnsi" w:cstheme="minorBidi"/>
              <w:color w:val="auto"/>
              <w:kern w:val="2"/>
              <w14:ligatures w14:val="standardContextual"/>
            </w:rPr>
          </w:pPr>
          <w:hyperlink w:anchor="_Toc158801760" w:history="1">
            <w:r w:rsidR="00C12AE3" w:rsidRPr="007B5B61">
              <w:rPr>
                <w:rStyle w:val="Hyperlink"/>
                <w:spacing w:val="-8"/>
              </w:rPr>
              <w:t>5.3</w:t>
            </w:r>
            <w:r w:rsidR="00C12AE3">
              <w:rPr>
                <w:rFonts w:asciiTheme="minorHAnsi" w:eastAsiaTheme="minorEastAsia" w:hAnsiTheme="minorHAnsi" w:cstheme="minorBidi"/>
                <w:color w:val="auto"/>
                <w:kern w:val="2"/>
                <w14:ligatures w14:val="standardContextual"/>
              </w:rPr>
              <w:tab/>
            </w:r>
            <w:r w:rsidR="00C12AE3" w:rsidRPr="007B5B61">
              <w:rPr>
                <w:rStyle w:val="Hyperlink"/>
              </w:rPr>
              <w:t>Design Decisions and Justifications</w:t>
            </w:r>
            <w:r w:rsidR="00C12AE3">
              <w:rPr>
                <w:webHidden/>
              </w:rPr>
              <w:tab/>
            </w:r>
            <w:r w:rsidR="00C12AE3">
              <w:rPr>
                <w:webHidden/>
              </w:rPr>
              <w:fldChar w:fldCharType="begin"/>
            </w:r>
            <w:r w:rsidR="00C12AE3">
              <w:rPr>
                <w:webHidden/>
              </w:rPr>
              <w:instrText xml:space="preserve"> PAGEREF _Toc158801760 \h </w:instrText>
            </w:r>
            <w:r w:rsidR="00C12AE3">
              <w:rPr>
                <w:webHidden/>
              </w:rPr>
            </w:r>
            <w:r w:rsidR="00C12AE3">
              <w:rPr>
                <w:webHidden/>
              </w:rPr>
              <w:fldChar w:fldCharType="separate"/>
            </w:r>
            <w:r w:rsidR="00C12AE3">
              <w:rPr>
                <w:webHidden/>
              </w:rPr>
              <w:t>16</w:t>
            </w:r>
            <w:r w:rsidR="00C12AE3">
              <w:rPr>
                <w:webHidden/>
              </w:rPr>
              <w:fldChar w:fldCharType="end"/>
            </w:r>
          </w:hyperlink>
        </w:p>
        <w:p w14:paraId="6995C725" w14:textId="585FFC1A"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61" w:history="1">
            <w:r w:rsidR="00C12AE3" w:rsidRPr="007B5B61">
              <w:rPr>
                <w:rStyle w:val="Hyperlink"/>
              </w:rPr>
              <w:t>5.3.1</w:t>
            </w:r>
            <w:r w:rsidR="00C12AE3">
              <w:rPr>
                <w:rFonts w:asciiTheme="minorHAnsi" w:eastAsiaTheme="minorEastAsia" w:hAnsiTheme="minorHAnsi" w:cstheme="minorBidi"/>
                <w:color w:val="auto"/>
                <w:kern w:val="2"/>
                <w14:ligatures w14:val="standardContextual"/>
              </w:rPr>
              <w:tab/>
            </w:r>
            <w:r w:rsidR="00C12AE3" w:rsidRPr="007B5B61">
              <w:rPr>
                <w:rStyle w:val="Hyperlink"/>
              </w:rPr>
              <w:t>Configuring General Logging and Metrics</w:t>
            </w:r>
            <w:r w:rsidR="00C12AE3">
              <w:rPr>
                <w:webHidden/>
              </w:rPr>
              <w:tab/>
            </w:r>
            <w:r w:rsidR="00C12AE3">
              <w:rPr>
                <w:webHidden/>
              </w:rPr>
              <w:fldChar w:fldCharType="begin"/>
            </w:r>
            <w:r w:rsidR="00C12AE3">
              <w:rPr>
                <w:webHidden/>
              </w:rPr>
              <w:instrText xml:space="preserve"> PAGEREF _Toc158801761 \h </w:instrText>
            </w:r>
            <w:r w:rsidR="00C12AE3">
              <w:rPr>
                <w:webHidden/>
              </w:rPr>
            </w:r>
            <w:r w:rsidR="00C12AE3">
              <w:rPr>
                <w:webHidden/>
              </w:rPr>
              <w:fldChar w:fldCharType="separate"/>
            </w:r>
            <w:r w:rsidR="00C12AE3">
              <w:rPr>
                <w:webHidden/>
              </w:rPr>
              <w:t>16</w:t>
            </w:r>
            <w:r w:rsidR="00C12AE3">
              <w:rPr>
                <w:webHidden/>
              </w:rPr>
              <w:fldChar w:fldCharType="end"/>
            </w:r>
          </w:hyperlink>
        </w:p>
        <w:p w14:paraId="3205BE4B" w14:textId="3F32E0D9"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62" w:history="1">
            <w:r w:rsidR="00C12AE3" w:rsidRPr="007B5B61">
              <w:rPr>
                <w:rStyle w:val="Hyperlink"/>
              </w:rPr>
              <w:t>5.3.2</w:t>
            </w:r>
            <w:r w:rsidR="00C12AE3">
              <w:rPr>
                <w:rFonts w:asciiTheme="minorHAnsi" w:eastAsiaTheme="minorEastAsia" w:hAnsiTheme="minorHAnsi" w:cstheme="minorBidi"/>
                <w:color w:val="auto"/>
                <w:kern w:val="2"/>
                <w14:ligatures w14:val="standardContextual"/>
              </w:rPr>
              <w:tab/>
            </w:r>
            <w:r w:rsidR="00C12AE3" w:rsidRPr="007B5B61">
              <w:rPr>
                <w:rStyle w:val="Hyperlink"/>
              </w:rPr>
              <w:t>Configuring VM Insights</w:t>
            </w:r>
            <w:r w:rsidR="00C12AE3">
              <w:rPr>
                <w:webHidden/>
              </w:rPr>
              <w:tab/>
            </w:r>
            <w:r w:rsidR="00C12AE3">
              <w:rPr>
                <w:webHidden/>
              </w:rPr>
              <w:fldChar w:fldCharType="begin"/>
            </w:r>
            <w:r w:rsidR="00C12AE3">
              <w:rPr>
                <w:webHidden/>
              </w:rPr>
              <w:instrText xml:space="preserve"> PAGEREF _Toc158801762 \h </w:instrText>
            </w:r>
            <w:r w:rsidR="00C12AE3">
              <w:rPr>
                <w:webHidden/>
              </w:rPr>
            </w:r>
            <w:r w:rsidR="00C12AE3">
              <w:rPr>
                <w:webHidden/>
              </w:rPr>
              <w:fldChar w:fldCharType="separate"/>
            </w:r>
            <w:r w:rsidR="00C12AE3">
              <w:rPr>
                <w:webHidden/>
              </w:rPr>
              <w:t>16</w:t>
            </w:r>
            <w:r w:rsidR="00C12AE3">
              <w:rPr>
                <w:webHidden/>
              </w:rPr>
              <w:fldChar w:fldCharType="end"/>
            </w:r>
          </w:hyperlink>
        </w:p>
        <w:p w14:paraId="216213A5" w14:textId="32B36D99"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63" w:history="1">
            <w:r w:rsidR="00C12AE3" w:rsidRPr="007B5B61">
              <w:rPr>
                <w:rStyle w:val="Hyperlink"/>
              </w:rPr>
              <w:t>5.3.3</w:t>
            </w:r>
            <w:r w:rsidR="00C12AE3">
              <w:rPr>
                <w:rFonts w:asciiTheme="minorHAnsi" w:eastAsiaTheme="minorEastAsia" w:hAnsiTheme="minorHAnsi" w:cstheme="minorBidi"/>
                <w:color w:val="auto"/>
                <w:kern w:val="2"/>
                <w14:ligatures w14:val="standardContextual"/>
              </w:rPr>
              <w:tab/>
            </w:r>
            <w:r w:rsidR="00C12AE3" w:rsidRPr="007B5B61">
              <w:rPr>
                <w:rStyle w:val="Hyperlink"/>
              </w:rPr>
              <w:t>Configuring Container Insights</w:t>
            </w:r>
            <w:r w:rsidR="00C12AE3">
              <w:rPr>
                <w:webHidden/>
              </w:rPr>
              <w:tab/>
            </w:r>
            <w:r w:rsidR="00C12AE3">
              <w:rPr>
                <w:webHidden/>
              </w:rPr>
              <w:fldChar w:fldCharType="begin"/>
            </w:r>
            <w:r w:rsidR="00C12AE3">
              <w:rPr>
                <w:webHidden/>
              </w:rPr>
              <w:instrText xml:space="preserve"> PAGEREF _Toc158801763 \h </w:instrText>
            </w:r>
            <w:r w:rsidR="00C12AE3">
              <w:rPr>
                <w:webHidden/>
              </w:rPr>
            </w:r>
            <w:r w:rsidR="00C12AE3">
              <w:rPr>
                <w:webHidden/>
              </w:rPr>
              <w:fldChar w:fldCharType="separate"/>
            </w:r>
            <w:r w:rsidR="00C12AE3">
              <w:rPr>
                <w:webHidden/>
              </w:rPr>
              <w:t>16</w:t>
            </w:r>
            <w:r w:rsidR="00C12AE3">
              <w:rPr>
                <w:webHidden/>
              </w:rPr>
              <w:fldChar w:fldCharType="end"/>
            </w:r>
          </w:hyperlink>
        </w:p>
        <w:p w14:paraId="4A9876F5" w14:textId="4B1706FB"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64" w:history="1">
            <w:r w:rsidR="00C12AE3" w:rsidRPr="007B5B61">
              <w:rPr>
                <w:rStyle w:val="Hyperlink"/>
              </w:rPr>
              <w:t>5.3.4</w:t>
            </w:r>
            <w:r w:rsidR="00C12AE3">
              <w:rPr>
                <w:rFonts w:asciiTheme="minorHAnsi" w:eastAsiaTheme="minorEastAsia" w:hAnsiTheme="minorHAnsi" w:cstheme="minorBidi"/>
                <w:color w:val="auto"/>
                <w:kern w:val="2"/>
                <w14:ligatures w14:val="standardContextual"/>
              </w:rPr>
              <w:tab/>
            </w:r>
            <w:r w:rsidR="00C12AE3" w:rsidRPr="007B5B61">
              <w:rPr>
                <w:rStyle w:val="Hyperlink"/>
              </w:rPr>
              <w:t>Application Insights</w:t>
            </w:r>
            <w:r w:rsidR="00C12AE3">
              <w:rPr>
                <w:webHidden/>
              </w:rPr>
              <w:tab/>
            </w:r>
            <w:r w:rsidR="00C12AE3">
              <w:rPr>
                <w:webHidden/>
              </w:rPr>
              <w:fldChar w:fldCharType="begin"/>
            </w:r>
            <w:r w:rsidR="00C12AE3">
              <w:rPr>
                <w:webHidden/>
              </w:rPr>
              <w:instrText xml:space="preserve"> PAGEREF _Toc158801764 \h </w:instrText>
            </w:r>
            <w:r w:rsidR="00C12AE3">
              <w:rPr>
                <w:webHidden/>
              </w:rPr>
            </w:r>
            <w:r w:rsidR="00C12AE3">
              <w:rPr>
                <w:webHidden/>
              </w:rPr>
              <w:fldChar w:fldCharType="separate"/>
            </w:r>
            <w:r w:rsidR="00C12AE3">
              <w:rPr>
                <w:webHidden/>
              </w:rPr>
              <w:t>17</w:t>
            </w:r>
            <w:r w:rsidR="00C12AE3">
              <w:rPr>
                <w:webHidden/>
              </w:rPr>
              <w:fldChar w:fldCharType="end"/>
            </w:r>
          </w:hyperlink>
        </w:p>
        <w:p w14:paraId="561882EC" w14:textId="33A1661D" w:rsidR="00C12AE3" w:rsidRDefault="00434A75">
          <w:pPr>
            <w:pStyle w:val="TOC3"/>
            <w:tabs>
              <w:tab w:val="left" w:pos="2552"/>
            </w:tabs>
            <w:rPr>
              <w:rFonts w:asciiTheme="minorHAnsi" w:eastAsiaTheme="minorEastAsia" w:hAnsiTheme="minorHAnsi" w:cstheme="minorBidi"/>
              <w:color w:val="auto"/>
              <w:kern w:val="2"/>
              <w14:ligatures w14:val="standardContextual"/>
            </w:rPr>
          </w:pPr>
          <w:hyperlink w:anchor="_Toc158801765" w:history="1">
            <w:r w:rsidR="00C12AE3" w:rsidRPr="007B5B61">
              <w:rPr>
                <w:rStyle w:val="Hyperlink"/>
              </w:rPr>
              <w:t>5.3.5</w:t>
            </w:r>
            <w:r w:rsidR="00C12AE3">
              <w:rPr>
                <w:rFonts w:asciiTheme="minorHAnsi" w:eastAsiaTheme="minorEastAsia" w:hAnsiTheme="minorHAnsi" w:cstheme="minorBidi"/>
                <w:color w:val="auto"/>
                <w:kern w:val="2"/>
                <w14:ligatures w14:val="standardContextual"/>
              </w:rPr>
              <w:tab/>
            </w:r>
            <w:r w:rsidR="00C12AE3" w:rsidRPr="007B5B61">
              <w:rPr>
                <w:rStyle w:val="Hyperlink"/>
              </w:rPr>
              <w:t>Configuring Network Insights</w:t>
            </w:r>
            <w:r w:rsidR="00C12AE3">
              <w:rPr>
                <w:webHidden/>
              </w:rPr>
              <w:tab/>
            </w:r>
            <w:r w:rsidR="00C12AE3">
              <w:rPr>
                <w:webHidden/>
              </w:rPr>
              <w:fldChar w:fldCharType="begin"/>
            </w:r>
            <w:r w:rsidR="00C12AE3">
              <w:rPr>
                <w:webHidden/>
              </w:rPr>
              <w:instrText xml:space="preserve"> PAGEREF _Toc158801765 \h </w:instrText>
            </w:r>
            <w:r w:rsidR="00C12AE3">
              <w:rPr>
                <w:webHidden/>
              </w:rPr>
            </w:r>
            <w:r w:rsidR="00C12AE3">
              <w:rPr>
                <w:webHidden/>
              </w:rPr>
              <w:fldChar w:fldCharType="separate"/>
            </w:r>
            <w:r w:rsidR="00C12AE3">
              <w:rPr>
                <w:webHidden/>
              </w:rPr>
              <w:t>17</w:t>
            </w:r>
            <w:r w:rsidR="00C12AE3">
              <w:rPr>
                <w:webHidden/>
              </w:rPr>
              <w:fldChar w:fldCharType="end"/>
            </w:r>
          </w:hyperlink>
        </w:p>
        <w:p w14:paraId="0563837C" w14:textId="09E0968F"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66" w:history="1">
            <w:r w:rsidR="00C12AE3" w:rsidRPr="007B5B61">
              <w:rPr>
                <w:rStyle w:val="Hyperlink"/>
                <w:rFonts w:cs="Arial"/>
              </w:rPr>
              <w:t>6.</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Azure Policies</w:t>
            </w:r>
            <w:r w:rsidR="00C12AE3">
              <w:rPr>
                <w:webHidden/>
              </w:rPr>
              <w:tab/>
            </w:r>
            <w:r w:rsidR="00C12AE3">
              <w:rPr>
                <w:webHidden/>
              </w:rPr>
              <w:fldChar w:fldCharType="begin"/>
            </w:r>
            <w:r w:rsidR="00C12AE3">
              <w:rPr>
                <w:webHidden/>
              </w:rPr>
              <w:instrText xml:space="preserve"> PAGEREF _Toc158801766 \h </w:instrText>
            </w:r>
            <w:r w:rsidR="00C12AE3">
              <w:rPr>
                <w:webHidden/>
              </w:rPr>
            </w:r>
            <w:r w:rsidR="00C12AE3">
              <w:rPr>
                <w:webHidden/>
              </w:rPr>
              <w:fldChar w:fldCharType="separate"/>
            </w:r>
            <w:r w:rsidR="00C12AE3">
              <w:rPr>
                <w:webHidden/>
              </w:rPr>
              <w:t>18</w:t>
            </w:r>
            <w:r w:rsidR="00C12AE3">
              <w:rPr>
                <w:webHidden/>
              </w:rPr>
              <w:fldChar w:fldCharType="end"/>
            </w:r>
          </w:hyperlink>
        </w:p>
        <w:p w14:paraId="55B7E72A" w14:textId="24ABBCF8"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67" w:history="1">
            <w:r w:rsidR="00C12AE3" w:rsidRPr="007B5B61">
              <w:rPr>
                <w:rStyle w:val="Hyperlink"/>
                <w:rFonts w:cs="Arial"/>
              </w:rPr>
              <w:t>7.</w:t>
            </w:r>
            <w:r w:rsidR="00C12AE3">
              <w:rPr>
                <w:rFonts w:asciiTheme="minorHAnsi" w:eastAsiaTheme="minorEastAsia" w:hAnsiTheme="minorHAnsi" w:cstheme="minorBidi"/>
                <w:color w:val="auto"/>
                <w:kern w:val="2"/>
                <w14:ligatures w14:val="standardContextual"/>
              </w:rPr>
              <w:tab/>
            </w:r>
            <w:r w:rsidR="00C12AE3" w:rsidRPr="007B5B61">
              <w:rPr>
                <w:rStyle w:val="Hyperlink"/>
                <w:rFonts w:cs="Arial"/>
              </w:rPr>
              <w:t>Configuration Templates</w:t>
            </w:r>
            <w:r w:rsidR="00C12AE3">
              <w:rPr>
                <w:webHidden/>
              </w:rPr>
              <w:tab/>
            </w:r>
            <w:r w:rsidR="00C12AE3">
              <w:rPr>
                <w:webHidden/>
              </w:rPr>
              <w:fldChar w:fldCharType="begin"/>
            </w:r>
            <w:r w:rsidR="00C12AE3">
              <w:rPr>
                <w:webHidden/>
              </w:rPr>
              <w:instrText xml:space="preserve"> PAGEREF _Toc158801767 \h </w:instrText>
            </w:r>
            <w:r w:rsidR="00C12AE3">
              <w:rPr>
                <w:webHidden/>
              </w:rPr>
            </w:r>
            <w:r w:rsidR="00C12AE3">
              <w:rPr>
                <w:webHidden/>
              </w:rPr>
              <w:fldChar w:fldCharType="separate"/>
            </w:r>
            <w:r w:rsidR="00C12AE3">
              <w:rPr>
                <w:webHidden/>
              </w:rPr>
              <w:t>18</w:t>
            </w:r>
            <w:r w:rsidR="00C12AE3">
              <w:rPr>
                <w:webHidden/>
              </w:rPr>
              <w:fldChar w:fldCharType="end"/>
            </w:r>
          </w:hyperlink>
        </w:p>
        <w:p w14:paraId="0B2C1C2A" w14:textId="78A0F5F8" w:rsidR="00C12AE3" w:rsidRDefault="00434A75">
          <w:pPr>
            <w:pStyle w:val="TOC2"/>
            <w:rPr>
              <w:rFonts w:asciiTheme="minorHAnsi" w:eastAsiaTheme="minorEastAsia" w:hAnsiTheme="minorHAnsi" w:cstheme="minorBidi"/>
              <w:color w:val="auto"/>
              <w:kern w:val="2"/>
              <w14:ligatures w14:val="standardContextual"/>
            </w:rPr>
          </w:pPr>
          <w:hyperlink w:anchor="_Toc158801768" w:history="1">
            <w:r w:rsidR="00C12AE3" w:rsidRPr="007B5B61">
              <w:rPr>
                <w:rStyle w:val="Hyperlink"/>
                <w:spacing w:val="-8"/>
              </w:rPr>
              <w:t>7.1</w:t>
            </w:r>
            <w:r w:rsidR="00C12AE3">
              <w:rPr>
                <w:rFonts w:asciiTheme="minorHAnsi" w:eastAsiaTheme="minorEastAsia" w:hAnsiTheme="minorHAnsi" w:cstheme="minorBidi"/>
                <w:color w:val="auto"/>
                <w:kern w:val="2"/>
                <w14:ligatures w14:val="standardContextual"/>
              </w:rPr>
              <w:tab/>
            </w:r>
            <w:r w:rsidR="00C12AE3" w:rsidRPr="007B5B61">
              <w:rPr>
                <w:rStyle w:val="Hyperlink"/>
              </w:rPr>
              <w:t>Primary Region Azure Application Insights (Platinum, Gold, Silver)</w:t>
            </w:r>
            <w:r w:rsidR="00C12AE3">
              <w:rPr>
                <w:webHidden/>
              </w:rPr>
              <w:tab/>
            </w:r>
            <w:r w:rsidR="00C12AE3">
              <w:rPr>
                <w:webHidden/>
              </w:rPr>
              <w:fldChar w:fldCharType="begin"/>
            </w:r>
            <w:r w:rsidR="00C12AE3">
              <w:rPr>
                <w:webHidden/>
              </w:rPr>
              <w:instrText xml:space="preserve"> PAGEREF _Toc158801768 \h </w:instrText>
            </w:r>
            <w:r w:rsidR="00C12AE3">
              <w:rPr>
                <w:webHidden/>
              </w:rPr>
            </w:r>
            <w:r w:rsidR="00C12AE3">
              <w:rPr>
                <w:webHidden/>
              </w:rPr>
              <w:fldChar w:fldCharType="separate"/>
            </w:r>
            <w:r w:rsidR="00C12AE3">
              <w:rPr>
                <w:webHidden/>
              </w:rPr>
              <w:t>18</w:t>
            </w:r>
            <w:r w:rsidR="00C12AE3">
              <w:rPr>
                <w:webHidden/>
              </w:rPr>
              <w:fldChar w:fldCharType="end"/>
            </w:r>
          </w:hyperlink>
        </w:p>
        <w:p w14:paraId="36412BEF" w14:textId="72F35A76" w:rsidR="00C12AE3" w:rsidRDefault="00434A75">
          <w:pPr>
            <w:pStyle w:val="TOC2"/>
            <w:rPr>
              <w:rFonts w:asciiTheme="minorHAnsi" w:eastAsiaTheme="minorEastAsia" w:hAnsiTheme="minorHAnsi" w:cstheme="minorBidi"/>
              <w:color w:val="auto"/>
              <w:kern w:val="2"/>
              <w14:ligatures w14:val="standardContextual"/>
            </w:rPr>
          </w:pPr>
          <w:hyperlink w:anchor="_Toc158801769" w:history="1">
            <w:r w:rsidR="00C12AE3" w:rsidRPr="007B5B61">
              <w:rPr>
                <w:rStyle w:val="Hyperlink"/>
                <w:spacing w:val="-8"/>
              </w:rPr>
              <w:t>7.2</w:t>
            </w:r>
            <w:r w:rsidR="00C12AE3">
              <w:rPr>
                <w:rFonts w:asciiTheme="minorHAnsi" w:eastAsiaTheme="minorEastAsia" w:hAnsiTheme="minorHAnsi" w:cstheme="minorBidi"/>
                <w:color w:val="auto"/>
                <w:kern w:val="2"/>
                <w14:ligatures w14:val="standardContextual"/>
              </w:rPr>
              <w:tab/>
            </w:r>
            <w:r w:rsidR="00C12AE3" w:rsidRPr="007B5B61">
              <w:rPr>
                <w:rStyle w:val="Hyperlink"/>
              </w:rPr>
              <w:t>Secondary Region Azure Application Insights (Platinum, Gold, Silver)</w:t>
            </w:r>
            <w:r w:rsidR="00C12AE3">
              <w:rPr>
                <w:webHidden/>
              </w:rPr>
              <w:tab/>
            </w:r>
            <w:r w:rsidR="00C12AE3">
              <w:rPr>
                <w:webHidden/>
              </w:rPr>
              <w:fldChar w:fldCharType="begin"/>
            </w:r>
            <w:r w:rsidR="00C12AE3">
              <w:rPr>
                <w:webHidden/>
              </w:rPr>
              <w:instrText xml:space="preserve"> PAGEREF _Toc158801769 \h </w:instrText>
            </w:r>
            <w:r w:rsidR="00C12AE3">
              <w:rPr>
                <w:webHidden/>
              </w:rPr>
            </w:r>
            <w:r w:rsidR="00C12AE3">
              <w:rPr>
                <w:webHidden/>
              </w:rPr>
              <w:fldChar w:fldCharType="separate"/>
            </w:r>
            <w:r w:rsidR="00C12AE3">
              <w:rPr>
                <w:webHidden/>
              </w:rPr>
              <w:t>18</w:t>
            </w:r>
            <w:r w:rsidR="00C12AE3">
              <w:rPr>
                <w:webHidden/>
              </w:rPr>
              <w:fldChar w:fldCharType="end"/>
            </w:r>
          </w:hyperlink>
        </w:p>
        <w:p w14:paraId="7D3F3DE5" w14:textId="521D48C9" w:rsidR="00C12AE3" w:rsidRDefault="00434A75">
          <w:pPr>
            <w:pStyle w:val="TOC1"/>
            <w:tabs>
              <w:tab w:val="left" w:pos="851"/>
            </w:tabs>
            <w:rPr>
              <w:rFonts w:asciiTheme="minorHAnsi" w:eastAsiaTheme="minorEastAsia" w:hAnsiTheme="minorHAnsi" w:cstheme="minorBidi"/>
              <w:color w:val="auto"/>
              <w:kern w:val="2"/>
              <w14:ligatures w14:val="standardContextual"/>
            </w:rPr>
          </w:pPr>
          <w:hyperlink w:anchor="_Toc158801770" w:history="1">
            <w:r w:rsidR="00C12AE3" w:rsidRPr="007B5B61">
              <w:rPr>
                <w:rStyle w:val="Hyperlink"/>
              </w:rPr>
              <w:t>8.</w:t>
            </w:r>
            <w:r w:rsidR="00C12AE3">
              <w:rPr>
                <w:rFonts w:asciiTheme="minorHAnsi" w:eastAsiaTheme="minorEastAsia" w:hAnsiTheme="minorHAnsi" w:cstheme="minorBidi"/>
                <w:color w:val="auto"/>
                <w:kern w:val="2"/>
                <w14:ligatures w14:val="standardContextual"/>
              </w:rPr>
              <w:tab/>
            </w:r>
            <w:r w:rsidR="00C12AE3" w:rsidRPr="007B5B61">
              <w:rPr>
                <w:rStyle w:val="Hyperlink"/>
              </w:rPr>
              <w:t>Acceptance</w:t>
            </w:r>
            <w:r w:rsidR="00C12AE3">
              <w:rPr>
                <w:webHidden/>
              </w:rPr>
              <w:tab/>
            </w:r>
            <w:r w:rsidR="00C12AE3">
              <w:rPr>
                <w:webHidden/>
              </w:rPr>
              <w:fldChar w:fldCharType="begin"/>
            </w:r>
            <w:r w:rsidR="00C12AE3">
              <w:rPr>
                <w:webHidden/>
              </w:rPr>
              <w:instrText xml:space="preserve"> PAGEREF _Toc158801770 \h </w:instrText>
            </w:r>
            <w:r w:rsidR="00C12AE3">
              <w:rPr>
                <w:webHidden/>
              </w:rPr>
            </w:r>
            <w:r w:rsidR="00C12AE3">
              <w:rPr>
                <w:webHidden/>
              </w:rPr>
              <w:fldChar w:fldCharType="separate"/>
            </w:r>
            <w:r w:rsidR="00C12AE3">
              <w:rPr>
                <w:webHidden/>
              </w:rPr>
              <w:t>19</w:t>
            </w:r>
            <w:r w:rsidR="00C12AE3">
              <w:rPr>
                <w:webHidden/>
              </w:rPr>
              <w:fldChar w:fldCharType="end"/>
            </w:r>
          </w:hyperlink>
        </w:p>
        <w:p w14:paraId="62338099" w14:textId="7E3684BB" w:rsidR="00B035CE" w:rsidRDefault="00B035CE" w:rsidP="00B035CE">
          <w:pPr>
            <w:spacing w:line="360" w:lineRule="auto"/>
          </w:pPr>
          <w:r>
            <w:rPr>
              <w:b/>
              <w:bCs/>
              <w:noProof/>
              <w:color w:val="2B579A"/>
              <w:shd w:val="clear" w:color="auto" w:fill="E6E6E6"/>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8801735"/>
      <w:r w:rsidRPr="00633B64">
        <w:rPr>
          <w:rFonts w:cs="Arial"/>
        </w:rPr>
        <w:t>Overview</w:t>
      </w:r>
      <w:bookmarkEnd w:id="0"/>
      <w:r w:rsidRPr="00633B64">
        <w:rPr>
          <w:rFonts w:cs="Arial"/>
        </w:rPr>
        <w:t xml:space="preserve"> </w:t>
      </w:r>
    </w:p>
    <w:p w14:paraId="7A66AFA1" w14:textId="52C82CBF"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color w:val="2B579A"/>
            <w:sz w:val="22"/>
            <w:szCs w:val="28"/>
            <w:shd w:val="clear" w:color="auto" w:fill="E6E6E6"/>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Pr>
              <w:rFonts w:eastAsia="Arial"/>
              <w:sz w:val="22"/>
              <w:szCs w:val="28"/>
            </w:rPr>
            <w:t>Azure Monitor and Insights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color w:val="2B579A"/>
            <w:sz w:val="22"/>
            <w:szCs w:val="28"/>
            <w:shd w:val="clear" w:color="auto" w:fill="E6E6E6"/>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Pr>
              <w:rFonts w:eastAsia="Arial"/>
              <w:sz w:val="22"/>
              <w:szCs w:val="28"/>
            </w:rPr>
            <w:t>Azure Monitor and Insights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color w:val="2B579A"/>
            <w:sz w:val="22"/>
            <w:szCs w:val="28"/>
            <w:shd w:val="clear" w:color="auto" w:fill="E6E6E6"/>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Pr>
              <w:rFonts w:eastAsia="Arial"/>
              <w:sz w:val="22"/>
              <w:szCs w:val="28"/>
            </w:rPr>
            <w:t>Azure Monitor and Insights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8801736"/>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8801737"/>
      <w:r w:rsidRPr="00633B64">
        <w:rPr>
          <w:rFonts w:cs="Arial"/>
        </w:rPr>
        <w:t xml:space="preserve">Scope </w:t>
      </w:r>
      <w:r w:rsidR="000B5FB3">
        <w:rPr>
          <w:rFonts w:cs="Arial"/>
        </w:rPr>
        <w:t>and Key Deliverables</w:t>
      </w:r>
      <w:bookmarkEnd w:id="2"/>
    </w:p>
    <w:p w14:paraId="1B652062" w14:textId="227DEB31"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color w:val="2B579A"/>
            <w:shd w:val="clear" w:color="auto" w:fill="E6E6E6"/>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Pr>
              <w:rFonts w:cs="Arial"/>
            </w:rPr>
            <w:t>Azure Monitor and Insights</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8801738"/>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3C6628">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3C6628">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3C6628">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3C6628">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3C6628">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3C6628">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3C6628">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3C6628">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3C6628">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3C6628">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3C6628">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3C6628">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3C6628">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3C6628">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3C6628">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3C6628">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3C6628">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3C6628">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3C6628">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3C6628">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3C6628">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3C6628">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3C6628">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479130ED" w:rsidR="00A81BF5" w:rsidRDefault="00411A13" w:rsidP="00411A13">
      <w:pPr>
        <w:pStyle w:val="Caption"/>
        <w:jc w:val="center"/>
        <w:rPr>
          <w:rFonts w:cs="Arial"/>
          <w:highlight w:val="yellow"/>
        </w:rP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26567A">
        <w:rPr>
          <w:noProof/>
        </w:rPr>
        <w:t>1</w:t>
      </w:r>
      <w:r>
        <w:rPr>
          <w:color w:val="2B579A"/>
          <w:shd w:val="clear" w:color="auto" w:fill="E6E6E6"/>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8801739"/>
      <w:r w:rsidRPr="00633B64">
        <w:rPr>
          <w:rFonts w:cs="Arial"/>
        </w:rPr>
        <w:t>Executive Summar</w:t>
      </w:r>
      <w:r w:rsidR="00006C3A">
        <w:rPr>
          <w:rFonts w:cs="Arial"/>
        </w:rPr>
        <w:t>y</w:t>
      </w:r>
      <w:bookmarkEnd w:id="4"/>
    </w:p>
    <w:p w14:paraId="1CA06FD5" w14:textId="5D928E62" w:rsidR="00245C45" w:rsidRDefault="00245C45" w:rsidP="00F043C7">
      <w:pPr>
        <w:jc w:val="both"/>
        <w:rPr>
          <w:rFonts w:cs="Arial"/>
        </w:rPr>
      </w:pPr>
      <w:r w:rsidRPr="00245C45">
        <w:rPr>
          <w:rFonts w:cs="Arial"/>
        </w:rPr>
        <w:t xml:space="preserve">This design covers the baseline standards for the </w:t>
      </w:r>
      <w:sdt>
        <w:sdtPr>
          <w:rPr>
            <w:rFonts w:cs="Arial"/>
            <w:color w:val="2B579A"/>
            <w:shd w:val="clear" w:color="auto" w:fill="E6E6E6"/>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Pr>
              <w:rFonts w:cs="Arial"/>
            </w:rPr>
            <w:t>Azure Monitor and Insights</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6C036EC7" w14:textId="5ABDBB62" w:rsidR="005074C4"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3B3BCAA5" w:rsidR="00245C45" w:rsidRPr="00F81F75" w:rsidRDefault="00245C45" w:rsidP="00245C45">
      <w:pPr>
        <w:jc w:val="both"/>
        <w:rPr>
          <w:rFonts w:cs="Arial"/>
        </w:rPr>
      </w:pPr>
      <w:r w:rsidRPr="00F81F75">
        <w:rPr>
          <w:rFonts w:cs="Arial"/>
        </w:rPr>
        <w:t xml:space="preserve">Of the five WAF Pillars, it was found </w:t>
      </w:r>
      <w:r w:rsidR="00FD0A69" w:rsidRPr="00F81F75">
        <w:rPr>
          <w:rFonts w:cs="Arial"/>
        </w:rPr>
        <w:t xml:space="preserve">Security </w:t>
      </w:r>
      <w:r w:rsidR="001563A2" w:rsidRPr="00F81F75">
        <w:rPr>
          <w:rFonts w:cs="Arial"/>
        </w:rPr>
        <w:t>and</w:t>
      </w:r>
      <w:r w:rsidR="00F81F75" w:rsidRPr="00F81F75">
        <w:rPr>
          <w:rFonts w:cs="Arial"/>
        </w:rPr>
        <w:t xml:space="preserve"> Operational Excellence</w:t>
      </w:r>
      <w:r w:rsidR="001563A2" w:rsidRPr="00F81F75">
        <w:rPr>
          <w:rFonts w:cs="Arial"/>
        </w:rPr>
        <w:t xml:space="preserve"> were </w:t>
      </w:r>
      <w:r w:rsidR="003E6D10" w:rsidRPr="00F81F75">
        <w:rPr>
          <w:rFonts w:cs="Arial"/>
        </w:rPr>
        <w:t>relevant</w:t>
      </w:r>
      <w:r w:rsidRPr="00F81F75">
        <w:rPr>
          <w:rFonts w:cs="Arial"/>
        </w:rPr>
        <w:t>.</w:t>
      </w:r>
      <w:r w:rsidR="003E6D10" w:rsidRPr="00F81F75">
        <w:rPr>
          <w:rFonts w:cs="Arial"/>
        </w:rPr>
        <w:t xml:space="preserve"> </w:t>
      </w:r>
    </w:p>
    <w:p w14:paraId="617B58B9" w14:textId="77777777" w:rsidR="005074C4" w:rsidRPr="00F81F75" w:rsidRDefault="005074C4" w:rsidP="00245C45">
      <w:pPr>
        <w:jc w:val="both"/>
        <w:rPr>
          <w:rFonts w:cs="Arial"/>
        </w:rPr>
      </w:pPr>
    </w:p>
    <w:p w14:paraId="405CDDCF" w14:textId="1689AF06" w:rsidR="005074C4" w:rsidRPr="00F81F75" w:rsidRDefault="005074C4" w:rsidP="00245C45">
      <w:pPr>
        <w:jc w:val="both"/>
        <w:rPr>
          <w:rFonts w:cs="Arial"/>
        </w:rPr>
      </w:pPr>
      <w:r w:rsidRPr="00F81F75">
        <w:rPr>
          <w:rFonts w:cs="Arial"/>
        </w:rPr>
        <w:t xml:space="preserve">Note that this design covers Azure Monitor as well as the Insights features for these specific services: </w:t>
      </w:r>
    </w:p>
    <w:p w14:paraId="5D36B969" w14:textId="7B4D065C" w:rsidR="005074C4" w:rsidRPr="00F81F75" w:rsidRDefault="005074C4" w:rsidP="005074C4">
      <w:pPr>
        <w:pStyle w:val="ListParagraph"/>
        <w:numPr>
          <w:ilvl w:val="0"/>
          <w:numId w:val="39"/>
        </w:numPr>
        <w:jc w:val="both"/>
        <w:rPr>
          <w:rFonts w:cs="Arial"/>
        </w:rPr>
      </w:pPr>
      <w:r w:rsidRPr="00F81F75">
        <w:rPr>
          <w:rFonts w:cs="Arial"/>
        </w:rPr>
        <w:t>Application Insights</w:t>
      </w:r>
    </w:p>
    <w:p w14:paraId="551662DA" w14:textId="1F589010" w:rsidR="005074C4" w:rsidRPr="00F81F75" w:rsidRDefault="005074C4" w:rsidP="005074C4">
      <w:pPr>
        <w:pStyle w:val="ListParagraph"/>
        <w:numPr>
          <w:ilvl w:val="0"/>
          <w:numId w:val="39"/>
        </w:numPr>
        <w:jc w:val="both"/>
        <w:rPr>
          <w:rFonts w:cs="Arial"/>
        </w:rPr>
      </w:pPr>
      <w:r w:rsidRPr="00F81F75">
        <w:rPr>
          <w:rFonts w:cs="Arial"/>
        </w:rPr>
        <w:t>Container Insights</w:t>
      </w:r>
    </w:p>
    <w:p w14:paraId="11CC0743" w14:textId="0BC30EAB" w:rsidR="005074C4" w:rsidRPr="00F81F75" w:rsidRDefault="005074C4" w:rsidP="005074C4">
      <w:pPr>
        <w:pStyle w:val="ListParagraph"/>
        <w:numPr>
          <w:ilvl w:val="0"/>
          <w:numId w:val="39"/>
        </w:numPr>
        <w:jc w:val="both"/>
        <w:rPr>
          <w:rFonts w:cs="Arial"/>
        </w:rPr>
      </w:pPr>
      <w:r w:rsidRPr="00F81F75">
        <w:rPr>
          <w:rFonts w:cs="Arial"/>
        </w:rPr>
        <w:t>VM Insights</w:t>
      </w:r>
    </w:p>
    <w:p w14:paraId="1C8A96AC" w14:textId="32072DFA" w:rsidR="005074C4" w:rsidRPr="00F81F75" w:rsidRDefault="001708AF" w:rsidP="005074C4">
      <w:pPr>
        <w:pStyle w:val="ListParagraph"/>
        <w:numPr>
          <w:ilvl w:val="0"/>
          <w:numId w:val="39"/>
        </w:numPr>
        <w:jc w:val="both"/>
        <w:rPr>
          <w:rFonts w:cs="Arial"/>
        </w:rPr>
      </w:pPr>
      <w:r w:rsidRPr="00F81F75">
        <w:rPr>
          <w:rFonts w:cs="Arial"/>
        </w:rPr>
        <w:t>Network Insights</w:t>
      </w:r>
    </w:p>
    <w:p w14:paraId="167C6C51" w14:textId="77777777" w:rsidR="00245C45" w:rsidRPr="00515DC2" w:rsidRDefault="00245C45" w:rsidP="00245C45">
      <w:pPr>
        <w:jc w:val="both"/>
        <w:rPr>
          <w:rFonts w:cs="Arial"/>
        </w:rPr>
      </w:pPr>
    </w:p>
    <w:p w14:paraId="3E5413EA" w14:textId="3E2DFCF0" w:rsidR="00245C45" w:rsidRDefault="00245C45" w:rsidP="00245C45">
      <w:pPr>
        <w:pStyle w:val="BodyText"/>
        <w:jc w:val="both"/>
      </w:pPr>
      <w:r w:rsidRPr="00227585">
        <w:t>For</w:t>
      </w:r>
      <w:r w:rsidR="003E6D10">
        <w:t xml:space="preserve"> this service</w:t>
      </w:r>
      <w:r w:rsidRPr="00227585">
        <w:t xml:space="preserve"> the main baseline configurations include:</w:t>
      </w:r>
    </w:p>
    <w:p w14:paraId="3DF58A02" w14:textId="212F738F" w:rsidR="008F6866" w:rsidRDefault="008F6866" w:rsidP="008F6866">
      <w:pPr>
        <w:pStyle w:val="BodyText"/>
        <w:numPr>
          <w:ilvl w:val="0"/>
          <w:numId w:val="34"/>
        </w:numPr>
        <w:jc w:val="both"/>
      </w:pPr>
      <w:r>
        <w:t>Azure Monitor as a service is enabled on the platform by default.</w:t>
      </w:r>
    </w:p>
    <w:p w14:paraId="6DDBA960" w14:textId="029C4390" w:rsidR="00F000B6" w:rsidRDefault="004C3320" w:rsidP="008F6866">
      <w:pPr>
        <w:pStyle w:val="BodyText"/>
        <w:numPr>
          <w:ilvl w:val="0"/>
          <w:numId w:val="34"/>
        </w:numPr>
        <w:jc w:val="both"/>
      </w:pPr>
      <w:r>
        <w:t xml:space="preserve">The specialised Insights will be enabled for each relevant service. </w:t>
      </w:r>
    </w:p>
    <w:p w14:paraId="5BAA1A48" w14:textId="6C5BA7DE" w:rsidR="000B5C93" w:rsidRPr="007735FC" w:rsidRDefault="000B5C93" w:rsidP="008F6866">
      <w:pPr>
        <w:pStyle w:val="BodyText"/>
        <w:numPr>
          <w:ilvl w:val="0"/>
          <w:numId w:val="34"/>
        </w:numPr>
        <w:jc w:val="both"/>
      </w:pPr>
      <w:r w:rsidRPr="007735FC">
        <w:t xml:space="preserve">Any “Insights” service enabled will send logs to the central Log Analytics Workspace within that region. </w:t>
      </w:r>
    </w:p>
    <w:p w14:paraId="0625B94B" w14:textId="77777777" w:rsidR="00F000B6" w:rsidRPr="007735FC" w:rsidRDefault="00F000B6" w:rsidP="00F000B6">
      <w:pPr>
        <w:pStyle w:val="BodyText"/>
        <w:jc w:val="both"/>
      </w:pPr>
    </w:p>
    <w:p w14:paraId="35409549" w14:textId="28007AA8" w:rsidR="00F000B6" w:rsidRDefault="00F000B6" w:rsidP="00F000B6">
      <w:pPr>
        <w:pStyle w:val="BodyText"/>
        <w:jc w:val="both"/>
      </w:pPr>
      <w:r w:rsidRPr="007735FC">
        <w:t>There is no difference in configuration of Azure Monitor</w:t>
      </w:r>
      <w:r w:rsidR="00917E54" w:rsidRPr="007735FC">
        <w:t xml:space="preserve"> or Insights</w:t>
      </w:r>
      <w:r w:rsidRPr="007735FC">
        <w:t xml:space="preserve"> across service tiers</w:t>
      </w:r>
      <w:r w:rsidR="00DE0FD8" w:rsidRPr="007735FC">
        <w:t xml:space="preserve"> as they are just collection and analysis agents. The only note to make is that they can be considered </w:t>
      </w:r>
      <w:r w:rsidR="00917E54" w:rsidRPr="007735FC">
        <w:t>optional for Bronze services</w:t>
      </w:r>
      <w:r w:rsidR="00637D44" w:rsidRPr="007735FC">
        <w:t xml:space="preserve"> if </w:t>
      </w:r>
      <w:r w:rsidR="00DE0FD8" w:rsidRPr="007735FC">
        <w:t xml:space="preserve">this data is not required for collection and analysis. </w:t>
      </w:r>
      <w:r w:rsidR="00917E54" w:rsidRPr="007735FC">
        <w:t xml:space="preserve"> </w:t>
      </w:r>
      <w:r w:rsidRPr="007735FC">
        <w:t xml:space="preserve"> </w:t>
      </w:r>
    </w:p>
    <w:p w14:paraId="3809434A" w14:textId="77777777" w:rsidR="00C40189" w:rsidRDefault="00C40189" w:rsidP="00F000B6">
      <w:pPr>
        <w:pStyle w:val="BodyText"/>
        <w:jc w:val="both"/>
      </w:pPr>
    </w:p>
    <w:p w14:paraId="4058528E" w14:textId="12F87C52" w:rsidR="00C40189" w:rsidRDefault="00C40189" w:rsidP="00F000B6">
      <w:pPr>
        <w:pStyle w:val="BodyText"/>
        <w:jc w:val="both"/>
      </w:pPr>
      <w:r>
        <w:t xml:space="preserve">Note that Alerting is not covered in detail in this design, and will be treated separately in its own design document. </w:t>
      </w:r>
    </w:p>
    <w:p w14:paraId="5027E8E6" w14:textId="77777777" w:rsidR="00987F3A" w:rsidRDefault="00987F3A" w:rsidP="00F000B6">
      <w:pPr>
        <w:pStyle w:val="BodyText"/>
        <w:jc w:val="both"/>
      </w:pPr>
    </w:p>
    <w:p w14:paraId="7FAA60F4" w14:textId="77777777" w:rsidR="00987F3A" w:rsidRDefault="00987F3A" w:rsidP="00F000B6">
      <w:pPr>
        <w:pStyle w:val="BodyText"/>
        <w:jc w:val="both"/>
      </w:pPr>
    </w:p>
    <w:p w14:paraId="35CE3D4C" w14:textId="77777777" w:rsidR="00987F3A" w:rsidRDefault="00987F3A" w:rsidP="00F000B6">
      <w:pPr>
        <w:pStyle w:val="BodyText"/>
        <w:jc w:val="both"/>
      </w:pPr>
    </w:p>
    <w:p w14:paraId="7F125F79" w14:textId="77777777" w:rsidR="00987F3A" w:rsidRDefault="00987F3A" w:rsidP="00F000B6">
      <w:pPr>
        <w:pStyle w:val="BodyText"/>
        <w:jc w:val="both"/>
      </w:pPr>
    </w:p>
    <w:p w14:paraId="0B3171F7" w14:textId="77777777" w:rsidR="00987F3A" w:rsidRDefault="00987F3A" w:rsidP="00F000B6">
      <w:pPr>
        <w:pStyle w:val="BodyText"/>
        <w:jc w:val="both"/>
      </w:pPr>
    </w:p>
    <w:p w14:paraId="5C0D0978" w14:textId="77777777" w:rsidR="00987F3A" w:rsidRDefault="00987F3A" w:rsidP="00F000B6">
      <w:pPr>
        <w:pStyle w:val="BodyText"/>
        <w:jc w:val="both"/>
      </w:pPr>
    </w:p>
    <w:p w14:paraId="5E4D8457" w14:textId="77777777" w:rsidR="00987F3A" w:rsidRDefault="00987F3A" w:rsidP="00F000B6">
      <w:pPr>
        <w:pStyle w:val="BodyText"/>
        <w:jc w:val="both"/>
      </w:pPr>
    </w:p>
    <w:p w14:paraId="7C6F7EF0" w14:textId="77777777" w:rsidR="00987F3A" w:rsidRDefault="00987F3A" w:rsidP="00F000B6">
      <w:pPr>
        <w:pStyle w:val="BodyText"/>
        <w:jc w:val="both"/>
      </w:pPr>
    </w:p>
    <w:p w14:paraId="0F0BFB3E" w14:textId="77777777" w:rsidR="00987F3A" w:rsidRDefault="00987F3A" w:rsidP="00F000B6">
      <w:pPr>
        <w:pStyle w:val="BodyText"/>
        <w:jc w:val="both"/>
      </w:pPr>
    </w:p>
    <w:p w14:paraId="676891D5" w14:textId="77777777" w:rsidR="00987F3A" w:rsidRDefault="00987F3A" w:rsidP="00F000B6">
      <w:pPr>
        <w:pStyle w:val="BodyText"/>
        <w:jc w:val="both"/>
      </w:pPr>
    </w:p>
    <w:p w14:paraId="1E815934" w14:textId="77777777" w:rsidR="00987F3A" w:rsidRPr="007735FC" w:rsidRDefault="00987F3A" w:rsidP="00F000B6">
      <w:pPr>
        <w:pStyle w:val="BodyText"/>
        <w:jc w:val="both"/>
      </w:pPr>
    </w:p>
    <w:p w14:paraId="34673AF0" w14:textId="4E80902F" w:rsidR="008211CA" w:rsidRPr="00633B64" w:rsidRDefault="008211CA" w:rsidP="008211CA">
      <w:pPr>
        <w:pStyle w:val="Heading1"/>
        <w:rPr>
          <w:rFonts w:cs="Arial"/>
        </w:rPr>
      </w:pPr>
      <w:bookmarkStart w:id="5" w:name="_Toc158801740"/>
      <w:r>
        <w:rPr>
          <w:rFonts w:cs="Arial"/>
        </w:rPr>
        <w:t>Resource Cost</w:t>
      </w:r>
      <w:bookmarkEnd w:id="5"/>
    </w:p>
    <w:p w14:paraId="1F164524" w14:textId="24721C26" w:rsidR="008211CA" w:rsidRDefault="00F2758E" w:rsidP="001C26DD">
      <w:pPr>
        <w:pStyle w:val="BodyText"/>
      </w:pPr>
      <w:r>
        <w:t xml:space="preserve">The collection of standard metrics and activity logs are provided at no cost. </w:t>
      </w:r>
      <w:r w:rsidR="00533D36">
        <w:t>Log costs are associated with the Log Analytics Workspace that is being used, and these costs are covered in the Log Analytics Core Service design.</w:t>
      </w:r>
    </w:p>
    <w:p w14:paraId="6F9A5FB3" w14:textId="77777777" w:rsidR="00533D36" w:rsidRDefault="00533D36" w:rsidP="001C26DD">
      <w:pPr>
        <w:pStyle w:val="BodyText"/>
      </w:pPr>
    </w:p>
    <w:p w14:paraId="5A39F28F" w14:textId="5D63EE1B" w:rsidR="00533D36" w:rsidRDefault="00941014" w:rsidP="001C26DD">
      <w:pPr>
        <w:pStyle w:val="BodyText"/>
      </w:pPr>
      <w:r>
        <w:t xml:space="preserve">Metric costs are shown below: </w:t>
      </w:r>
    </w:p>
    <w:tbl>
      <w:tblPr>
        <w:tblStyle w:val="AVTable11"/>
        <w:tblW w:w="9354" w:type="dxa"/>
        <w:tblLook w:val="04A0" w:firstRow="1" w:lastRow="0" w:firstColumn="1" w:lastColumn="0" w:noHBand="0" w:noVBand="1"/>
      </w:tblPr>
      <w:tblGrid>
        <w:gridCol w:w="3118"/>
        <w:gridCol w:w="3118"/>
        <w:gridCol w:w="3118"/>
      </w:tblGrid>
      <w:tr w:rsidR="00DE2559" w:rsidRPr="00DE2559" w14:paraId="20311339" w14:textId="77777777" w:rsidTr="00DE2559">
        <w:trPr>
          <w:cnfStyle w:val="100000000000" w:firstRow="1" w:lastRow="0" w:firstColumn="0" w:lastColumn="0" w:oddVBand="0" w:evenVBand="0" w:oddHBand="0" w:evenHBand="0" w:firstRowFirstColumn="0" w:firstRowLastColumn="0" w:lastRowFirstColumn="0" w:lastRowLastColumn="0"/>
          <w:trHeight w:val="70"/>
        </w:trPr>
        <w:tc>
          <w:tcPr>
            <w:tcW w:w="3118" w:type="dxa"/>
            <w:vAlign w:val="center"/>
            <w:hideMark/>
          </w:tcPr>
          <w:p w14:paraId="7DFDDF83" w14:textId="77777777" w:rsidR="00DE2559" w:rsidRPr="00DE2559" w:rsidRDefault="00DE2559" w:rsidP="00DE2559">
            <w:pPr>
              <w:spacing w:after="360" w:line="240" w:lineRule="auto"/>
              <w:jc w:val="center"/>
              <w:rPr>
                <w:rFonts w:cs="Arial"/>
                <w:bCs/>
                <w:color w:val="FFFFFF" w:themeColor="background1"/>
              </w:rPr>
            </w:pPr>
            <w:r w:rsidRPr="00DE2559">
              <w:rPr>
                <w:rFonts w:cs="Arial"/>
                <w:bCs/>
                <w:color w:val="FFFFFF" w:themeColor="background1"/>
              </w:rPr>
              <w:t>Feature</w:t>
            </w:r>
          </w:p>
        </w:tc>
        <w:tc>
          <w:tcPr>
            <w:tcW w:w="3118" w:type="dxa"/>
            <w:vAlign w:val="center"/>
            <w:hideMark/>
          </w:tcPr>
          <w:p w14:paraId="0F749F40" w14:textId="77777777" w:rsidR="00DE2559" w:rsidRPr="00DE2559" w:rsidRDefault="00DE2559" w:rsidP="00DE2559">
            <w:pPr>
              <w:spacing w:after="360" w:line="240" w:lineRule="auto"/>
              <w:jc w:val="center"/>
              <w:rPr>
                <w:rFonts w:cs="Arial"/>
                <w:bCs/>
                <w:color w:val="FFFFFF" w:themeColor="background1"/>
              </w:rPr>
            </w:pPr>
            <w:r w:rsidRPr="00DE2559">
              <w:rPr>
                <w:rFonts w:cs="Arial"/>
                <w:bCs/>
                <w:color w:val="FFFFFF" w:themeColor="background1"/>
              </w:rPr>
              <w:t>Free units included</w:t>
            </w:r>
          </w:p>
        </w:tc>
        <w:tc>
          <w:tcPr>
            <w:tcW w:w="3118" w:type="dxa"/>
            <w:vAlign w:val="center"/>
            <w:hideMark/>
          </w:tcPr>
          <w:p w14:paraId="080E1B11" w14:textId="77777777" w:rsidR="00DE2559" w:rsidRPr="00DE2559" w:rsidRDefault="00DE2559" w:rsidP="00DE2559">
            <w:pPr>
              <w:spacing w:after="360" w:line="240" w:lineRule="auto"/>
              <w:jc w:val="center"/>
              <w:rPr>
                <w:rFonts w:cs="Arial"/>
                <w:bCs/>
                <w:color w:val="FFFFFF" w:themeColor="background1"/>
              </w:rPr>
            </w:pPr>
            <w:r w:rsidRPr="00DE2559">
              <w:rPr>
                <w:rFonts w:cs="Arial"/>
                <w:bCs/>
                <w:color w:val="FFFFFF" w:themeColor="background1"/>
              </w:rPr>
              <w:t>Price</w:t>
            </w:r>
          </w:p>
        </w:tc>
      </w:tr>
      <w:tr w:rsidR="00DE2559" w:rsidRPr="00DE2559" w14:paraId="09F9C78D" w14:textId="77777777" w:rsidTr="00DE2559">
        <w:tc>
          <w:tcPr>
            <w:tcW w:w="3118" w:type="dxa"/>
            <w:hideMark/>
          </w:tcPr>
          <w:p w14:paraId="15BB4674" w14:textId="77777777" w:rsidR="00DE2559" w:rsidRPr="00DE2559" w:rsidRDefault="00DE2559" w:rsidP="00DE2559">
            <w:pPr>
              <w:spacing w:line="240" w:lineRule="auto"/>
              <w:rPr>
                <w:rFonts w:cs="Arial"/>
                <w:color w:val="auto"/>
              </w:rPr>
            </w:pPr>
            <w:r w:rsidRPr="00DE2559">
              <w:rPr>
                <w:rFonts w:cs="Arial"/>
                <w:color w:val="auto"/>
              </w:rPr>
              <w:t>Platform Metrics Ingestion</w:t>
            </w:r>
            <w:r w:rsidRPr="00DE2559">
              <w:rPr>
                <w:rFonts w:cs="Arial"/>
                <w:color w:val="auto"/>
                <w:vertAlign w:val="superscript"/>
              </w:rPr>
              <w:t>8</w:t>
            </w:r>
          </w:p>
        </w:tc>
        <w:tc>
          <w:tcPr>
            <w:tcW w:w="3118" w:type="dxa"/>
            <w:hideMark/>
          </w:tcPr>
          <w:p w14:paraId="4C8A9453" w14:textId="77777777" w:rsidR="00DE2559" w:rsidRPr="00DE2559" w:rsidRDefault="00DE2559" w:rsidP="00DE2559">
            <w:pPr>
              <w:spacing w:line="240" w:lineRule="auto"/>
              <w:rPr>
                <w:rFonts w:cs="Arial"/>
                <w:color w:val="auto"/>
              </w:rPr>
            </w:pPr>
            <w:r w:rsidRPr="00DE2559">
              <w:rPr>
                <w:rFonts w:cs="Arial"/>
                <w:color w:val="auto"/>
              </w:rPr>
              <w:t>Unlimited</w:t>
            </w:r>
          </w:p>
        </w:tc>
        <w:tc>
          <w:tcPr>
            <w:tcW w:w="3118" w:type="dxa"/>
            <w:hideMark/>
          </w:tcPr>
          <w:p w14:paraId="7B69193A" w14:textId="77777777" w:rsidR="00DE2559" w:rsidRPr="00DE2559" w:rsidRDefault="00DE2559" w:rsidP="00DE2559">
            <w:pPr>
              <w:spacing w:line="240" w:lineRule="auto"/>
              <w:rPr>
                <w:rFonts w:cs="Arial"/>
                <w:color w:val="auto"/>
              </w:rPr>
            </w:pPr>
            <w:r w:rsidRPr="00DE2559">
              <w:rPr>
                <w:rFonts w:cs="Arial"/>
                <w:color w:val="auto"/>
              </w:rPr>
              <w:t>Free</w:t>
            </w:r>
          </w:p>
        </w:tc>
      </w:tr>
      <w:tr w:rsidR="00DE2559" w:rsidRPr="00DE2559" w14:paraId="3073A51F" w14:textId="77777777" w:rsidTr="00DE2559">
        <w:tc>
          <w:tcPr>
            <w:tcW w:w="3118" w:type="dxa"/>
            <w:hideMark/>
          </w:tcPr>
          <w:p w14:paraId="4E691AE7" w14:textId="77777777" w:rsidR="00DE2559" w:rsidRPr="00DE2559" w:rsidRDefault="00DE2559" w:rsidP="00DE2559">
            <w:pPr>
              <w:spacing w:line="240" w:lineRule="auto"/>
              <w:rPr>
                <w:rFonts w:cs="Arial"/>
                <w:color w:val="auto"/>
              </w:rPr>
            </w:pPr>
            <w:r w:rsidRPr="00DE2559">
              <w:rPr>
                <w:rFonts w:cs="Arial"/>
                <w:color w:val="auto"/>
              </w:rPr>
              <w:t>Custom metrics ingestion (preview)</w:t>
            </w:r>
            <w:r w:rsidRPr="00DE2559">
              <w:rPr>
                <w:rFonts w:cs="Arial"/>
                <w:color w:val="auto"/>
                <w:vertAlign w:val="superscript"/>
              </w:rPr>
              <w:t>8</w:t>
            </w:r>
          </w:p>
        </w:tc>
        <w:tc>
          <w:tcPr>
            <w:tcW w:w="3118" w:type="dxa"/>
            <w:hideMark/>
          </w:tcPr>
          <w:p w14:paraId="3139EFFA" w14:textId="77777777" w:rsidR="00DE2559" w:rsidRPr="00DE2559" w:rsidRDefault="00DE2559" w:rsidP="00DE2559">
            <w:pPr>
              <w:spacing w:line="240" w:lineRule="auto"/>
              <w:rPr>
                <w:rFonts w:cs="Arial"/>
                <w:color w:val="auto"/>
              </w:rPr>
            </w:pPr>
            <w:r w:rsidRPr="00DE2559">
              <w:rPr>
                <w:rFonts w:cs="Arial"/>
                <w:color w:val="auto"/>
              </w:rPr>
              <w:t>None</w:t>
            </w:r>
          </w:p>
        </w:tc>
        <w:tc>
          <w:tcPr>
            <w:tcW w:w="3118" w:type="dxa"/>
            <w:hideMark/>
          </w:tcPr>
          <w:p w14:paraId="16B81E6B" w14:textId="77777777" w:rsidR="00DE2559" w:rsidRPr="00DE2559" w:rsidRDefault="00DE2559" w:rsidP="00DE2559">
            <w:pPr>
              <w:spacing w:line="240" w:lineRule="auto"/>
              <w:rPr>
                <w:rFonts w:cs="Arial"/>
                <w:color w:val="auto"/>
              </w:rPr>
            </w:pPr>
            <w:r w:rsidRPr="00DE2559">
              <w:rPr>
                <w:rFonts w:cs="Arial"/>
                <w:b/>
                <w:bCs/>
                <w:color w:val="auto"/>
              </w:rPr>
              <w:t>$0.243</w:t>
            </w:r>
            <w:r w:rsidRPr="00DE2559">
              <w:rPr>
                <w:rFonts w:cs="Arial"/>
                <w:color w:val="auto"/>
              </w:rPr>
              <w:t> / 10 million samples ingested</w:t>
            </w:r>
          </w:p>
        </w:tc>
      </w:tr>
      <w:tr w:rsidR="00DE2559" w:rsidRPr="00DE2559" w14:paraId="79ECC902" w14:textId="77777777" w:rsidTr="00DE2559">
        <w:tc>
          <w:tcPr>
            <w:tcW w:w="3118" w:type="dxa"/>
            <w:hideMark/>
          </w:tcPr>
          <w:p w14:paraId="5F925D38" w14:textId="77777777" w:rsidR="00DE2559" w:rsidRPr="00DE2559" w:rsidRDefault="00DE2559" w:rsidP="00DE2559">
            <w:pPr>
              <w:spacing w:line="240" w:lineRule="auto"/>
              <w:rPr>
                <w:rFonts w:cs="Arial"/>
                <w:color w:val="auto"/>
              </w:rPr>
            </w:pPr>
            <w:r w:rsidRPr="00DE2559">
              <w:rPr>
                <w:rFonts w:cs="Arial"/>
                <w:color w:val="auto"/>
              </w:rPr>
              <w:t>Platform and custom metric queries (preview)</w:t>
            </w:r>
          </w:p>
        </w:tc>
        <w:tc>
          <w:tcPr>
            <w:tcW w:w="3118" w:type="dxa"/>
            <w:hideMark/>
          </w:tcPr>
          <w:p w14:paraId="0D0F07B6" w14:textId="77777777" w:rsidR="00DE2559" w:rsidRPr="00DE2559" w:rsidRDefault="00DE2559" w:rsidP="00DE2559">
            <w:pPr>
              <w:spacing w:line="240" w:lineRule="auto"/>
              <w:rPr>
                <w:rFonts w:cs="Arial"/>
                <w:color w:val="auto"/>
              </w:rPr>
            </w:pPr>
            <w:r w:rsidRPr="00DE2559">
              <w:rPr>
                <w:rFonts w:cs="Arial"/>
                <w:color w:val="auto"/>
              </w:rPr>
              <w:t>First 1,000,000 API calls per month</w:t>
            </w:r>
          </w:p>
        </w:tc>
        <w:tc>
          <w:tcPr>
            <w:tcW w:w="3118" w:type="dxa"/>
            <w:hideMark/>
          </w:tcPr>
          <w:p w14:paraId="14A786D8" w14:textId="77777777" w:rsidR="00DE2559" w:rsidRPr="00DE2559" w:rsidRDefault="00DE2559" w:rsidP="00DE2559">
            <w:pPr>
              <w:keepNext/>
              <w:spacing w:line="240" w:lineRule="auto"/>
              <w:rPr>
                <w:rFonts w:cs="Arial"/>
                <w:color w:val="auto"/>
              </w:rPr>
            </w:pPr>
            <w:r w:rsidRPr="00DE2559">
              <w:rPr>
                <w:rFonts w:cs="Arial"/>
                <w:b/>
                <w:bCs/>
                <w:color w:val="auto"/>
              </w:rPr>
              <w:t>$0.015169</w:t>
            </w:r>
            <w:r w:rsidRPr="00DE2559">
              <w:rPr>
                <w:rFonts w:cs="Arial"/>
                <w:color w:val="auto"/>
              </w:rPr>
              <w:t> / 1,000 API calls</w:t>
            </w:r>
          </w:p>
        </w:tc>
      </w:tr>
    </w:tbl>
    <w:p w14:paraId="2277D2AE" w14:textId="1D18D8C1" w:rsidR="00941014" w:rsidRDefault="00DE2559" w:rsidP="00DE2559">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26567A">
        <w:rPr>
          <w:noProof/>
        </w:rPr>
        <w:t>2</w:t>
      </w:r>
      <w:r>
        <w:rPr>
          <w:color w:val="2B579A"/>
          <w:shd w:val="clear" w:color="auto" w:fill="E6E6E6"/>
        </w:rPr>
        <w:fldChar w:fldCharType="end"/>
      </w:r>
      <w:r>
        <w:t>: Pricing construct for metrics</w:t>
      </w:r>
    </w:p>
    <w:p w14:paraId="7775E6A2" w14:textId="77777777" w:rsidR="002B66E5" w:rsidRDefault="002B66E5" w:rsidP="002B66E5"/>
    <w:p w14:paraId="10264420" w14:textId="77777777" w:rsidR="0085262C" w:rsidRDefault="0085262C" w:rsidP="002B66E5"/>
    <w:p w14:paraId="7CA67623" w14:textId="70C06BA1" w:rsidR="00150AD0" w:rsidRDefault="007D289F" w:rsidP="00150AD0">
      <w:pPr>
        <w:pStyle w:val="Heading1"/>
        <w:jc w:val="both"/>
        <w:rPr>
          <w:rFonts w:cs="Arial"/>
        </w:rPr>
      </w:pPr>
      <w:bookmarkStart w:id="6" w:name="_Toc158801741"/>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434A75"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434A75"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434A75"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434A75"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434A75"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35F5FAA3" w14:textId="77777777" w:rsidR="0085262C" w:rsidRDefault="0085262C" w:rsidP="00A93204">
      <w:pPr>
        <w:pStyle w:val="BodyText"/>
        <w:jc w:val="both"/>
      </w:pPr>
    </w:p>
    <w:p w14:paraId="160BCE1C" w14:textId="77777777" w:rsidR="0085262C" w:rsidRDefault="0085262C" w:rsidP="00A93204">
      <w:pPr>
        <w:pStyle w:val="BodyText"/>
        <w:jc w:val="both"/>
      </w:pPr>
    </w:p>
    <w:p w14:paraId="57795ADB" w14:textId="77777777" w:rsidR="0085262C" w:rsidRDefault="0085262C" w:rsidP="00A93204">
      <w:pPr>
        <w:pStyle w:val="BodyText"/>
        <w:jc w:val="both"/>
      </w:pPr>
    </w:p>
    <w:p w14:paraId="2E5E9D43" w14:textId="77777777" w:rsidR="0085262C" w:rsidRDefault="0085262C" w:rsidP="00A93204">
      <w:pPr>
        <w:pStyle w:val="BodyText"/>
        <w:jc w:val="both"/>
      </w:pPr>
    </w:p>
    <w:p w14:paraId="646ED88D" w14:textId="77777777" w:rsidR="00C40189" w:rsidRDefault="00C40189" w:rsidP="00A93204">
      <w:pPr>
        <w:pStyle w:val="BodyText"/>
        <w:jc w:val="both"/>
      </w:pPr>
    </w:p>
    <w:p w14:paraId="190F2144" w14:textId="581120F1" w:rsidR="00150AD0" w:rsidRPr="00050F61" w:rsidRDefault="00442D9E" w:rsidP="00150AD0">
      <w:pPr>
        <w:pStyle w:val="Heading2"/>
        <w:rPr>
          <w:sz w:val="40"/>
          <w:szCs w:val="40"/>
        </w:rPr>
      </w:pPr>
      <w:bookmarkStart w:id="7" w:name="_Toc158801742"/>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8801743"/>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3"/>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Toc158801744"/>
    <w:p w14:paraId="7E917FA8" w14:textId="351A98EF" w:rsidR="00E14D42" w:rsidRDefault="00434A75" w:rsidP="00087F3E">
      <w:pPr>
        <w:pStyle w:val="Heading3"/>
        <w:numPr>
          <w:ilvl w:val="2"/>
          <w:numId w:val="7"/>
        </w:numPr>
      </w:pPr>
      <w:sdt>
        <w:sdtPr>
          <w:rPr>
            <w:color w:val="2B579A"/>
            <w:shd w:val="clear" w:color="auto" w:fill="E6E6E6"/>
          </w:r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CB62C3">
            <w:t>Azure Monitor and Insights</w:t>
          </w:r>
        </w:sdtContent>
      </w:sdt>
      <w:r w:rsidR="00A57121">
        <w:t xml:space="preserve"> </w:t>
      </w:r>
      <w:r w:rsidR="002348C5">
        <w:t>Reliability Checklist</w:t>
      </w:r>
      <w:bookmarkEnd w:id="9"/>
    </w:p>
    <w:p w14:paraId="61CEB7D6" w14:textId="6BCB46D5" w:rsidR="00DD6259" w:rsidRDefault="00696444" w:rsidP="00696444">
      <w:pPr>
        <w:pStyle w:val="BodyText10ptAbove"/>
      </w:pPr>
      <w:r>
        <w:t xml:space="preserve">There is no guidance for Azure Monitor or Insights under the Reliability pillar. </w:t>
      </w:r>
    </w:p>
    <w:p w14:paraId="5B0581B7"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58801745"/>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58801746"/>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4"/>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2" w:name="_Toc158801747"/>
    <w:p w14:paraId="5115B1F0" w14:textId="6792C0A2" w:rsidR="002B1410" w:rsidRDefault="00434A75" w:rsidP="002B1410">
      <w:pPr>
        <w:pStyle w:val="Heading3"/>
        <w:numPr>
          <w:ilvl w:val="2"/>
          <w:numId w:val="7"/>
        </w:numPr>
      </w:pPr>
      <w:sdt>
        <w:sdtPr>
          <w:rPr>
            <w:color w:val="2B579A"/>
            <w:shd w:val="clear" w:color="auto" w:fill="E6E6E6"/>
          </w:r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CB62C3">
            <w:t>Azure Monitor and Insights</w:t>
          </w:r>
        </w:sdtContent>
      </w:sdt>
      <w:r w:rsidR="002B1410">
        <w:t xml:space="preserve"> Cost Optimisation Checklist</w:t>
      </w:r>
      <w:bookmarkEnd w:id="12"/>
    </w:p>
    <w:p w14:paraId="705A6F0B" w14:textId="72EA0EA3" w:rsidR="00050F61" w:rsidRDefault="003100ED" w:rsidP="00415F10">
      <w:pPr>
        <w:pStyle w:val="BodyText"/>
        <w:jc w:val="both"/>
      </w:pPr>
      <w:r>
        <w:t xml:space="preserve">There is no guidance for Azure Monitor under the Cost Optimisation pillar of the Microsoft Well-Architected Framework. </w:t>
      </w:r>
      <w:r w:rsidR="007A502F">
        <w:t xml:space="preserve">The only Cost Optimisation guidance provided relates to the underlying Log Analytics Workspaces that collects the data, and this has already been covered in the Log Analytics Workspace design document. </w:t>
      </w: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3" w:name="_Toc158801748"/>
      <w:r w:rsidRPr="00050F61">
        <w:rPr>
          <w:sz w:val="40"/>
          <w:szCs w:val="40"/>
        </w:rPr>
        <w:t>Operational Excellence</w:t>
      </w:r>
      <w:bookmarkEnd w:id="13"/>
    </w:p>
    <w:p w14:paraId="05CC32DA" w14:textId="32EB56EE" w:rsidR="002348C5" w:rsidRDefault="002348C5" w:rsidP="003C6628">
      <w:pPr>
        <w:pStyle w:val="Heading3"/>
        <w:numPr>
          <w:ilvl w:val="2"/>
          <w:numId w:val="7"/>
        </w:numPr>
      </w:pPr>
      <w:r>
        <w:t xml:space="preserve"> </w:t>
      </w:r>
      <w:bookmarkStart w:id="14" w:name="_Toc158801749"/>
      <w:r w:rsidRPr="002348C5">
        <w:t>Overview</w:t>
      </w:r>
      <w:bookmarkEnd w:id="14"/>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5" w:name="_Toc158801750"/>
    <w:p w14:paraId="78EFAA12" w14:textId="1E8023A4" w:rsidR="002B1410" w:rsidRDefault="00434A75" w:rsidP="002B1410">
      <w:pPr>
        <w:pStyle w:val="Heading3"/>
        <w:numPr>
          <w:ilvl w:val="2"/>
          <w:numId w:val="7"/>
        </w:numPr>
      </w:pPr>
      <w:sdt>
        <w:sdtPr>
          <w:rPr>
            <w:color w:val="2B579A"/>
            <w:shd w:val="clear" w:color="auto" w:fill="E6E6E6"/>
          </w:r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CB62C3">
            <w:t>Azure Monitor and Insights</w:t>
          </w:r>
        </w:sdtContent>
      </w:sdt>
      <w:r w:rsidR="002B1410">
        <w:t xml:space="preserve"> Operational Excellence Checklist</w:t>
      </w:r>
      <w:bookmarkEnd w:id="15"/>
    </w:p>
    <w:p w14:paraId="641F7F4B" w14:textId="77777777" w:rsidR="00291643" w:rsidRDefault="003100ED" w:rsidP="003100ED">
      <w:pPr>
        <w:pStyle w:val="BodyText10ptAbove"/>
      </w:pPr>
      <w:r>
        <w:t xml:space="preserve">There is no guidance for Azure Monitor under the Operational Excellence pillar of the Microsoft Well Architected Framework. </w:t>
      </w:r>
    </w:p>
    <w:p w14:paraId="5134EE04" w14:textId="1B89CB4F" w:rsidR="00291643" w:rsidRDefault="00291643" w:rsidP="003100ED">
      <w:pPr>
        <w:pStyle w:val="BodyText10ptAbove"/>
      </w:pPr>
      <w:r>
        <w:t>There is guidance for Application Insights</w:t>
      </w:r>
      <w:r>
        <w:rPr>
          <w:rStyle w:val="FootnoteReference"/>
        </w:rPr>
        <w:footnoteReference w:id="5"/>
      </w:r>
      <w:r>
        <w:t xml:space="preserve">: </w:t>
      </w:r>
      <w:r w:rsidR="003100ED">
        <w:t xml:space="preserve"> </w:t>
      </w:r>
    </w:p>
    <w:tbl>
      <w:tblPr>
        <w:tblStyle w:val="AVTable1"/>
        <w:tblW w:w="9356" w:type="dxa"/>
        <w:tblLook w:val="04A0" w:firstRow="1" w:lastRow="0" w:firstColumn="1" w:lastColumn="0" w:noHBand="0" w:noVBand="1"/>
      </w:tblPr>
      <w:tblGrid>
        <w:gridCol w:w="744"/>
        <w:gridCol w:w="2403"/>
        <w:gridCol w:w="1559"/>
        <w:gridCol w:w="1486"/>
        <w:gridCol w:w="1459"/>
        <w:gridCol w:w="1705"/>
      </w:tblGrid>
      <w:tr w:rsidR="0056085D" w:rsidRPr="0056085D" w14:paraId="52913524" w14:textId="77777777" w:rsidTr="00872704">
        <w:trPr>
          <w:cnfStyle w:val="100000000000" w:firstRow="1" w:lastRow="0" w:firstColumn="0" w:lastColumn="0" w:oddVBand="0" w:evenVBand="0" w:oddHBand="0" w:evenHBand="0" w:firstRowFirstColumn="0" w:firstRowLastColumn="0" w:lastRowFirstColumn="0" w:lastRowLastColumn="0"/>
          <w:trHeight w:val="290"/>
        </w:trPr>
        <w:tc>
          <w:tcPr>
            <w:tcW w:w="728" w:type="dxa"/>
            <w:tcBorders>
              <w:bottom w:val="single" w:sz="4" w:space="0" w:color="002776"/>
            </w:tcBorders>
            <w:noWrap/>
            <w:hideMark/>
          </w:tcPr>
          <w:p w14:paraId="769BE3BF" w14:textId="77777777" w:rsidR="00291643" w:rsidRPr="0056085D" w:rsidRDefault="00291643" w:rsidP="003C6628">
            <w:pPr>
              <w:pStyle w:val="BodyText"/>
              <w:rPr>
                <w:rFonts w:cs="Arial"/>
                <w:bCs/>
                <w:color w:val="FFFFFF" w:themeColor="background1"/>
              </w:rPr>
            </w:pPr>
            <w:r w:rsidRPr="0056085D">
              <w:rPr>
                <w:rFonts w:cs="Arial"/>
                <w:bCs/>
                <w:color w:val="FFFFFF" w:themeColor="background1"/>
              </w:rPr>
              <w:t>ID</w:t>
            </w:r>
          </w:p>
        </w:tc>
        <w:tc>
          <w:tcPr>
            <w:tcW w:w="2436" w:type="dxa"/>
            <w:tcBorders>
              <w:bottom w:val="single" w:sz="4" w:space="0" w:color="002776"/>
            </w:tcBorders>
            <w:hideMark/>
          </w:tcPr>
          <w:p w14:paraId="557CFD7D" w14:textId="77777777" w:rsidR="00291643" w:rsidRPr="0056085D" w:rsidRDefault="00291643" w:rsidP="00135F7E">
            <w:pPr>
              <w:pStyle w:val="BodyText"/>
              <w:jc w:val="center"/>
              <w:rPr>
                <w:rFonts w:cs="Arial"/>
                <w:bCs/>
                <w:color w:val="FFFFFF" w:themeColor="background1"/>
              </w:rPr>
            </w:pPr>
            <w:r w:rsidRPr="0056085D">
              <w:rPr>
                <w:rFonts w:cs="Arial"/>
                <w:bCs/>
                <w:color w:val="FFFFFF" w:themeColor="background1"/>
              </w:rPr>
              <w:t>Checklist Item</w:t>
            </w:r>
          </w:p>
        </w:tc>
        <w:tc>
          <w:tcPr>
            <w:tcW w:w="1543" w:type="dxa"/>
            <w:tcBorders>
              <w:bottom w:val="single" w:sz="4" w:space="0" w:color="002776"/>
            </w:tcBorders>
            <w:noWrap/>
            <w:hideMark/>
          </w:tcPr>
          <w:p w14:paraId="37157BDA" w14:textId="77777777" w:rsidR="00291643" w:rsidRPr="0056085D" w:rsidRDefault="00291643" w:rsidP="00135F7E">
            <w:pPr>
              <w:pStyle w:val="BodyText"/>
              <w:jc w:val="center"/>
              <w:rPr>
                <w:rFonts w:cs="Arial"/>
                <w:bCs/>
                <w:color w:val="FFFFFF" w:themeColor="background1"/>
              </w:rPr>
            </w:pPr>
            <w:r w:rsidRPr="0056085D">
              <w:rPr>
                <w:rFonts w:cs="Arial"/>
                <w:bCs/>
                <w:color w:val="FFFFFF" w:themeColor="background1"/>
              </w:rPr>
              <w:t>Applicable to AV</w:t>
            </w:r>
          </w:p>
        </w:tc>
        <w:tc>
          <w:tcPr>
            <w:tcW w:w="1470" w:type="dxa"/>
            <w:noWrap/>
            <w:hideMark/>
          </w:tcPr>
          <w:p w14:paraId="4E3D330F" w14:textId="77777777" w:rsidR="00291643" w:rsidRPr="0056085D" w:rsidRDefault="00291643" w:rsidP="00135F7E">
            <w:pPr>
              <w:pStyle w:val="BodyText"/>
              <w:jc w:val="center"/>
              <w:rPr>
                <w:rFonts w:cs="Arial"/>
                <w:bCs/>
                <w:color w:val="FFFFFF" w:themeColor="background1"/>
              </w:rPr>
            </w:pPr>
            <w:r w:rsidRPr="0056085D">
              <w:rPr>
                <w:rFonts w:cs="Arial"/>
                <w:bCs/>
                <w:color w:val="FFFFFF" w:themeColor="background1"/>
              </w:rPr>
              <w:t>Built Into Design</w:t>
            </w:r>
          </w:p>
        </w:tc>
        <w:tc>
          <w:tcPr>
            <w:tcW w:w="1459" w:type="dxa"/>
          </w:tcPr>
          <w:p w14:paraId="1CDCB0A0" w14:textId="77777777" w:rsidR="00291643" w:rsidRPr="0056085D" w:rsidRDefault="00291643" w:rsidP="00135F7E">
            <w:pPr>
              <w:pStyle w:val="BodyText"/>
              <w:jc w:val="center"/>
              <w:rPr>
                <w:rFonts w:cs="Arial"/>
                <w:color w:val="FFFFFF" w:themeColor="background1"/>
              </w:rPr>
            </w:pPr>
            <w:r w:rsidRPr="0056085D">
              <w:rPr>
                <w:rFonts w:cs="Arial"/>
                <w:color w:val="FFFFFF" w:themeColor="background1"/>
              </w:rPr>
              <w:t>Enforcement Option</w:t>
            </w:r>
          </w:p>
        </w:tc>
        <w:tc>
          <w:tcPr>
            <w:tcW w:w="1720" w:type="dxa"/>
          </w:tcPr>
          <w:p w14:paraId="5970AC5C" w14:textId="77777777" w:rsidR="00291643" w:rsidRPr="0056085D" w:rsidRDefault="00291643" w:rsidP="00135F7E">
            <w:pPr>
              <w:pStyle w:val="BodyText"/>
              <w:jc w:val="center"/>
              <w:rPr>
                <w:rFonts w:cs="Arial"/>
                <w:color w:val="FFFFFF" w:themeColor="background1"/>
              </w:rPr>
            </w:pPr>
            <w:r w:rsidRPr="0056085D">
              <w:rPr>
                <w:rFonts w:cs="Arial"/>
                <w:color w:val="FFFFFF" w:themeColor="background1"/>
              </w:rPr>
              <w:t>Applicability</w:t>
            </w:r>
          </w:p>
        </w:tc>
      </w:tr>
      <w:tr w:rsidR="00135F7E" w:rsidRPr="0056085D" w14:paraId="51251257" w14:textId="77777777" w:rsidTr="00872704">
        <w:trPr>
          <w:trHeight w:val="290"/>
        </w:trPr>
        <w:tc>
          <w:tcPr>
            <w:tcW w:w="728" w:type="dxa"/>
            <w:tcBorders>
              <w:bottom w:val="single" w:sz="4" w:space="0" w:color="auto"/>
            </w:tcBorders>
            <w:noWrap/>
            <w:vAlign w:val="center"/>
            <w:hideMark/>
          </w:tcPr>
          <w:p w14:paraId="27B07940" w14:textId="0C0FF39C" w:rsidR="00291643" w:rsidRPr="0056085D" w:rsidRDefault="001563A2" w:rsidP="003C6628">
            <w:pPr>
              <w:pStyle w:val="BodyText"/>
              <w:rPr>
                <w:rFonts w:cs="Arial"/>
                <w:b/>
                <w:bCs/>
              </w:rPr>
            </w:pPr>
            <w:r>
              <w:rPr>
                <w:rFonts w:cs="Arial"/>
                <w:b/>
                <w:bCs/>
              </w:rPr>
              <w:t>OE</w:t>
            </w:r>
            <w:r w:rsidR="00291643" w:rsidRPr="0056085D">
              <w:rPr>
                <w:rFonts w:cs="Arial"/>
                <w:b/>
                <w:bCs/>
              </w:rPr>
              <w:t>1</w:t>
            </w:r>
          </w:p>
        </w:tc>
        <w:tc>
          <w:tcPr>
            <w:tcW w:w="2436" w:type="dxa"/>
            <w:tcBorders>
              <w:bottom w:val="single" w:sz="4" w:space="0" w:color="auto"/>
            </w:tcBorders>
          </w:tcPr>
          <w:p w14:paraId="3828578E" w14:textId="0C4EF422" w:rsidR="00291643" w:rsidRPr="0056085D" w:rsidRDefault="00291643" w:rsidP="003C6628">
            <w:pPr>
              <w:pStyle w:val="BodyText"/>
              <w:rPr>
                <w:rFonts w:cs="Arial"/>
              </w:rPr>
            </w:pPr>
            <w:r w:rsidRPr="0056085D">
              <w:rPr>
                <w:rFonts w:cs="Arial"/>
              </w:rPr>
              <w:t>Configure Application Insights to monitor the availability and responsiveness of your web application.</w:t>
            </w:r>
            <w:r w:rsidRPr="0056085D">
              <w:rPr>
                <w:rFonts w:cs="Arial"/>
              </w:rPr>
              <w:tab/>
            </w:r>
          </w:p>
        </w:tc>
        <w:tc>
          <w:tcPr>
            <w:tcW w:w="1543" w:type="dxa"/>
            <w:tcBorders>
              <w:bottom w:val="single" w:sz="4" w:space="0" w:color="auto"/>
            </w:tcBorders>
            <w:noWrap/>
            <w:vAlign w:val="center"/>
          </w:tcPr>
          <w:p w14:paraId="7EB3AB1D" w14:textId="5D67B8D3" w:rsidR="00291643" w:rsidRPr="0056085D" w:rsidRDefault="00872704" w:rsidP="003C6628">
            <w:pPr>
              <w:pStyle w:val="BodyText"/>
              <w:jc w:val="center"/>
              <w:rPr>
                <w:rFonts w:cs="Arial"/>
              </w:rPr>
            </w:pPr>
            <w:r>
              <w:rPr>
                <w:rFonts w:cs="Arial"/>
              </w:rPr>
              <w:t>Yes</w:t>
            </w:r>
          </w:p>
        </w:tc>
        <w:tc>
          <w:tcPr>
            <w:tcW w:w="1470" w:type="dxa"/>
            <w:noWrap/>
            <w:vAlign w:val="center"/>
          </w:tcPr>
          <w:p w14:paraId="4DB87125" w14:textId="44AF6B56" w:rsidR="00291643" w:rsidRPr="0056085D" w:rsidRDefault="00872704" w:rsidP="003C6628">
            <w:pPr>
              <w:pStyle w:val="BodyText"/>
              <w:jc w:val="center"/>
              <w:rPr>
                <w:rFonts w:cs="Arial"/>
              </w:rPr>
            </w:pPr>
            <w:r>
              <w:rPr>
                <w:rFonts w:cs="Arial"/>
              </w:rPr>
              <w:t>No</w:t>
            </w:r>
          </w:p>
        </w:tc>
        <w:tc>
          <w:tcPr>
            <w:tcW w:w="1459" w:type="dxa"/>
            <w:vAlign w:val="center"/>
          </w:tcPr>
          <w:p w14:paraId="37D96ACA" w14:textId="526D50AC" w:rsidR="00291643" w:rsidRPr="0056085D" w:rsidRDefault="00872704" w:rsidP="003C6628">
            <w:pPr>
              <w:pStyle w:val="BodyText"/>
              <w:jc w:val="center"/>
              <w:rPr>
                <w:rFonts w:cs="Arial"/>
              </w:rPr>
            </w:pPr>
            <w:r>
              <w:rPr>
                <w:rFonts w:cs="Arial"/>
              </w:rPr>
              <w:t>Governance</w:t>
            </w:r>
          </w:p>
        </w:tc>
        <w:tc>
          <w:tcPr>
            <w:tcW w:w="1720" w:type="dxa"/>
            <w:vAlign w:val="center"/>
          </w:tcPr>
          <w:p w14:paraId="2AE292C3" w14:textId="4643E40A" w:rsidR="00291643" w:rsidRPr="0056085D" w:rsidRDefault="00872704" w:rsidP="003C6628">
            <w:pPr>
              <w:pStyle w:val="BodyText"/>
              <w:jc w:val="center"/>
              <w:rPr>
                <w:rFonts w:cs="Arial"/>
              </w:rPr>
            </w:pPr>
            <w:r>
              <w:rPr>
                <w:rFonts w:cs="Arial"/>
              </w:rPr>
              <w:t>Operational – during application deployment</w:t>
            </w:r>
          </w:p>
        </w:tc>
      </w:tr>
      <w:tr w:rsidR="0056085D" w:rsidRPr="0056085D" w14:paraId="22AB4C0E" w14:textId="77777777" w:rsidTr="00872704">
        <w:trPr>
          <w:trHeight w:val="290"/>
        </w:trPr>
        <w:tc>
          <w:tcPr>
            <w:tcW w:w="728" w:type="dxa"/>
            <w:tcBorders>
              <w:top w:val="single" w:sz="4" w:space="0" w:color="auto"/>
              <w:bottom w:val="single" w:sz="4" w:space="0" w:color="auto"/>
            </w:tcBorders>
            <w:noWrap/>
            <w:vAlign w:val="center"/>
            <w:hideMark/>
          </w:tcPr>
          <w:p w14:paraId="163D62BC" w14:textId="5BD9DC87" w:rsidR="00291643" w:rsidRPr="0056085D" w:rsidRDefault="001563A2" w:rsidP="003C6628">
            <w:pPr>
              <w:pStyle w:val="BodyText"/>
              <w:rPr>
                <w:rFonts w:cs="Arial"/>
                <w:b/>
                <w:bCs/>
              </w:rPr>
            </w:pPr>
            <w:r>
              <w:rPr>
                <w:rFonts w:cs="Arial"/>
                <w:b/>
                <w:bCs/>
              </w:rPr>
              <w:t>OE</w:t>
            </w:r>
            <w:r w:rsidR="00291643" w:rsidRPr="0056085D">
              <w:rPr>
                <w:rFonts w:cs="Arial"/>
                <w:b/>
                <w:bCs/>
              </w:rPr>
              <w:t>2</w:t>
            </w:r>
          </w:p>
        </w:tc>
        <w:tc>
          <w:tcPr>
            <w:tcW w:w="2436" w:type="dxa"/>
            <w:tcBorders>
              <w:top w:val="single" w:sz="4" w:space="0" w:color="auto"/>
              <w:bottom w:val="single" w:sz="4" w:space="0" w:color="auto"/>
            </w:tcBorders>
            <w:vAlign w:val="center"/>
          </w:tcPr>
          <w:p w14:paraId="4C017294" w14:textId="11545078" w:rsidR="00291643" w:rsidRPr="0056085D" w:rsidRDefault="00291643" w:rsidP="00872704">
            <w:pPr>
              <w:pStyle w:val="BodyText"/>
              <w:rPr>
                <w:rFonts w:cs="Arial"/>
              </w:rPr>
            </w:pPr>
            <w:r w:rsidRPr="0056085D">
              <w:rPr>
                <w:rFonts w:cs="Arial"/>
              </w:rPr>
              <w:t>Evaluate Java codeless application monitoring for your Java-based application development stack.</w:t>
            </w:r>
            <w:r w:rsidRPr="0056085D">
              <w:rPr>
                <w:rFonts w:cs="Arial"/>
              </w:rPr>
              <w:tab/>
            </w:r>
          </w:p>
        </w:tc>
        <w:tc>
          <w:tcPr>
            <w:tcW w:w="1543" w:type="dxa"/>
            <w:tcBorders>
              <w:top w:val="single" w:sz="4" w:space="0" w:color="auto"/>
              <w:bottom w:val="single" w:sz="4" w:space="0" w:color="auto"/>
            </w:tcBorders>
            <w:noWrap/>
            <w:vAlign w:val="center"/>
          </w:tcPr>
          <w:p w14:paraId="6E957F04" w14:textId="42E56C7F" w:rsidR="00291643" w:rsidRPr="0056085D" w:rsidRDefault="00872704" w:rsidP="003C6628">
            <w:pPr>
              <w:pStyle w:val="BodyText"/>
              <w:jc w:val="center"/>
              <w:rPr>
                <w:rFonts w:cs="Arial"/>
              </w:rPr>
            </w:pPr>
            <w:r>
              <w:rPr>
                <w:rFonts w:cs="Arial"/>
              </w:rPr>
              <w:t>Yes</w:t>
            </w:r>
          </w:p>
        </w:tc>
        <w:tc>
          <w:tcPr>
            <w:tcW w:w="1470" w:type="dxa"/>
            <w:noWrap/>
            <w:vAlign w:val="center"/>
          </w:tcPr>
          <w:p w14:paraId="7836A1D4" w14:textId="2CB189FE" w:rsidR="00291643" w:rsidRPr="0056085D" w:rsidRDefault="00872704" w:rsidP="003C6628">
            <w:pPr>
              <w:pStyle w:val="BodyText"/>
              <w:jc w:val="center"/>
              <w:rPr>
                <w:rFonts w:cs="Arial"/>
              </w:rPr>
            </w:pPr>
            <w:r>
              <w:rPr>
                <w:rFonts w:cs="Arial"/>
              </w:rPr>
              <w:t>No</w:t>
            </w:r>
          </w:p>
        </w:tc>
        <w:tc>
          <w:tcPr>
            <w:tcW w:w="1459" w:type="dxa"/>
            <w:vAlign w:val="center"/>
          </w:tcPr>
          <w:p w14:paraId="62EB3913" w14:textId="2681D5F2" w:rsidR="00291643" w:rsidRPr="0056085D" w:rsidRDefault="00872704" w:rsidP="003C6628">
            <w:pPr>
              <w:pStyle w:val="BodyText"/>
              <w:jc w:val="center"/>
              <w:rPr>
                <w:rFonts w:cs="Arial"/>
              </w:rPr>
            </w:pPr>
            <w:r>
              <w:rPr>
                <w:rFonts w:cs="Arial"/>
              </w:rPr>
              <w:t>Governance</w:t>
            </w:r>
          </w:p>
        </w:tc>
        <w:tc>
          <w:tcPr>
            <w:tcW w:w="1720" w:type="dxa"/>
            <w:vAlign w:val="center"/>
          </w:tcPr>
          <w:p w14:paraId="74F97FDE" w14:textId="67C1C1AB" w:rsidR="00291643" w:rsidRPr="0056085D" w:rsidRDefault="00872704" w:rsidP="003C6628">
            <w:pPr>
              <w:pStyle w:val="BodyText"/>
              <w:jc w:val="center"/>
              <w:rPr>
                <w:rFonts w:cs="Arial"/>
              </w:rPr>
            </w:pPr>
            <w:r>
              <w:rPr>
                <w:rFonts w:cs="Arial"/>
              </w:rPr>
              <w:t>Operational – during application deployment</w:t>
            </w:r>
          </w:p>
        </w:tc>
      </w:tr>
      <w:tr w:rsidR="00872704" w:rsidRPr="0056085D" w14:paraId="2B8D9FBB" w14:textId="77777777" w:rsidTr="00872704">
        <w:trPr>
          <w:trHeight w:val="290"/>
        </w:trPr>
        <w:tc>
          <w:tcPr>
            <w:tcW w:w="728" w:type="dxa"/>
            <w:tcBorders>
              <w:top w:val="single" w:sz="4" w:space="0" w:color="auto"/>
              <w:bottom w:val="single" w:sz="4" w:space="0" w:color="auto"/>
            </w:tcBorders>
            <w:noWrap/>
            <w:vAlign w:val="center"/>
          </w:tcPr>
          <w:p w14:paraId="0F9F5376" w14:textId="61A65B6C" w:rsidR="00872704" w:rsidRPr="0056085D" w:rsidRDefault="00872704" w:rsidP="00872704">
            <w:pPr>
              <w:pStyle w:val="BodyText"/>
              <w:rPr>
                <w:rFonts w:cs="Arial"/>
                <w:b/>
                <w:bCs/>
              </w:rPr>
            </w:pPr>
            <w:r>
              <w:rPr>
                <w:rFonts w:cs="Arial"/>
                <w:b/>
                <w:bCs/>
              </w:rPr>
              <w:t>OE</w:t>
            </w:r>
            <w:r w:rsidRPr="0056085D">
              <w:rPr>
                <w:rFonts w:cs="Arial"/>
                <w:b/>
                <w:bCs/>
              </w:rPr>
              <w:t>3</w:t>
            </w:r>
          </w:p>
        </w:tc>
        <w:tc>
          <w:tcPr>
            <w:tcW w:w="2436" w:type="dxa"/>
            <w:tcBorders>
              <w:top w:val="single" w:sz="4" w:space="0" w:color="auto"/>
              <w:bottom w:val="single" w:sz="4" w:space="0" w:color="auto"/>
            </w:tcBorders>
            <w:vAlign w:val="center"/>
          </w:tcPr>
          <w:p w14:paraId="6E51921B" w14:textId="75D08D3F" w:rsidR="00872704" w:rsidRPr="0056085D" w:rsidRDefault="00872704" w:rsidP="00872704">
            <w:pPr>
              <w:pStyle w:val="BodyText"/>
              <w:rPr>
                <w:rFonts w:cs="Arial"/>
              </w:rPr>
            </w:pPr>
            <w:r w:rsidRPr="0056085D">
              <w:rPr>
                <w:rFonts w:cs="Arial"/>
              </w:rPr>
              <w:t>Configure sampling in Application Insights.</w:t>
            </w:r>
            <w:r w:rsidRPr="0056085D">
              <w:rPr>
                <w:rFonts w:cs="Arial"/>
              </w:rPr>
              <w:tab/>
            </w:r>
          </w:p>
        </w:tc>
        <w:tc>
          <w:tcPr>
            <w:tcW w:w="1543" w:type="dxa"/>
            <w:tcBorders>
              <w:top w:val="single" w:sz="4" w:space="0" w:color="auto"/>
              <w:bottom w:val="single" w:sz="4" w:space="0" w:color="auto"/>
            </w:tcBorders>
            <w:noWrap/>
            <w:vAlign w:val="center"/>
          </w:tcPr>
          <w:p w14:paraId="4A5F1782" w14:textId="5A425B7C" w:rsidR="00872704" w:rsidRPr="0056085D" w:rsidRDefault="00872704" w:rsidP="00872704">
            <w:pPr>
              <w:pStyle w:val="BodyText"/>
              <w:jc w:val="center"/>
              <w:rPr>
                <w:rFonts w:cs="Arial"/>
              </w:rPr>
            </w:pPr>
            <w:r>
              <w:rPr>
                <w:rFonts w:cs="Arial"/>
              </w:rPr>
              <w:t>Yes</w:t>
            </w:r>
          </w:p>
        </w:tc>
        <w:tc>
          <w:tcPr>
            <w:tcW w:w="1470" w:type="dxa"/>
            <w:noWrap/>
            <w:vAlign w:val="center"/>
          </w:tcPr>
          <w:p w14:paraId="3D15C040" w14:textId="3EBC9424" w:rsidR="00872704" w:rsidRPr="0056085D" w:rsidRDefault="00872704" w:rsidP="00872704">
            <w:pPr>
              <w:pStyle w:val="BodyText"/>
              <w:jc w:val="center"/>
              <w:rPr>
                <w:rFonts w:cs="Arial"/>
              </w:rPr>
            </w:pPr>
            <w:r>
              <w:rPr>
                <w:rFonts w:cs="Arial"/>
              </w:rPr>
              <w:t>No</w:t>
            </w:r>
          </w:p>
        </w:tc>
        <w:tc>
          <w:tcPr>
            <w:tcW w:w="1459" w:type="dxa"/>
            <w:vAlign w:val="center"/>
          </w:tcPr>
          <w:p w14:paraId="067D31EB" w14:textId="638BF8BA" w:rsidR="00872704" w:rsidRPr="0056085D" w:rsidRDefault="00872704" w:rsidP="00872704">
            <w:pPr>
              <w:pStyle w:val="BodyText"/>
              <w:jc w:val="center"/>
              <w:rPr>
                <w:rFonts w:cs="Arial"/>
              </w:rPr>
            </w:pPr>
            <w:r>
              <w:rPr>
                <w:rFonts w:cs="Arial"/>
              </w:rPr>
              <w:t>Governance</w:t>
            </w:r>
          </w:p>
        </w:tc>
        <w:tc>
          <w:tcPr>
            <w:tcW w:w="1720" w:type="dxa"/>
            <w:vAlign w:val="center"/>
          </w:tcPr>
          <w:p w14:paraId="0BF0AF9C" w14:textId="0BD1D4A2" w:rsidR="00872704" w:rsidRPr="0056085D" w:rsidRDefault="00872704" w:rsidP="00872704">
            <w:pPr>
              <w:pStyle w:val="BodyText"/>
              <w:jc w:val="center"/>
              <w:rPr>
                <w:rFonts w:cs="Arial"/>
              </w:rPr>
            </w:pPr>
            <w:r>
              <w:rPr>
                <w:rFonts w:cs="Arial"/>
              </w:rPr>
              <w:t>Operational – during application deployment</w:t>
            </w:r>
          </w:p>
        </w:tc>
      </w:tr>
      <w:tr w:rsidR="00872704" w:rsidRPr="0056085D" w14:paraId="7A3B12FB" w14:textId="77777777" w:rsidTr="00872704">
        <w:trPr>
          <w:trHeight w:val="290"/>
        </w:trPr>
        <w:tc>
          <w:tcPr>
            <w:tcW w:w="728" w:type="dxa"/>
            <w:tcBorders>
              <w:top w:val="single" w:sz="4" w:space="0" w:color="auto"/>
              <w:bottom w:val="single" w:sz="4" w:space="0" w:color="auto"/>
            </w:tcBorders>
            <w:noWrap/>
            <w:vAlign w:val="center"/>
          </w:tcPr>
          <w:p w14:paraId="52556CDF" w14:textId="0DA75A2D" w:rsidR="00872704" w:rsidRPr="0056085D" w:rsidRDefault="00872704" w:rsidP="00872704">
            <w:pPr>
              <w:pStyle w:val="BodyText"/>
              <w:rPr>
                <w:rFonts w:cs="Arial"/>
                <w:b/>
                <w:bCs/>
              </w:rPr>
            </w:pPr>
            <w:r>
              <w:rPr>
                <w:rFonts w:cs="Arial"/>
                <w:b/>
                <w:bCs/>
              </w:rPr>
              <w:t>OE</w:t>
            </w:r>
            <w:r w:rsidRPr="0056085D">
              <w:rPr>
                <w:rFonts w:cs="Arial"/>
                <w:b/>
                <w:bCs/>
              </w:rPr>
              <w:t>4</w:t>
            </w:r>
          </w:p>
        </w:tc>
        <w:tc>
          <w:tcPr>
            <w:tcW w:w="2436" w:type="dxa"/>
            <w:tcBorders>
              <w:top w:val="single" w:sz="4" w:space="0" w:color="auto"/>
              <w:bottom w:val="single" w:sz="4" w:space="0" w:color="auto"/>
            </w:tcBorders>
            <w:vAlign w:val="center"/>
          </w:tcPr>
          <w:p w14:paraId="323E9B27" w14:textId="0A4526EA" w:rsidR="00872704" w:rsidRPr="0056085D" w:rsidRDefault="00872704" w:rsidP="00872704">
            <w:pPr>
              <w:pStyle w:val="BodyText"/>
              <w:ind w:left="0"/>
              <w:rPr>
                <w:rFonts w:cs="Arial"/>
              </w:rPr>
            </w:pPr>
            <w:r w:rsidRPr="0056085D">
              <w:rPr>
                <w:rFonts w:cs="Arial"/>
              </w:rPr>
              <w:t>Record custom events and metrics from sites and services in Application Insights.</w:t>
            </w:r>
            <w:r w:rsidRPr="0056085D">
              <w:rPr>
                <w:rFonts w:cs="Arial"/>
              </w:rPr>
              <w:tab/>
            </w:r>
          </w:p>
        </w:tc>
        <w:tc>
          <w:tcPr>
            <w:tcW w:w="1543" w:type="dxa"/>
            <w:tcBorders>
              <w:top w:val="single" w:sz="4" w:space="0" w:color="auto"/>
              <w:bottom w:val="single" w:sz="4" w:space="0" w:color="auto"/>
            </w:tcBorders>
            <w:noWrap/>
            <w:vAlign w:val="center"/>
          </w:tcPr>
          <w:p w14:paraId="26D2EF7A" w14:textId="13DB943F" w:rsidR="00872704" w:rsidRPr="0056085D" w:rsidRDefault="00872704" w:rsidP="00872704">
            <w:pPr>
              <w:pStyle w:val="BodyText"/>
              <w:jc w:val="center"/>
              <w:rPr>
                <w:rFonts w:cs="Arial"/>
              </w:rPr>
            </w:pPr>
            <w:r>
              <w:rPr>
                <w:rFonts w:cs="Arial"/>
              </w:rPr>
              <w:t>Yes</w:t>
            </w:r>
          </w:p>
        </w:tc>
        <w:tc>
          <w:tcPr>
            <w:tcW w:w="1470" w:type="dxa"/>
            <w:noWrap/>
            <w:vAlign w:val="center"/>
          </w:tcPr>
          <w:p w14:paraId="0539D9AA" w14:textId="69D2E06B" w:rsidR="00872704" w:rsidRPr="0056085D" w:rsidRDefault="00872704" w:rsidP="00872704">
            <w:pPr>
              <w:pStyle w:val="BodyText"/>
              <w:jc w:val="center"/>
              <w:rPr>
                <w:rFonts w:cs="Arial"/>
              </w:rPr>
            </w:pPr>
            <w:r>
              <w:rPr>
                <w:rFonts w:cs="Arial"/>
              </w:rPr>
              <w:t>No</w:t>
            </w:r>
          </w:p>
        </w:tc>
        <w:tc>
          <w:tcPr>
            <w:tcW w:w="1459" w:type="dxa"/>
            <w:vAlign w:val="center"/>
          </w:tcPr>
          <w:p w14:paraId="17600708" w14:textId="59F8572A" w:rsidR="00872704" w:rsidRPr="0056085D" w:rsidRDefault="00872704" w:rsidP="00872704">
            <w:pPr>
              <w:pStyle w:val="BodyText"/>
              <w:jc w:val="center"/>
              <w:rPr>
                <w:rFonts w:cs="Arial"/>
              </w:rPr>
            </w:pPr>
            <w:r>
              <w:rPr>
                <w:rFonts w:cs="Arial"/>
              </w:rPr>
              <w:t>Governance</w:t>
            </w:r>
          </w:p>
        </w:tc>
        <w:tc>
          <w:tcPr>
            <w:tcW w:w="1720" w:type="dxa"/>
            <w:vAlign w:val="center"/>
          </w:tcPr>
          <w:p w14:paraId="59FA8131" w14:textId="2734CE7C" w:rsidR="00872704" w:rsidRPr="0056085D" w:rsidRDefault="00872704" w:rsidP="00872704">
            <w:pPr>
              <w:pStyle w:val="BodyText"/>
              <w:jc w:val="center"/>
              <w:rPr>
                <w:rFonts w:cs="Arial"/>
              </w:rPr>
            </w:pPr>
            <w:r>
              <w:rPr>
                <w:rFonts w:cs="Arial"/>
              </w:rPr>
              <w:t>Operational – during application deployment</w:t>
            </w:r>
          </w:p>
        </w:tc>
      </w:tr>
      <w:tr w:rsidR="00872704" w:rsidRPr="0056085D" w14:paraId="1979C8E9" w14:textId="77777777" w:rsidTr="00014392">
        <w:trPr>
          <w:trHeight w:val="290"/>
        </w:trPr>
        <w:tc>
          <w:tcPr>
            <w:tcW w:w="728" w:type="dxa"/>
            <w:tcBorders>
              <w:top w:val="single" w:sz="4" w:space="0" w:color="auto"/>
              <w:bottom w:val="single" w:sz="4" w:space="0" w:color="auto"/>
            </w:tcBorders>
            <w:noWrap/>
            <w:vAlign w:val="center"/>
          </w:tcPr>
          <w:p w14:paraId="31DA2A66" w14:textId="3EB7EC60" w:rsidR="00872704" w:rsidRPr="0056085D" w:rsidRDefault="00872704" w:rsidP="00872704">
            <w:pPr>
              <w:pStyle w:val="BodyText"/>
              <w:rPr>
                <w:rFonts w:cs="Arial"/>
                <w:b/>
                <w:bCs/>
              </w:rPr>
            </w:pPr>
            <w:r>
              <w:rPr>
                <w:rFonts w:cs="Arial"/>
                <w:b/>
                <w:bCs/>
              </w:rPr>
              <w:t>OE</w:t>
            </w:r>
            <w:r w:rsidRPr="0056085D">
              <w:rPr>
                <w:rFonts w:cs="Arial"/>
                <w:b/>
                <w:bCs/>
              </w:rPr>
              <w:t>5</w:t>
            </w:r>
          </w:p>
        </w:tc>
        <w:tc>
          <w:tcPr>
            <w:tcW w:w="2436" w:type="dxa"/>
            <w:tcBorders>
              <w:top w:val="single" w:sz="4" w:space="0" w:color="auto"/>
              <w:bottom w:val="single" w:sz="4" w:space="0" w:color="auto"/>
            </w:tcBorders>
            <w:vAlign w:val="center"/>
          </w:tcPr>
          <w:p w14:paraId="199969D7" w14:textId="046E7FC1" w:rsidR="00872704" w:rsidRPr="0056085D" w:rsidRDefault="00872704" w:rsidP="00014392">
            <w:pPr>
              <w:pStyle w:val="BodyText"/>
              <w:rPr>
                <w:rFonts w:cs="Arial"/>
              </w:rPr>
            </w:pPr>
            <w:r w:rsidRPr="0056085D">
              <w:rPr>
                <w:rFonts w:cs="Arial"/>
              </w:rPr>
              <w:t>Use Application Insights to ingest existing log traces from common libraries, such as ILogger, Nlog, and log4Net.</w:t>
            </w:r>
            <w:r w:rsidRPr="0056085D">
              <w:rPr>
                <w:rFonts w:cs="Arial"/>
              </w:rPr>
              <w:tab/>
            </w:r>
          </w:p>
        </w:tc>
        <w:tc>
          <w:tcPr>
            <w:tcW w:w="1543" w:type="dxa"/>
            <w:tcBorders>
              <w:top w:val="single" w:sz="4" w:space="0" w:color="auto"/>
              <w:bottom w:val="single" w:sz="4" w:space="0" w:color="auto"/>
            </w:tcBorders>
            <w:noWrap/>
            <w:vAlign w:val="center"/>
          </w:tcPr>
          <w:p w14:paraId="2D7E2E54" w14:textId="649B3857" w:rsidR="00872704" w:rsidRPr="0056085D" w:rsidRDefault="00872704" w:rsidP="00872704">
            <w:pPr>
              <w:pStyle w:val="BodyText"/>
              <w:jc w:val="center"/>
              <w:rPr>
                <w:rFonts w:cs="Arial"/>
              </w:rPr>
            </w:pPr>
            <w:r>
              <w:rPr>
                <w:rFonts w:cs="Arial"/>
              </w:rPr>
              <w:t>Yes</w:t>
            </w:r>
          </w:p>
        </w:tc>
        <w:tc>
          <w:tcPr>
            <w:tcW w:w="1470" w:type="dxa"/>
            <w:noWrap/>
            <w:vAlign w:val="center"/>
          </w:tcPr>
          <w:p w14:paraId="5CC42275" w14:textId="31CD57B2" w:rsidR="00872704" w:rsidRPr="0056085D" w:rsidRDefault="00872704" w:rsidP="00872704">
            <w:pPr>
              <w:pStyle w:val="BodyText"/>
              <w:jc w:val="center"/>
              <w:rPr>
                <w:rFonts w:cs="Arial"/>
              </w:rPr>
            </w:pPr>
            <w:r>
              <w:rPr>
                <w:rFonts w:cs="Arial"/>
              </w:rPr>
              <w:t>No</w:t>
            </w:r>
          </w:p>
        </w:tc>
        <w:tc>
          <w:tcPr>
            <w:tcW w:w="1459" w:type="dxa"/>
            <w:vAlign w:val="center"/>
          </w:tcPr>
          <w:p w14:paraId="6B6AC974" w14:textId="2DAA0555" w:rsidR="00872704" w:rsidRPr="0056085D" w:rsidRDefault="00872704" w:rsidP="00872704">
            <w:pPr>
              <w:pStyle w:val="BodyText"/>
              <w:jc w:val="center"/>
              <w:rPr>
                <w:rFonts w:cs="Arial"/>
              </w:rPr>
            </w:pPr>
            <w:r>
              <w:rPr>
                <w:rFonts w:cs="Arial"/>
              </w:rPr>
              <w:t>Governance</w:t>
            </w:r>
          </w:p>
        </w:tc>
        <w:tc>
          <w:tcPr>
            <w:tcW w:w="1720" w:type="dxa"/>
            <w:vAlign w:val="center"/>
          </w:tcPr>
          <w:p w14:paraId="7ABF5701" w14:textId="6E9B5429" w:rsidR="00872704" w:rsidRPr="0056085D" w:rsidRDefault="00872704" w:rsidP="00872704">
            <w:pPr>
              <w:pStyle w:val="BodyText"/>
              <w:jc w:val="center"/>
              <w:rPr>
                <w:rFonts w:cs="Arial"/>
              </w:rPr>
            </w:pPr>
            <w:r>
              <w:rPr>
                <w:rFonts w:cs="Arial"/>
              </w:rPr>
              <w:t>Operational – during application deployment</w:t>
            </w:r>
          </w:p>
        </w:tc>
      </w:tr>
      <w:tr w:rsidR="00291643" w:rsidRPr="0056085D" w14:paraId="1809B006" w14:textId="77777777" w:rsidTr="00014392">
        <w:trPr>
          <w:trHeight w:val="290"/>
        </w:trPr>
        <w:tc>
          <w:tcPr>
            <w:tcW w:w="728" w:type="dxa"/>
            <w:tcBorders>
              <w:top w:val="single" w:sz="4" w:space="0" w:color="auto"/>
              <w:bottom w:val="single" w:sz="4" w:space="0" w:color="auto"/>
            </w:tcBorders>
            <w:noWrap/>
            <w:vAlign w:val="center"/>
          </w:tcPr>
          <w:p w14:paraId="18CA93DA" w14:textId="03FB61A6" w:rsidR="00291643" w:rsidRPr="0056085D" w:rsidRDefault="001563A2" w:rsidP="003C6628">
            <w:pPr>
              <w:pStyle w:val="BodyText"/>
              <w:rPr>
                <w:rFonts w:cs="Arial"/>
                <w:b/>
                <w:bCs/>
              </w:rPr>
            </w:pPr>
            <w:r>
              <w:rPr>
                <w:rFonts w:cs="Arial"/>
                <w:b/>
                <w:bCs/>
              </w:rPr>
              <w:t>OE</w:t>
            </w:r>
            <w:r w:rsidR="0056085D" w:rsidRPr="0056085D">
              <w:rPr>
                <w:rFonts w:cs="Arial"/>
                <w:b/>
                <w:bCs/>
              </w:rPr>
              <w:t>6</w:t>
            </w:r>
          </w:p>
        </w:tc>
        <w:tc>
          <w:tcPr>
            <w:tcW w:w="2436" w:type="dxa"/>
            <w:tcBorders>
              <w:top w:val="single" w:sz="4" w:space="0" w:color="auto"/>
              <w:bottom w:val="single" w:sz="4" w:space="0" w:color="auto"/>
            </w:tcBorders>
            <w:vAlign w:val="center"/>
          </w:tcPr>
          <w:p w14:paraId="2E96DDE0" w14:textId="144B6F43" w:rsidR="00291643" w:rsidRPr="0056085D" w:rsidRDefault="00291643" w:rsidP="00014392">
            <w:pPr>
              <w:pStyle w:val="BodyText"/>
              <w:rPr>
                <w:rFonts w:cs="Arial"/>
              </w:rPr>
            </w:pPr>
            <w:r w:rsidRPr="0056085D">
              <w:rPr>
                <w:rFonts w:cs="Arial"/>
              </w:rPr>
              <w:t>Become familiar with the Application Insights quotas and limits.</w:t>
            </w:r>
            <w:r w:rsidRPr="0056085D">
              <w:rPr>
                <w:rFonts w:cs="Arial"/>
              </w:rPr>
              <w:tab/>
            </w:r>
          </w:p>
        </w:tc>
        <w:tc>
          <w:tcPr>
            <w:tcW w:w="1543" w:type="dxa"/>
            <w:tcBorders>
              <w:top w:val="single" w:sz="4" w:space="0" w:color="auto"/>
              <w:bottom w:val="single" w:sz="4" w:space="0" w:color="auto"/>
            </w:tcBorders>
            <w:noWrap/>
            <w:vAlign w:val="center"/>
          </w:tcPr>
          <w:p w14:paraId="6CCA9F62" w14:textId="3E94709C" w:rsidR="00291643" w:rsidRPr="0056085D" w:rsidRDefault="00135F7E" w:rsidP="003C6628">
            <w:pPr>
              <w:pStyle w:val="BodyText"/>
              <w:jc w:val="center"/>
              <w:rPr>
                <w:rFonts w:cs="Arial"/>
              </w:rPr>
            </w:pPr>
            <w:r>
              <w:rPr>
                <w:rFonts w:cs="Arial"/>
              </w:rPr>
              <w:t>Yes</w:t>
            </w:r>
          </w:p>
        </w:tc>
        <w:tc>
          <w:tcPr>
            <w:tcW w:w="1470" w:type="dxa"/>
            <w:noWrap/>
            <w:vAlign w:val="center"/>
          </w:tcPr>
          <w:p w14:paraId="3451579B" w14:textId="05F1AA9D" w:rsidR="00291643" w:rsidRPr="0056085D" w:rsidRDefault="00135F7E" w:rsidP="003C6628">
            <w:pPr>
              <w:pStyle w:val="BodyText"/>
              <w:jc w:val="center"/>
              <w:rPr>
                <w:rFonts w:cs="Arial"/>
              </w:rPr>
            </w:pPr>
            <w:r>
              <w:rPr>
                <w:rFonts w:cs="Arial"/>
              </w:rPr>
              <w:t>No</w:t>
            </w:r>
          </w:p>
        </w:tc>
        <w:tc>
          <w:tcPr>
            <w:tcW w:w="1459" w:type="dxa"/>
            <w:vAlign w:val="center"/>
          </w:tcPr>
          <w:p w14:paraId="2F9AA974" w14:textId="02E76191" w:rsidR="00291643" w:rsidRPr="0056085D" w:rsidRDefault="00135F7E" w:rsidP="003C6628">
            <w:pPr>
              <w:pStyle w:val="BodyText"/>
              <w:jc w:val="center"/>
              <w:rPr>
                <w:rFonts w:cs="Arial"/>
              </w:rPr>
            </w:pPr>
            <w:r>
              <w:rPr>
                <w:rFonts w:cs="Arial"/>
              </w:rPr>
              <w:t>Governance</w:t>
            </w:r>
          </w:p>
        </w:tc>
        <w:tc>
          <w:tcPr>
            <w:tcW w:w="1720" w:type="dxa"/>
            <w:vAlign w:val="center"/>
          </w:tcPr>
          <w:p w14:paraId="5B63A04E" w14:textId="4FBA6977" w:rsidR="00291643" w:rsidRPr="0056085D" w:rsidRDefault="00135F7E" w:rsidP="003C6628">
            <w:pPr>
              <w:pStyle w:val="BodyText"/>
              <w:jc w:val="center"/>
              <w:rPr>
                <w:rFonts w:cs="Arial"/>
              </w:rPr>
            </w:pPr>
            <w:r>
              <w:rPr>
                <w:rFonts w:cs="Arial"/>
              </w:rPr>
              <w:t>Operational – at deployment</w:t>
            </w:r>
          </w:p>
        </w:tc>
      </w:tr>
      <w:tr w:rsidR="00291643" w:rsidRPr="0056085D" w14:paraId="59408FF2" w14:textId="77777777" w:rsidTr="00014392">
        <w:trPr>
          <w:trHeight w:val="290"/>
        </w:trPr>
        <w:tc>
          <w:tcPr>
            <w:tcW w:w="728" w:type="dxa"/>
            <w:tcBorders>
              <w:top w:val="single" w:sz="4" w:space="0" w:color="auto"/>
              <w:bottom w:val="single" w:sz="4" w:space="0" w:color="auto"/>
            </w:tcBorders>
            <w:noWrap/>
            <w:vAlign w:val="center"/>
          </w:tcPr>
          <w:p w14:paraId="597D2664" w14:textId="3C90CF52" w:rsidR="00291643" w:rsidRPr="0056085D" w:rsidRDefault="001563A2" w:rsidP="003C6628">
            <w:pPr>
              <w:pStyle w:val="BodyText"/>
              <w:rPr>
                <w:rFonts w:cs="Arial"/>
                <w:b/>
                <w:bCs/>
              </w:rPr>
            </w:pPr>
            <w:r>
              <w:rPr>
                <w:rFonts w:cs="Arial"/>
                <w:b/>
                <w:bCs/>
              </w:rPr>
              <w:t>OE</w:t>
            </w:r>
            <w:r w:rsidR="0056085D" w:rsidRPr="0056085D">
              <w:rPr>
                <w:rFonts w:cs="Arial"/>
                <w:b/>
                <w:bCs/>
              </w:rPr>
              <w:t>7</w:t>
            </w:r>
          </w:p>
        </w:tc>
        <w:tc>
          <w:tcPr>
            <w:tcW w:w="2436" w:type="dxa"/>
            <w:tcBorders>
              <w:top w:val="single" w:sz="4" w:space="0" w:color="auto"/>
              <w:bottom w:val="single" w:sz="4" w:space="0" w:color="auto"/>
            </w:tcBorders>
            <w:vAlign w:val="center"/>
          </w:tcPr>
          <w:p w14:paraId="3136B0D5" w14:textId="4FE31F18" w:rsidR="00291643" w:rsidRPr="0056085D" w:rsidRDefault="00291643" w:rsidP="00014392">
            <w:pPr>
              <w:pStyle w:val="BodyText"/>
              <w:rPr>
                <w:rFonts w:cs="Arial"/>
              </w:rPr>
            </w:pPr>
            <w:r w:rsidRPr="0056085D">
              <w:rPr>
                <w:rFonts w:cs="Arial"/>
              </w:rPr>
              <w:t>Review the need for custom analysis. Use Application Insights data with tools such as Azure Dashboards or Power BI.</w:t>
            </w:r>
            <w:r w:rsidRPr="0056085D">
              <w:rPr>
                <w:rFonts w:cs="Arial"/>
              </w:rPr>
              <w:tab/>
            </w:r>
          </w:p>
        </w:tc>
        <w:tc>
          <w:tcPr>
            <w:tcW w:w="1543" w:type="dxa"/>
            <w:tcBorders>
              <w:top w:val="single" w:sz="4" w:space="0" w:color="auto"/>
              <w:bottom w:val="single" w:sz="4" w:space="0" w:color="auto"/>
            </w:tcBorders>
            <w:noWrap/>
            <w:vAlign w:val="center"/>
          </w:tcPr>
          <w:p w14:paraId="1A2AA171" w14:textId="4551CFB9" w:rsidR="00291643" w:rsidRPr="0056085D" w:rsidRDefault="00135F7E" w:rsidP="003C6628">
            <w:pPr>
              <w:pStyle w:val="BodyText"/>
              <w:jc w:val="center"/>
              <w:rPr>
                <w:rFonts w:cs="Arial"/>
              </w:rPr>
            </w:pPr>
            <w:r>
              <w:rPr>
                <w:rFonts w:cs="Arial"/>
              </w:rPr>
              <w:t>Yes</w:t>
            </w:r>
          </w:p>
        </w:tc>
        <w:tc>
          <w:tcPr>
            <w:tcW w:w="1470" w:type="dxa"/>
            <w:noWrap/>
            <w:vAlign w:val="center"/>
          </w:tcPr>
          <w:p w14:paraId="70801928" w14:textId="412E3D3B" w:rsidR="00291643" w:rsidRPr="0056085D" w:rsidRDefault="00135F7E" w:rsidP="003C6628">
            <w:pPr>
              <w:pStyle w:val="BodyText"/>
              <w:jc w:val="center"/>
              <w:rPr>
                <w:rFonts w:cs="Arial"/>
              </w:rPr>
            </w:pPr>
            <w:r>
              <w:rPr>
                <w:rFonts w:cs="Arial"/>
              </w:rPr>
              <w:t>No</w:t>
            </w:r>
          </w:p>
        </w:tc>
        <w:tc>
          <w:tcPr>
            <w:tcW w:w="1459" w:type="dxa"/>
            <w:vAlign w:val="center"/>
          </w:tcPr>
          <w:p w14:paraId="7D51FAB4" w14:textId="35995342" w:rsidR="00291643" w:rsidRPr="0056085D" w:rsidRDefault="00135F7E" w:rsidP="003C6628">
            <w:pPr>
              <w:pStyle w:val="BodyText"/>
              <w:jc w:val="center"/>
              <w:rPr>
                <w:rFonts w:cs="Arial"/>
              </w:rPr>
            </w:pPr>
            <w:r>
              <w:rPr>
                <w:rFonts w:cs="Arial"/>
              </w:rPr>
              <w:t>Governance</w:t>
            </w:r>
          </w:p>
        </w:tc>
        <w:tc>
          <w:tcPr>
            <w:tcW w:w="1720" w:type="dxa"/>
            <w:vAlign w:val="center"/>
          </w:tcPr>
          <w:p w14:paraId="4D0BD03D" w14:textId="64C3A91A" w:rsidR="00291643" w:rsidRPr="0056085D" w:rsidRDefault="00135F7E" w:rsidP="003C6628">
            <w:pPr>
              <w:pStyle w:val="BodyText"/>
              <w:jc w:val="center"/>
              <w:rPr>
                <w:rFonts w:cs="Arial"/>
              </w:rPr>
            </w:pPr>
            <w:r>
              <w:rPr>
                <w:rFonts w:cs="Arial"/>
              </w:rPr>
              <w:t>Operational – review additional toolsets required</w:t>
            </w:r>
          </w:p>
        </w:tc>
      </w:tr>
      <w:tr w:rsidR="00291643" w:rsidRPr="0056085D" w14:paraId="71E59D05" w14:textId="77777777" w:rsidTr="00014392">
        <w:trPr>
          <w:trHeight w:val="290"/>
        </w:trPr>
        <w:tc>
          <w:tcPr>
            <w:tcW w:w="728" w:type="dxa"/>
            <w:tcBorders>
              <w:top w:val="single" w:sz="4" w:space="0" w:color="auto"/>
              <w:bottom w:val="single" w:sz="4" w:space="0" w:color="auto"/>
            </w:tcBorders>
            <w:noWrap/>
            <w:vAlign w:val="center"/>
          </w:tcPr>
          <w:p w14:paraId="37A56368" w14:textId="78A64459" w:rsidR="00291643" w:rsidRPr="0056085D" w:rsidRDefault="001563A2" w:rsidP="003C6628">
            <w:pPr>
              <w:pStyle w:val="BodyText"/>
              <w:rPr>
                <w:rFonts w:cs="Arial"/>
                <w:b/>
                <w:bCs/>
              </w:rPr>
            </w:pPr>
            <w:r>
              <w:rPr>
                <w:rFonts w:cs="Arial"/>
                <w:b/>
                <w:bCs/>
              </w:rPr>
              <w:t>OE</w:t>
            </w:r>
            <w:r w:rsidR="0056085D" w:rsidRPr="0056085D">
              <w:rPr>
                <w:rFonts w:cs="Arial"/>
                <w:b/>
                <w:bCs/>
              </w:rPr>
              <w:t>8</w:t>
            </w:r>
          </w:p>
        </w:tc>
        <w:tc>
          <w:tcPr>
            <w:tcW w:w="2436" w:type="dxa"/>
            <w:tcBorders>
              <w:top w:val="single" w:sz="4" w:space="0" w:color="auto"/>
              <w:bottom w:val="single" w:sz="4" w:space="0" w:color="auto"/>
            </w:tcBorders>
            <w:vAlign w:val="center"/>
          </w:tcPr>
          <w:p w14:paraId="5EE3692B" w14:textId="0D47EE33" w:rsidR="00291643" w:rsidRPr="0056085D" w:rsidRDefault="00291643" w:rsidP="00014392">
            <w:pPr>
              <w:pStyle w:val="BodyText"/>
              <w:rPr>
                <w:rFonts w:cs="Arial"/>
              </w:rPr>
            </w:pPr>
            <w:r w:rsidRPr="0056085D">
              <w:rPr>
                <w:rFonts w:cs="Arial"/>
              </w:rPr>
              <w:t>Separate data across Application Insights resources.</w:t>
            </w:r>
            <w:r w:rsidRPr="0056085D">
              <w:rPr>
                <w:rFonts w:cs="Arial"/>
              </w:rPr>
              <w:tab/>
            </w:r>
          </w:p>
        </w:tc>
        <w:tc>
          <w:tcPr>
            <w:tcW w:w="1543" w:type="dxa"/>
            <w:tcBorders>
              <w:top w:val="single" w:sz="4" w:space="0" w:color="auto"/>
              <w:bottom w:val="single" w:sz="4" w:space="0" w:color="auto"/>
            </w:tcBorders>
            <w:noWrap/>
            <w:vAlign w:val="center"/>
          </w:tcPr>
          <w:p w14:paraId="55466F09" w14:textId="41B00D5C" w:rsidR="00291643" w:rsidRPr="0056085D" w:rsidRDefault="00135F7E" w:rsidP="003C6628">
            <w:pPr>
              <w:pStyle w:val="BodyText"/>
              <w:jc w:val="center"/>
              <w:rPr>
                <w:rFonts w:cs="Arial"/>
              </w:rPr>
            </w:pPr>
            <w:r>
              <w:rPr>
                <w:rFonts w:cs="Arial"/>
              </w:rPr>
              <w:t>Yes</w:t>
            </w:r>
          </w:p>
        </w:tc>
        <w:tc>
          <w:tcPr>
            <w:tcW w:w="1470" w:type="dxa"/>
            <w:noWrap/>
            <w:vAlign w:val="center"/>
          </w:tcPr>
          <w:p w14:paraId="0A1E9300" w14:textId="3CC9C489" w:rsidR="00291643" w:rsidRPr="0056085D" w:rsidRDefault="00135F7E" w:rsidP="003C6628">
            <w:pPr>
              <w:pStyle w:val="BodyText"/>
              <w:jc w:val="center"/>
              <w:rPr>
                <w:rFonts w:cs="Arial"/>
              </w:rPr>
            </w:pPr>
            <w:r>
              <w:rPr>
                <w:rFonts w:cs="Arial"/>
              </w:rPr>
              <w:t>No</w:t>
            </w:r>
          </w:p>
        </w:tc>
        <w:tc>
          <w:tcPr>
            <w:tcW w:w="1459" w:type="dxa"/>
            <w:vAlign w:val="center"/>
          </w:tcPr>
          <w:p w14:paraId="51FA1B99" w14:textId="3CDD71AB" w:rsidR="00291643" w:rsidRPr="0056085D" w:rsidRDefault="00135F7E" w:rsidP="003C6628">
            <w:pPr>
              <w:pStyle w:val="BodyText"/>
              <w:jc w:val="center"/>
              <w:rPr>
                <w:rFonts w:cs="Arial"/>
              </w:rPr>
            </w:pPr>
            <w:r>
              <w:rPr>
                <w:rFonts w:cs="Arial"/>
              </w:rPr>
              <w:t>Governance</w:t>
            </w:r>
          </w:p>
        </w:tc>
        <w:tc>
          <w:tcPr>
            <w:tcW w:w="1720" w:type="dxa"/>
            <w:vAlign w:val="center"/>
          </w:tcPr>
          <w:p w14:paraId="0301AA0E" w14:textId="3EDBEAE8" w:rsidR="00291643" w:rsidRPr="0056085D" w:rsidRDefault="00135F7E" w:rsidP="0053053C">
            <w:pPr>
              <w:pStyle w:val="BodyText"/>
              <w:keepNext/>
              <w:jc w:val="center"/>
              <w:rPr>
                <w:rFonts w:cs="Arial"/>
              </w:rPr>
            </w:pPr>
            <w:r>
              <w:rPr>
                <w:rFonts w:cs="Arial"/>
              </w:rPr>
              <w:t>Operational – during application landing zone design</w:t>
            </w:r>
          </w:p>
        </w:tc>
      </w:tr>
    </w:tbl>
    <w:p w14:paraId="12C2D394" w14:textId="21C292D3" w:rsidR="002348C5" w:rsidRDefault="0053053C" w:rsidP="0053053C">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26567A">
        <w:rPr>
          <w:noProof/>
        </w:rPr>
        <w:t>4</w:t>
      </w:r>
      <w:r>
        <w:rPr>
          <w:color w:val="2B579A"/>
          <w:shd w:val="clear" w:color="auto" w:fill="E6E6E6"/>
        </w:rPr>
        <w:fldChar w:fldCharType="end"/>
      </w:r>
      <w:r>
        <w:t>: Application Insights Operational Excellence Checklist Summary</w:t>
      </w:r>
    </w:p>
    <w:p w14:paraId="562F38D5" w14:textId="77777777" w:rsidR="00050F61" w:rsidRDefault="00050F61" w:rsidP="002348C5">
      <w:pPr>
        <w:pStyle w:val="BodyText"/>
      </w:pPr>
    </w:p>
    <w:p w14:paraId="409A2292" w14:textId="77777777" w:rsidR="00B36013" w:rsidRDefault="00B36013" w:rsidP="002348C5">
      <w:pPr>
        <w:pStyle w:val="BodyText"/>
      </w:pPr>
    </w:p>
    <w:p w14:paraId="2C368515" w14:textId="1C2173EF" w:rsidR="00442D9E" w:rsidRPr="00050F61" w:rsidRDefault="00442D9E" w:rsidP="00442D9E">
      <w:pPr>
        <w:pStyle w:val="Heading2"/>
        <w:rPr>
          <w:sz w:val="40"/>
          <w:szCs w:val="40"/>
        </w:rPr>
      </w:pPr>
      <w:bookmarkStart w:id="16" w:name="_Toc158801751"/>
      <w:r w:rsidRPr="00050F61">
        <w:rPr>
          <w:sz w:val="40"/>
          <w:szCs w:val="40"/>
        </w:rPr>
        <w:t>Performance Efficiency</w:t>
      </w:r>
      <w:bookmarkEnd w:id="16"/>
    </w:p>
    <w:p w14:paraId="3A46ECA4" w14:textId="77777777" w:rsidR="00050F61" w:rsidRDefault="00050F61" w:rsidP="00050F61">
      <w:pPr>
        <w:pStyle w:val="Heading3"/>
        <w:numPr>
          <w:ilvl w:val="2"/>
          <w:numId w:val="7"/>
        </w:numPr>
      </w:pPr>
      <w:bookmarkStart w:id="17" w:name="_Toc158801752"/>
      <w:r w:rsidRPr="002348C5">
        <w:t>Overview</w:t>
      </w:r>
      <w:bookmarkEnd w:id="17"/>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8" w:name="_Toc158801753"/>
    <w:p w14:paraId="33F4EEB7" w14:textId="08EA1EEB" w:rsidR="008E30DC" w:rsidRDefault="00434A75" w:rsidP="00050F61">
      <w:pPr>
        <w:pStyle w:val="Heading3"/>
        <w:numPr>
          <w:ilvl w:val="2"/>
          <w:numId w:val="7"/>
        </w:numPr>
      </w:pPr>
      <w:sdt>
        <w:sdtPr>
          <w:rPr>
            <w:color w:val="2B579A"/>
            <w:shd w:val="clear" w:color="auto" w:fill="E6E6E6"/>
          </w:r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CB62C3">
            <w:t>Azure Monitor and Insights</w:t>
          </w:r>
        </w:sdtContent>
      </w:sdt>
      <w:r w:rsidR="008E30DC">
        <w:t xml:space="preserve"> Performance Efficiency Checklist</w:t>
      </w:r>
      <w:bookmarkEnd w:id="18"/>
    </w:p>
    <w:p w14:paraId="19A2B1E4" w14:textId="75739B76" w:rsidR="00DD6259" w:rsidRDefault="00FC231E" w:rsidP="00FC231E">
      <w:pPr>
        <w:pStyle w:val="BodyText10ptAbove"/>
      </w:pPr>
      <w:r>
        <w:t xml:space="preserve">There is no guidance for Azure Monitor </w:t>
      </w:r>
      <w:r w:rsidR="00B36013">
        <w:t xml:space="preserve">or Insights </w:t>
      </w:r>
      <w:r>
        <w:t xml:space="preserve">under the Performance Efficiency pillar of the Microsoft Well-Architected Framework. </w:t>
      </w:r>
    </w:p>
    <w:p w14:paraId="4855DDF7" w14:textId="77777777" w:rsidR="00265618" w:rsidRDefault="00265618" w:rsidP="00265618">
      <w:pPr>
        <w:pStyle w:val="BodyText"/>
      </w:pPr>
    </w:p>
    <w:p w14:paraId="75D25E82" w14:textId="77777777" w:rsidR="00265618" w:rsidRDefault="00265618" w:rsidP="00265618">
      <w:pPr>
        <w:pStyle w:val="BodyText"/>
      </w:pPr>
    </w:p>
    <w:p w14:paraId="3CAC600D" w14:textId="77777777" w:rsidR="00265618" w:rsidRDefault="00265618" w:rsidP="00265618">
      <w:pPr>
        <w:pStyle w:val="BodyText"/>
      </w:pPr>
    </w:p>
    <w:p w14:paraId="722B8FCF" w14:textId="77777777" w:rsidR="00265618" w:rsidRDefault="00265618" w:rsidP="00265618">
      <w:pPr>
        <w:pStyle w:val="BodyText"/>
      </w:pPr>
    </w:p>
    <w:p w14:paraId="1F6E6333" w14:textId="5710D6B5" w:rsidR="00442D9E" w:rsidRPr="00050F61" w:rsidRDefault="00442D9E" w:rsidP="003C6628">
      <w:pPr>
        <w:pStyle w:val="Heading2"/>
        <w:rPr>
          <w:sz w:val="40"/>
          <w:szCs w:val="40"/>
        </w:rPr>
      </w:pPr>
      <w:bookmarkStart w:id="19" w:name="_Toc158801754"/>
      <w:r w:rsidRPr="00050F61">
        <w:rPr>
          <w:sz w:val="40"/>
          <w:szCs w:val="40"/>
        </w:rPr>
        <w:t>Security</w:t>
      </w:r>
      <w:bookmarkEnd w:id="19"/>
    </w:p>
    <w:p w14:paraId="7C4DECDC" w14:textId="77777777" w:rsidR="00050F61" w:rsidRDefault="00050F61" w:rsidP="007D289F">
      <w:pPr>
        <w:pStyle w:val="Heading3"/>
        <w:numPr>
          <w:ilvl w:val="2"/>
          <w:numId w:val="7"/>
        </w:numPr>
        <w:jc w:val="both"/>
      </w:pPr>
      <w:bookmarkStart w:id="20" w:name="_Overview"/>
      <w:bookmarkStart w:id="21" w:name="_Toc158801755"/>
      <w:bookmarkEnd w:id="20"/>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1019A514" w14:textId="04D34A7F" w:rsidR="004D592B" w:rsidRDefault="004D592B" w:rsidP="007D289F">
      <w:pPr>
        <w:pStyle w:val="BodyText"/>
        <w:jc w:val="both"/>
      </w:pPr>
      <w:r>
        <w:t>The following Microsoft Security Benchmark controls are applicable</w:t>
      </w:r>
      <w:r w:rsidR="008A37F2">
        <w:t xml:space="preserve"> to Azure Monitor</w:t>
      </w:r>
      <w:r w:rsidR="00013035">
        <w:rPr>
          <w:rStyle w:val="FootnoteReference"/>
        </w:rPr>
        <w:footnoteReference w:id="8"/>
      </w:r>
      <w:r>
        <w:t>:</w:t>
      </w:r>
    </w:p>
    <w:p w14:paraId="18BA8E3B" w14:textId="7071D46F" w:rsidR="004D592B" w:rsidRDefault="004D592B" w:rsidP="008C612C">
      <w:pPr>
        <w:pStyle w:val="BodyText"/>
        <w:numPr>
          <w:ilvl w:val="0"/>
          <w:numId w:val="38"/>
        </w:numPr>
        <w:jc w:val="both"/>
      </w:pPr>
      <w:r>
        <w:t xml:space="preserve">IM-1: </w:t>
      </w:r>
      <w:r w:rsidRPr="004D592B">
        <w:t>Use centralized identity and authentication system</w:t>
      </w:r>
      <w:r w:rsidR="007A02CF">
        <w:t>.</w:t>
      </w:r>
    </w:p>
    <w:p w14:paraId="3074BEB0" w14:textId="59EF8F86" w:rsidR="004D592B" w:rsidRDefault="004D592B" w:rsidP="008C612C">
      <w:pPr>
        <w:pStyle w:val="BodyText"/>
        <w:numPr>
          <w:ilvl w:val="0"/>
          <w:numId w:val="38"/>
        </w:numPr>
        <w:jc w:val="both"/>
      </w:pPr>
      <w:r w:rsidRPr="004D592B">
        <w:t>IM-3: Manage application identities securely and automatically</w:t>
      </w:r>
      <w:r w:rsidR="007A02CF">
        <w:t>.</w:t>
      </w:r>
    </w:p>
    <w:p w14:paraId="5E8EB6B6" w14:textId="0F029098" w:rsidR="008C612C" w:rsidRDefault="008C612C" w:rsidP="008C612C">
      <w:pPr>
        <w:pStyle w:val="BodyText"/>
        <w:numPr>
          <w:ilvl w:val="0"/>
          <w:numId w:val="38"/>
        </w:numPr>
        <w:jc w:val="both"/>
      </w:pPr>
      <w:r w:rsidRPr="008C612C">
        <w:t>DP-3: Encrypt sensitive data in transit</w:t>
      </w:r>
      <w:r w:rsidR="007A02CF">
        <w:t>.</w:t>
      </w:r>
    </w:p>
    <w:p w14:paraId="2E2D23B3" w14:textId="4BD394DC" w:rsidR="008C612C" w:rsidRDefault="008C612C" w:rsidP="008C612C">
      <w:pPr>
        <w:pStyle w:val="BodyText"/>
        <w:numPr>
          <w:ilvl w:val="0"/>
          <w:numId w:val="38"/>
        </w:numPr>
        <w:jc w:val="both"/>
      </w:pPr>
      <w:r w:rsidRPr="008C612C">
        <w:t>DP-4: Enable data at rest encryption by default</w:t>
      </w:r>
      <w:r w:rsidR="007A02CF">
        <w:t>.</w:t>
      </w:r>
    </w:p>
    <w:p w14:paraId="226FAB73" w14:textId="3A96F220" w:rsidR="007A02CF" w:rsidRDefault="00865E3E" w:rsidP="007A02CF">
      <w:pPr>
        <w:pStyle w:val="BodyText"/>
        <w:numPr>
          <w:ilvl w:val="0"/>
          <w:numId w:val="38"/>
        </w:numPr>
        <w:jc w:val="both"/>
      </w:pPr>
      <w:r w:rsidRPr="00865E3E">
        <w:t>LT-4: Enable logging for security investigation</w:t>
      </w:r>
      <w:r w:rsidR="007A02CF">
        <w:t>.</w:t>
      </w:r>
    </w:p>
    <w:p w14:paraId="5823F15A" w14:textId="77777777" w:rsidR="00A02F17" w:rsidRDefault="00A02F17" w:rsidP="00442D9E">
      <w:pPr>
        <w:pStyle w:val="BodyText"/>
      </w:pPr>
      <w:bookmarkStart w:id="22" w:name="_Azure_Monitor_and"/>
      <w:bookmarkEnd w:id="22"/>
    </w:p>
    <w:p w14:paraId="20341ED8" w14:textId="77777777" w:rsidR="0086637C" w:rsidRDefault="0086637C" w:rsidP="00442D9E">
      <w:pPr>
        <w:pStyle w:val="BodyText"/>
      </w:pPr>
    </w:p>
    <w:p w14:paraId="52C87253" w14:textId="77777777" w:rsidR="0086637C" w:rsidRDefault="0086637C" w:rsidP="00442D9E">
      <w:pPr>
        <w:pStyle w:val="BodyText"/>
      </w:pPr>
    </w:p>
    <w:p w14:paraId="3CE972C6" w14:textId="77777777" w:rsidR="0086637C" w:rsidRDefault="0086637C" w:rsidP="00442D9E">
      <w:pPr>
        <w:pStyle w:val="BodyText"/>
      </w:pPr>
    </w:p>
    <w:p w14:paraId="04B51FE5" w14:textId="77777777" w:rsidR="0086637C" w:rsidRDefault="0086637C" w:rsidP="00442D9E">
      <w:pPr>
        <w:pStyle w:val="BodyText"/>
      </w:pPr>
    </w:p>
    <w:p w14:paraId="032FE2AC" w14:textId="77777777" w:rsidR="0086637C" w:rsidRDefault="0086637C" w:rsidP="00442D9E">
      <w:pPr>
        <w:pStyle w:val="BodyText"/>
      </w:pPr>
    </w:p>
    <w:p w14:paraId="283D82E7" w14:textId="77777777" w:rsidR="0086637C" w:rsidRDefault="0086637C"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3" w:name="_Toc158801756"/>
      <w:r>
        <w:rPr>
          <w:rFonts w:cs="Arial"/>
        </w:rPr>
        <w:t>Architecture Summary</w:t>
      </w:r>
      <w:bookmarkEnd w:id="23"/>
    </w:p>
    <w:p w14:paraId="43739DFB" w14:textId="77777777" w:rsidR="00116140" w:rsidRDefault="00116140" w:rsidP="00116140">
      <w:pPr>
        <w:pStyle w:val="Heading2"/>
      </w:pPr>
      <w:bookmarkStart w:id="24" w:name="_Toc150966124"/>
      <w:bookmarkStart w:id="25" w:name="_Toc158801757"/>
      <w:r>
        <w:t>Resource Overview</w:t>
      </w:r>
      <w:bookmarkEnd w:id="24"/>
      <w:bookmarkEnd w:id="25"/>
    </w:p>
    <w:p w14:paraId="1730BA9C" w14:textId="723FD17B" w:rsidR="00116140" w:rsidRDefault="5C7376EC" w:rsidP="00116140">
      <w:pPr>
        <w:pStyle w:val="BodyText"/>
      </w:pPr>
      <w:r>
        <w:t>Azure Monitor is a native monitoring service that</w:t>
      </w:r>
      <w:r w:rsidR="60386C15">
        <w:t xml:space="preserve"> provides collection, analysis, and alerting features for services that leverage the capability</w:t>
      </w:r>
      <w:r w:rsidR="00481C06">
        <w:rPr>
          <w:rStyle w:val="FootnoteReference"/>
        </w:rPr>
        <w:footnoteReference w:id="9"/>
      </w:r>
      <w:r w:rsidR="60386C15">
        <w:t xml:space="preserve">.  </w:t>
      </w:r>
      <w:r w:rsidR="7D6C03BA">
        <w:t xml:space="preserve">It has the ability to monitor the following source types: </w:t>
      </w:r>
    </w:p>
    <w:p w14:paraId="47341C04" w14:textId="77777777" w:rsidR="00844025" w:rsidRDefault="00844025" w:rsidP="00844025">
      <w:pPr>
        <w:pStyle w:val="BodyText"/>
        <w:numPr>
          <w:ilvl w:val="0"/>
          <w:numId w:val="36"/>
        </w:numPr>
      </w:pPr>
      <w:r>
        <w:t>Applications</w:t>
      </w:r>
    </w:p>
    <w:p w14:paraId="3523AF1A" w14:textId="77777777" w:rsidR="00844025" w:rsidRDefault="00844025" w:rsidP="00844025">
      <w:pPr>
        <w:pStyle w:val="BodyText"/>
        <w:numPr>
          <w:ilvl w:val="0"/>
          <w:numId w:val="36"/>
        </w:numPr>
      </w:pPr>
      <w:r>
        <w:t>Virtual machines</w:t>
      </w:r>
    </w:p>
    <w:p w14:paraId="350156A2" w14:textId="77777777" w:rsidR="00844025" w:rsidRDefault="00844025" w:rsidP="00844025">
      <w:pPr>
        <w:pStyle w:val="BodyText"/>
        <w:numPr>
          <w:ilvl w:val="0"/>
          <w:numId w:val="36"/>
        </w:numPr>
      </w:pPr>
      <w:r>
        <w:t>Guest operating systems</w:t>
      </w:r>
    </w:p>
    <w:p w14:paraId="0F6544B2" w14:textId="77777777" w:rsidR="00844025" w:rsidRDefault="00844025" w:rsidP="00844025">
      <w:pPr>
        <w:pStyle w:val="BodyText"/>
        <w:numPr>
          <w:ilvl w:val="0"/>
          <w:numId w:val="36"/>
        </w:numPr>
      </w:pPr>
      <w:r>
        <w:t>Containers including Prometheus metrics</w:t>
      </w:r>
    </w:p>
    <w:p w14:paraId="3B090AD9" w14:textId="77777777" w:rsidR="00844025" w:rsidRDefault="00844025" w:rsidP="00844025">
      <w:pPr>
        <w:pStyle w:val="BodyText"/>
        <w:numPr>
          <w:ilvl w:val="0"/>
          <w:numId w:val="36"/>
        </w:numPr>
      </w:pPr>
      <w:r>
        <w:t>Databases</w:t>
      </w:r>
    </w:p>
    <w:p w14:paraId="64F20AC9" w14:textId="77777777" w:rsidR="00844025" w:rsidRDefault="00844025" w:rsidP="00844025">
      <w:pPr>
        <w:pStyle w:val="BodyText"/>
        <w:numPr>
          <w:ilvl w:val="0"/>
          <w:numId w:val="36"/>
        </w:numPr>
      </w:pPr>
      <w:r>
        <w:t>Security events in combination with Azure Sentinel</w:t>
      </w:r>
    </w:p>
    <w:p w14:paraId="3494A6B3" w14:textId="77777777" w:rsidR="00844025" w:rsidRDefault="00844025" w:rsidP="00844025">
      <w:pPr>
        <w:pStyle w:val="BodyText"/>
        <w:numPr>
          <w:ilvl w:val="0"/>
          <w:numId w:val="36"/>
        </w:numPr>
      </w:pPr>
      <w:r>
        <w:t>Networking events and health in combination with Network Watcher</w:t>
      </w:r>
    </w:p>
    <w:p w14:paraId="5F5330D9" w14:textId="45CBE729" w:rsidR="00844025" w:rsidRDefault="00844025" w:rsidP="00844025">
      <w:pPr>
        <w:pStyle w:val="BodyText"/>
        <w:numPr>
          <w:ilvl w:val="0"/>
          <w:numId w:val="36"/>
        </w:numPr>
      </w:pPr>
      <w:r>
        <w:t>Custom sources that use the APIs to get data into Azure Monitor</w:t>
      </w:r>
    </w:p>
    <w:p w14:paraId="2582EF0D" w14:textId="77777777" w:rsidR="00462725" w:rsidRDefault="00462725" w:rsidP="00462725">
      <w:pPr>
        <w:pStyle w:val="BodyText"/>
      </w:pPr>
    </w:p>
    <w:p w14:paraId="0C0922AB" w14:textId="657278D3" w:rsidR="00462725" w:rsidRDefault="00462725" w:rsidP="00462725">
      <w:pPr>
        <w:pStyle w:val="BodyText"/>
      </w:pPr>
      <w:r>
        <w:t>The Data Stores vary depending on the type of data collected</w:t>
      </w:r>
      <w:r w:rsidRPr="00462725">
        <w:rPr>
          <w:vertAlign w:val="superscript"/>
        </w:rPr>
        <w:t>6</w:t>
      </w:r>
      <w:r>
        <w:t xml:space="preserve">: </w:t>
      </w:r>
    </w:p>
    <w:tbl>
      <w:tblPr>
        <w:tblStyle w:val="AVTable1"/>
        <w:tblW w:w="0" w:type="auto"/>
        <w:tblLook w:val="04A0" w:firstRow="1" w:lastRow="0" w:firstColumn="1" w:lastColumn="0" w:noHBand="0" w:noVBand="1"/>
      </w:tblPr>
      <w:tblGrid>
        <w:gridCol w:w="2694"/>
        <w:gridCol w:w="6333"/>
      </w:tblGrid>
      <w:tr w:rsidR="00462725" w14:paraId="05D091D4" w14:textId="77777777" w:rsidTr="00462725">
        <w:trPr>
          <w:cnfStyle w:val="100000000000" w:firstRow="1" w:lastRow="0" w:firstColumn="0" w:lastColumn="0" w:oddVBand="0" w:evenVBand="0" w:oddHBand="0" w:evenHBand="0" w:firstRowFirstColumn="0" w:firstRowLastColumn="0" w:lastRowFirstColumn="0" w:lastRowLastColumn="0"/>
        </w:trPr>
        <w:tc>
          <w:tcPr>
            <w:tcW w:w="2694" w:type="dxa"/>
            <w:shd w:val="clear" w:color="auto" w:fill="002060"/>
          </w:tcPr>
          <w:p w14:paraId="14BF4415" w14:textId="24AD4132" w:rsidR="00462725" w:rsidRPr="00462725" w:rsidRDefault="00462725" w:rsidP="00116140">
            <w:pPr>
              <w:pStyle w:val="BodyText"/>
              <w:rPr>
                <w:rFonts w:cs="Arial"/>
                <w:color w:val="FFFFFF" w:themeColor="background1"/>
              </w:rPr>
            </w:pPr>
            <w:r>
              <w:rPr>
                <w:rFonts w:cs="Arial"/>
                <w:color w:val="FFFFFF" w:themeColor="background1"/>
              </w:rPr>
              <w:t>Data Store</w:t>
            </w:r>
          </w:p>
        </w:tc>
        <w:tc>
          <w:tcPr>
            <w:tcW w:w="6333" w:type="dxa"/>
            <w:shd w:val="clear" w:color="auto" w:fill="002060"/>
          </w:tcPr>
          <w:p w14:paraId="08A38FCE" w14:textId="1841FF7F" w:rsidR="00462725" w:rsidRPr="00462725" w:rsidRDefault="00462725" w:rsidP="00116140">
            <w:pPr>
              <w:pStyle w:val="BodyText"/>
              <w:rPr>
                <w:rFonts w:cs="Arial"/>
                <w:color w:val="FFFFFF" w:themeColor="background1"/>
              </w:rPr>
            </w:pPr>
            <w:r w:rsidRPr="00462725">
              <w:rPr>
                <w:rFonts w:cs="Arial"/>
                <w:color w:val="FFFFFF" w:themeColor="background1"/>
              </w:rPr>
              <w:t>Description</w:t>
            </w:r>
          </w:p>
        </w:tc>
      </w:tr>
      <w:tr w:rsidR="00462725" w14:paraId="231EA807" w14:textId="77777777" w:rsidTr="00462725">
        <w:tc>
          <w:tcPr>
            <w:tcW w:w="2694" w:type="dxa"/>
          </w:tcPr>
          <w:p w14:paraId="2D772A23" w14:textId="68805038" w:rsidR="00462725" w:rsidRDefault="00462725" w:rsidP="00116140">
            <w:pPr>
              <w:pStyle w:val="BodyText"/>
            </w:pPr>
            <w:r>
              <w:t>Azure Monitor Metrics</w:t>
            </w:r>
          </w:p>
        </w:tc>
        <w:tc>
          <w:tcPr>
            <w:tcW w:w="6333" w:type="dxa"/>
          </w:tcPr>
          <w:p w14:paraId="4F985C6D" w14:textId="0750C091" w:rsidR="00462725" w:rsidRDefault="00462725" w:rsidP="00116140">
            <w:pPr>
              <w:pStyle w:val="BodyText"/>
            </w:pPr>
            <w:r w:rsidRPr="00462725">
              <w:t>Metrics are numerical values that describe an aspect of a system at a particular point in time. Azure Monitor Metrics is a time-series database, optimized for analyzing time-stamped data. Azure Monitor collects metrics at regular intervals. Metrics are identified with a timestamp, a name, a value, and one or more defining labels.</w:t>
            </w:r>
          </w:p>
        </w:tc>
      </w:tr>
      <w:tr w:rsidR="00462725" w14:paraId="769A66D9" w14:textId="77777777" w:rsidTr="00462725">
        <w:tc>
          <w:tcPr>
            <w:tcW w:w="2694" w:type="dxa"/>
          </w:tcPr>
          <w:p w14:paraId="6A20D3A1" w14:textId="3E7A193F" w:rsidR="00462725" w:rsidRDefault="00462725" w:rsidP="00116140">
            <w:pPr>
              <w:pStyle w:val="BodyText"/>
            </w:pPr>
            <w:r>
              <w:t>Azure Monitor Logs</w:t>
            </w:r>
          </w:p>
        </w:tc>
        <w:tc>
          <w:tcPr>
            <w:tcW w:w="6333" w:type="dxa"/>
          </w:tcPr>
          <w:p w14:paraId="0863C572" w14:textId="2F31DE4A" w:rsidR="00462725" w:rsidRDefault="00462725" w:rsidP="00116140">
            <w:pPr>
              <w:pStyle w:val="BodyText"/>
            </w:pPr>
            <w:r w:rsidRPr="00462725">
              <w:t>Logs are recorded system events. Logs can contain different types of data, be structured or free-form text, and they contain a timestamp. Azure Monitor stores structured and unstructured log data of all types in Azure Monitor Logs.</w:t>
            </w:r>
          </w:p>
        </w:tc>
      </w:tr>
      <w:tr w:rsidR="00462725" w14:paraId="3EEC3001" w14:textId="77777777" w:rsidTr="00462725">
        <w:tc>
          <w:tcPr>
            <w:tcW w:w="2694" w:type="dxa"/>
          </w:tcPr>
          <w:p w14:paraId="1C689B21" w14:textId="00C75085" w:rsidR="00462725" w:rsidRDefault="00462725" w:rsidP="00116140">
            <w:pPr>
              <w:pStyle w:val="BodyText"/>
            </w:pPr>
            <w:r>
              <w:t>Traces</w:t>
            </w:r>
          </w:p>
        </w:tc>
        <w:tc>
          <w:tcPr>
            <w:tcW w:w="6333" w:type="dxa"/>
          </w:tcPr>
          <w:p w14:paraId="7414040C" w14:textId="41B6EB0D" w:rsidR="00462725" w:rsidRDefault="00462725" w:rsidP="00116140">
            <w:pPr>
              <w:pStyle w:val="BodyText"/>
            </w:pPr>
            <w:r w:rsidRPr="00462725">
              <w:t>Distributed tracing allows you to see the path of a request as it travels through different services and components. Azure Monitor gets distributed trace data from instrumented applications. The trace data is stored in a separate workspace in Azure Monitor Logs.</w:t>
            </w:r>
          </w:p>
        </w:tc>
      </w:tr>
      <w:tr w:rsidR="00462725" w14:paraId="48DDBCAB" w14:textId="77777777" w:rsidTr="00462725">
        <w:tc>
          <w:tcPr>
            <w:tcW w:w="2694" w:type="dxa"/>
          </w:tcPr>
          <w:p w14:paraId="1FCAFAE4" w14:textId="5044495C" w:rsidR="00462725" w:rsidRDefault="00462725" w:rsidP="00116140">
            <w:pPr>
              <w:pStyle w:val="BodyText"/>
            </w:pPr>
            <w:r>
              <w:t>Changes</w:t>
            </w:r>
          </w:p>
        </w:tc>
        <w:tc>
          <w:tcPr>
            <w:tcW w:w="6333" w:type="dxa"/>
          </w:tcPr>
          <w:p w14:paraId="4907BCAB" w14:textId="265615DF" w:rsidR="00462725" w:rsidRDefault="00462725" w:rsidP="00BA7734">
            <w:pPr>
              <w:pStyle w:val="BodyText"/>
              <w:keepNext/>
            </w:pPr>
            <w:r w:rsidRPr="00462725">
              <w:t>Changes are a series of events in your application and resources. They're tracked and stored when you use the Change Analysis service, which uses Azure Resource Graph as its store. Change Analysis helps you understand which changes, such as deploying updated code, may have caused issues in your systems.</w:t>
            </w:r>
          </w:p>
        </w:tc>
      </w:tr>
    </w:tbl>
    <w:p w14:paraId="5A7A4EE1" w14:textId="77477E31" w:rsidR="00844025" w:rsidRDefault="00BA7734" w:rsidP="00BA7734">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26567A">
        <w:rPr>
          <w:noProof/>
        </w:rPr>
        <w:t>6</w:t>
      </w:r>
      <w:r>
        <w:rPr>
          <w:color w:val="2B579A"/>
          <w:shd w:val="clear" w:color="auto" w:fill="E6E6E6"/>
        </w:rPr>
        <w:fldChar w:fldCharType="end"/>
      </w:r>
      <w:r>
        <w:t>: Summary of Data Stores for Azure Monitor</w:t>
      </w:r>
    </w:p>
    <w:p w14:paraId="5F9355E5" w14:textId="63CE1BC7" w:rsidR="007228C8" w:rsidRDefault="007228C8" w:rsidP="00116140">
      <w:pPr>
        <w:pStyle w:val="BodyText"/>
      </w:pPr>
      <w:r>
        <w:t>The following shows the destinations of various data that can be collected via Azure Monitor</w:t>
      </w:r>
      <w:r>
        <w:rPr>
          <w:rStyle w:val="FootnoteReference"/>
        </w:rPr>
        <w:footnoteReference w:id="10"/>
      </w:r>
      <w:r>
        <w:t xml:space="preserve">: </w:t>
      </w:r>
    </w:p>
    <w:p w14:paraId="3C9FB199" w14:textId="1D45318C" w:rsidR="007228C8" w:rsidRDefault="007228C8" w:rsidP="00116140">
      <w:pPr>
        <w:pStyle w:val="BodyText"/>
      </w:pPr>
      <w:r>
        <w:rPr>
          <w:noProof/>
          <w:color w:val="2B579A"/>
          <w:shd w:val="clear" w:color="auto" w:fill="E6E6E6"/>
        </w:rPr>
        <mc:AlternateContent>
          <mc:Choice Requires="wps">
            <w:drawing>
              <wp:anchor distT="0" distB="0" distL="114300" distR="114300" simplePos="0" relativeHeight="251658243" behindDoc="1" locked="0" layoutInCell="1" allowOverlap="1" wp14:anchorId="028A88C0" wp14:editId="36ABA942">
                <wp:simplePos x="0" y="0"/>
                <wp:positionH relativeFrom="column">
                  <wp:posOffset>-348615</wp:posOffset>
                </wp:positionH>
                <wp:positionV relativeFrom="paragraph">
                  <wp:posOffset>3305810</wp:posOffset>
                </wp:positionV>
                <wp:extent cx="6428740" cy="635"/>
                <wp:effectExtent l="0" t="0" r="0" b="0"/>
                <wp:wrapNone/>
                <wp:docPr id="606727699" name="Text Box 606727699"/>
                <wp:cNvGraphicFramePr/>
                <a:graphic xmlns:a="http://schemas.openxmlformats.org/drawingml/2006/main">
                  <a:graphicData uri="http://schemas.microsoft.com/office/word/2010/wordprocessingShape">
                    <wps:wsp>
                      <wps:cNvSpPr txBox="1"/>
                      <wps:spPr>
                        <a:xfrm>
                          <a:off x="0" y="0"/>
                          <a:ext cx="6428740" cy="635"/>
                        </a:xfrm>
                        <a:prstGeom prst="rect">
                          <a:avLst/>
                        </a:prstGeom>
                        <a:solidFill>
                          <a:prstClr val="white"/>
                        </a:solidFill>
                        <a:ln>
                          <a:noFill/>
                        </a:ln>
                      </wps:spPr>
                      <wps:txbx>
                        <w:txbxContent>
                          <w:p w14:paraId="71221826" w14:textId="562EA0EA" w:rsidR="007228C8" w:rsidRPr="003A16DF" w:rsidRDefault="007228C8" w:rsidP="007228C8">
                            <w:pPr>
                              <w:pStyle w:val="Caption"/>
                              <w:jc w:val="center"/>
                              <w:rPr>
                                <w:noProof/>
                              </w:rPr>
                            </w:pPr>
                            <w:r>
                              <w:t xml:space="preserve">Figure </w:t>
                            </w:r>
                            <w:r>
                              <w:rPr>
                                <w:color w:val="2B579A"/>
                                <w:shd w:val="clear" w:color="auto" w:fill="E6E6E6"/>
                              </w:rPr>
                              <w:fldChar w:fldCharType="begin"/>
                            </w:r>
                            <w:r>
                              <w:instrText>SEQ Figure \* ARABIC</w:instrText>
                            </w:r>
                            <w:r>
                              <w:rPr>
                                <w:color w:val="2B579A"/>
                                <w:shd w:val="clear" w:color="auto" w:fill="E6E6E6"/>
                              </w:rPr>
                              <w:fldChar w:fldCharType="separate"/>
                            </w:r>
                            <w:r>
                              <w:rPr>
                                <w:noProof/>
                              </w:rPr>
                              <w:t>1</w:t>
                            </w:r>
                            <w:r>
                              <w:rPr>
                                <w:color w:val="2B579A"/>
                                <w:shd w:val="clear" w:color="auto" w:fill="E6E6E6"/>
                              </w:rPr>
                              <w:fldChar w:fldCharType="end"/>
                            </w:r>
                            <w:r>
                              <w:t>: Summary of Azure Monitor sources and destinations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028A88C0">
                <v:stroke joinstyle="miter"/>
                <v:path gradientshapeok="t" o:connecttype="rect"/>
              </v:shapetype>
              <v:shape id="Text Box 606727699" style="position:absolute;margin-left:-27.45pt;margin-top:260.3pt;width:506.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8mvGAIAAD8EAAAOAAAAZHJzL2Uyb0RvYy54bWysU8Fu2zAMvQ/YPwi6L06yLi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sZnr7+YZCkmKzj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">
                <v:textbox style="mso-fit-shape-to-text:t" inset="0,0,0,0">
                  <w:txbxContent>
                    <w:p w:rsidRPr="003A16DF" w:rsidR="007228C8" w:rsidP="007228C8" w:rsidRDefault="007228C8" w14:paraId="71221826" w14:textId="562EA0EA">
                      <w:pPr>
                        <w:pStyle w:val="Caption"/>
                        <w:jc w:val="center"/>
                        <w:rPr>
                          <w:noProof/>
                        </w:rPr>
                      </w:pPr>
                      <w:r>
                        <w:t xml:space="preserve">Figure </w:t>
                      </w:r>
                      <w:r>
                        <w:rPr>
                          <w:color w:val="2B579A"/>
                          <w:shd w:val="clear" w:color="auto" w:fill="E6E6E6"/>
                        </w:rPr>
                        <w:fldChar w:fldCharType="begin"/>
                      </w:r>
                      <w:r>
                        <w:instrText>SEQ Figure \* ARABIC</w:instrText>
                      </w:r>
                      <w:r>
                        <w:rPr>
                          <w:color w:val="2B579A"/>
                          <w:shd w:val="clear" w:color="auto" w:fill="E6E6E6"/>
                        </w:rPr>
                        <w:fldChar w:fldCharType="separate"/>
                      </w:r>
                      <w:r>
                        <w:rPr>
                          <w:noProof/>
                        </w:rPr>
                        <w:t>1</w:t>
                      </w:r>
                      <w:r>
                        <w:rPr>
                          <w:color w:val="2B579A"/>
                          <w:shd w:val="clear" w:color="auto" w:fill="E6E6E6"/>
                        </w:rPr>
                        <w:fldChar w:fldCharType="end"/>
                      </w:r>
                      <w:r>
                        <w:t>: Summary of Azure Monitor sources and destinations</w:t>
                      </w:r>
                    </w:p>
                  </w:txbxContent>
                </v:textbox>
              </v:shape>
            </w:pict>
          </mc:Fallback>
        </mc:AlternateContent>
      </w:r>
      <w:r>
        <w:rPr>
          <w:noProof/>
          <w:color w:val="2B579A"/>
          <w:shd w:val="clear" w:color="auto" w:fill="E6E6E6"/>
        </w:rPr>
        <w:drawing>
          <wp:anchor distT="0" distB="0" distL="114300" distR="114300" simplePos="0" relativeHeight="251658242" behindDoc="1" locked="0" layoutInCell="1" allowOverlap="1" wp14:anchorId="1F58355C" wp14:editId="6FB5A19B">
            <wp:simplePos x="0" y="0"/>
            <wp:positionH relativeFrom="margin">
              <wp:align>center</wp:align>
            </wp:positionH>
            <wp:positionV relativeFrom="paragraph">
              <wp:posOffset>67310</wp:posOffset>
            </wp:positionV>
            <wp:extent cx="6428863" cy="3181350"/>
            <wp:effectExtent l="0" t="0" r="0" b="0"/>
            <wp:wrapNone/>
            <wp:docPr id="1867197152" name="Picture 186719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863" cy="3181350"/>
                    </a:xfrm>
                    <a:prstGeom prst="rect">
                      <a:avLst/>
                    </a:prstGeom>
                    <a:noFill/>
                  </pic:spPr>
                </pic:pic>
              </a:graphicData>
            </a:graphic>
            <wp14:sizeRelH relativeFrom="page">
              <wp14:pctWidth>0</wp14:pctWidth>
            </wp14:sizeRelH>
            <wp14:sizeRelV relativeFrom="page">
              <wp14:pctHeight>0</wp14:pctHeight>
            </wp14:sizeRelV>
          </wp:anchor>
        </w:drawing>
      </w:r>
    </w:p>
    <w:p w14:paraId="37C4D7C9" w14:textId="4A8CE9B2" w:rsidR="007228C8" w:rsidRDefault="007228C8" w:rsidP="00116140">
      <w:pPr>
        <w:pStyle w:val="BodyText"/>
      </w:pPr>
    </w:p>
    <w:p w14:paraId="5E10058B" w14:textId="72E72D45" w:rsidR="007228C8" w:rsidRDefault="007228C8" w:rsidP="00116140">
      <w:pPr>
        <w:pStyle w:val="BodyText"/>
      </w:pPr>
    </w:p>
    <w:p w14:paraId="1A72667D" w14:textId="77777777" w:rsidR="00BA2880" w:rsidRDefault="00BA2880" w:rsidP="00116140">
      <w:pPr>
        <w:pStyle w:val="BodyText"/>
      </w:pPr>
    </w:p>
    <w:p w14:paraId="3045FB05" w14:textId="77777777" w:rsidR="007228C8" w:rsidRDefault="007228C8" w:rsidP="00116140">
      <w:pPr>
        <w:pStyle w:val="BodyText"/>
      </w:pPr>
    </w:p>
    <w:p w14:paraId="478F836A" w14:textId="77777777" w:rsidR="007228C8" w:rsidRDefault="007228C8" w:rsidP="00116140">
      <w:pPr>
        <w:pStyle w:val="BodyText"/>
      </w:pPr>
    </w:p>
    <w:p w14:paraId="17E5D9DF" w14:textId="77777777" w:rsidR="007228C8" w:rsidRDefault="007228C8" w:rsidP="00116140">
      <w:pPr>
        <w:pStyle w:val="BodyText"/>
      </w:pPr>
    </w:p>
    <w:p w14:paraId="2F12134F" w14:textId="77777777" w:rsidR="007228C8" w:rsidRDefault="007228C8" w:rsidP="00116140">
      <w:pPr>
        <w:pStyle w:val="BodyText"/>
      </w:pPr>
    </w:p>
    <w:p w14:paraId="13AB8643" w14:textId="77777777" w:rsidR="007228C8" w:rsidRDefault="007228C8" w:rsidP="00116140">
      <w:pPr>
        <w:pStyle w:val="BodyText"/>
      </w:pPr>
    </w:p>
    <w:p w14:paraId="608FBD2A" w14:textId="77777777" w:rsidR="007228C8" w:rsidRDefault="007228C8" w:rsidP="00116140">
      <w:pPr>
        <w:pStyle w:val="BodyText"/>
      </w:pPr>
    </w:p>
    <w:p w14:paraId="3DA4C733" w14:textId="77777777" w:rsidR="007228C8" w:rsidRDefault="007228C8" w:rsidP="00116140">
      <w:pPr>
        <w:pStyle w:val="BodyText"/>
      </w:pPr>
    </w:p>
    <w:p w14:paraId="01443B91" w14:textId="77777777" w:rsidR="007228C8" w:rsidRDefault="007228C8" w:rsidP="00116140">
      <w:pPr>
        <w:pStyle w:val="BodyText"/>
      </w:pPr>
    </w:p>
    <w:p w14:paraId="7762E352" w14:textId="77777777" w:rsidR="007228C8" w:rsidRDefault="007228C8" w:rsidP="00116140">
      <w:pPr>
        <w:pStyle w:val="BodyText"/>
      </w:pPr>
    </w:p>
    <w:p w14:paraId="4BFCD9F4" w14:textId="77777777" w:rsidR="007228C8" w:rsidRDefault="007228C8" w:rsidP="00116140">
      <w:pPr>
        <w:pStyle w:val="BodyText"/>
      </w:pPr>
    </w:p>
    <w:p w14:paraId="10D768D9" w14:textId="77777777" w:rsidR="007228C8" w:rsidRDefault="007228C8" w:rsidP="00116140">
      <w:pPr>
        <w:pStyle w:val="BodyText"/>
      </w:pPr>
    </w:p>
    <w:p w14:paraId="098DCA93" w14:textId="77777777" w:rsidR="007228C8" w:rsidRDefault="007228C8" w:rsidP="00116140">
      <w:pPr>
        <w:pStyle w:val="BodyText"/>
      </w:pPr>
    </w:p>
    <w:p w14:paraId="01CCA1B3" w14:textId="77777777" w:rsidR="007228C8" w:rsidRDefault="007228C8" w:rsidP="00116140">
      <w:pPr>
        <w:pStyle w:val="BodyText"/>
      </w:pPr>
    </w:p>
    <w:p w14:paraId="3DDAE98C" w14:textId="77777777" w:rsidR="00A90A20" w:rsidRDefault="00A90A20" w:rsidP="00116140">
      <w:pPr>
        <w:pStyle w:val="BodyText"/>
      </w:pPr>
    </w:p>
    <w:p w14:paraId="70263ED3" w14:textId="219D8ECD" w:rsidR="00C71EE3" w:rsidRDefault="00C71EE3" w:rsidP="00A90A20">
      <w:pPr>
        <w:pStyle w:val="Heading3"/>
        <w:numPr>
          <w:ilvl w:val="2"/>
          <w:numId w:val="7"/>
        </w:numPr>
      </w:pPr>
      <w:bookmarkStart w:id="26" w:name="_Toc158801758"/>
      <w:r>
        <w:t>A</w:t>
      </w:r>
      <w:r w:rsidR="00A90A20">
        <w:t>zure Monitor Insights</w:t>
      </w:r>
      <w:bookmarkEnd w:id="26"/>
    </w:p>
    <w:p w14:paraId="62B67784" w14:textId="3DB3E051" w:rsidR="00224167" w:rsidRDefault="00C71EE3" w:rsidP="00116140">
      <w:pPr>
        <w:pStyle w:val="BodyText"/>
      </w:pPr>
      <w:r>
        <w:t>Some services in Azure have a more detailed and curated monitoring experience available that can be configured</w:t>
      </w:r>
      <w:r>
        <w:rPr>
          <w:rStyle w:val="FootnoteReference"/>
        </w:rPr>
        <w:footnoteReference w:id="11"/>
      </w:r>
      <w:r w:rsidR="00BA7734">
        <w:t>:</w:t>
      </w:r>
    </w:p>
    <w:tbl>
      <w:tblPr>
        <w:tblStyle w:val="AVTable1"/>
        <w:tblW w:w="0" w:type="auto"/>
        <w:tblLook w:val="04A0" w:firstRow="1" w:lastRow="0" w:firstColumn="1" w:lastColumn="0" w:noHBand="0" w:noVBand="1"/>
      </w:tblPr>
      <w:tblGrid>
        <w:gridCol w:w="2410"/>
        <w:gridCol w:w="6617"/>
      </w:tblGrid>
      <w:tr w:rsidR="00224167" w14:paraId="7F4BD8D0" w14:textId="77777777" w:rsidTr="00BB165D">
        <w:trPr>
          <w:cnfStyle w:val="100000000000" w:firstRow="1" w:lastRow="0" w:firstColumn="0" w:lastColumn="0" w:oddVBand="0" w:evenVBand="0" w:oddHBand="0" w:evenHBand="0" w:firstRowFirstColumn="0" w:firstRowLastColumn="0" w:lastRowFirstColumn="0" w:lastRowLastColumn="0"/>
        </w:trPr>
        <w:tc>
          <w:tcPr>
            <w:tcW w:w="2410" w:type="dxa"/>
          </w:tcPr>
          <w:p w14:paraId="2EA59548" w14:textId="3CAEEE8E" w:rsidR="00224167" w:rsidRPr="007419C1" w:rsidRDefault="00224167" w:rsidP="00116140">
            <w:pPr>
              <w:pStyle w:val="BodyText"/>
              <w:rPr>
                <w:color w:val="FFFFFF" w:themeColor="background1"/>
              </w:rPr>
            </w:pPr>
            <w:r w:rsidRPr="007419C1">
              <w:rPr>
                <w:color w:val="FFFFFF" w:themeColor="background1"/>
              </w:rPr>
              <w:t>Insight</w:t>
            </w:r>
          </w:p>
        </w:tc>
        <w:tc>
          <w:tcPr>
            <w:tcW w:w="6617" w:type="dxa"/>
          </w:tcPr>
          <w:p w14:paraId="215CC705" w14:textId="5C67070A" w:rsidR="00224167" w:rsidRPr="007419C1" w:rsidRDefault="00224167" w:rsidP="00116140">
            <w:pPr>
              <w:pStyle w:val="BodyText"/>
              <w:rPr>
                <w:color w:val="FFFFFF" w:themeColor="background1"/>
              </w:rPr>
            </w:pPr>
            <w:r w:rsidRPr="007419C1">
              <w:rPr>
                <w:color w:val="FFFFFF" w:themeColor="background1"/>
              </w:rPr>
              <w:t>Description</w:t>
            </w:r>
          </w:p>
        </w:tc>
      </w:tr>
      <w:tr w:rsidR="00224167" w14:paraId="6AAA72D8" w14:textId="77777777" w:rsidTr="00BB165D">
        <w:tc>
          <w:tcPr>
            <w:tcW w:w="2410" w:type="dxa"/>
          </w:tcPr>
          <w:p w14:paraId="1BC9A724" w14:textId="5723A757" w:rsidR="00224167" w:rsidRDefault="00224167" w:rsidP="00224167">
            <w:pPr>
              <w:pStyle w:val="BodyText"/>
            </w:pPr>
            <w:r w:rsidRPr="00113DFB">
              <w:t>Application Insights</w:t>
            </w:r>
          </w:p>
        </w:tc>
        <w:tc>
          <w:tcPr>
            <w:tcW w:w="6617" w:type="dxa"/>
          </w:tcPr>
          <w:p w14:paraId="221DC20F" w14:textId="410A8D53" w:rsidR="00224167" w:rsidRDefault="00BB165D" w:rsidP="00224167">
            <w:pPr>
              <w:pStyle w:val="BodyText"/>
            </w:pPr>
            <w:r w:rsidRPr="00BB165D">
              <w:t>Application Insights monitors the availability, performance, and usage of your web applications.</w:t>
            </w:r>
          </w:p>
        </w:tc>
      </w:tr>
      <w:tr w:rsidR="00224167" w14:paraId="787E443F" w14:textId="77777777" w:rsidTr="00BB165D">
        <w:tc>
          <w:tcPr>
            <w:tcW w:w="2410" w:type="dxa"/>
          </w:tcPr>
          <w:p w14:paraId="2804A78E" w14:textId="0DD7A5AD" w:rsidR="00224167" w:rsidRDefault="00224167" w:rsidP="00224167">
            <w:pPr>
              <w:pStyle w:val="BodyText"/>
            </w:pPr>
            <w:r w:rsidRPr="00113DFB">
              <w:t>Container Insights</w:t>
            </w:r>
          </w:p>
        </w:tc>
        <w:tc>
          <w:tcPr>
            <w:tcW w:w="6617" w:type="dxa"/>
          </w:tcPr>
          <w:p w14:paraId="559CB951" w14:textId="0CC4911C" w:rsidR="00224167" w:rsidRDefault="00BB165D" w:rsidP="00224167">
            <w:pPr>
              <w:pStyle w:val="BodyText"/>
            </w:pPr>
            <w:r w:rsidRPr="00BB165D">
              <w:t>Container Insights gives you performance visibility into container workloads that are deployed to managed Kubernetes clusters hosted on Azure Kubernetes Service. Container Insights collects container logs and metrics from controllers, nodes, and containers that are available in Kubernetes through the Metrics API. After you enable monitoring from Kubernetes clusters, these metrics and logs are automatically collected for you through a containerized version of the Log Analytics agent for Linux.</w:t>
            </w:r>
          </w:p>
        </w:tc>
      </w:tr>
      <w:tr w:rsidR="00224167" w14:paraId="7D864755" w14:textId="77777777" w:rsidTr="00BB165D">
        <w:tc>
          <w:tcPr>
            <w:tcW w:w="2410" w:type="dxa"/>
          </w:tcPr>
          <w:p w14:paraId="1F0D0D57" w14:textId="24FB94FF" w:rsidR="00224167" w:rsidRDefault="00224167" w:rsidP="00224167">
            <w:pPr>
              <w:pStyle w:val="BodyText"/>
            </w:pPr>
            <w:r w:rsidRPr="00113DFB">
              <w:t>VM Insights</w:t>
            </w:r>
          </w:p>
        </w:tc>
        <w:tc>
          <w:tcPr>
            <w:tcW w:w="6617" w:type="dxa"/>
          </w:tcPr>
          <w:p w14:paraId="52C57E2C" w14:textId="44889189" w:rsidR="00224167" w:rsidRDefault="00BB165D" w:rsidP="00224167">
            <w:pPr>
              <w:pStyle w:val="BodyText"/>
            </w:pPr>
            <w:r w:rsidRPr="00BB165D">
              <w:t>VM Insights monitors your Azure VMs. It analyzes the performance and health of your Windows and Linux VMs and identifies their different processes and interconnected dependencies on external processes. The solution includes support for monitoring performance and application dependencies for VMs hosted on-premises or another cloud provider.</w:t>
            </w:r>
          </w:p>
        </w:tc>
      </w:tr>
      <w:tr w:rsidR="00224167" w14:paraId="3709E491" w14:textId="77777777" w:rsidTr="00BB165D">
        <w:tc>
          <w:tcPr>
            <w:tcW w:w="2410" w:type="dxa"/>
          </w:tcPr>
          <w:p w14:paraId="236B708E" w14:textId="628FC87C" w:rsidR="00224167" w:rsidRDefault="00224167" w:rsidP="00224167">
            <w:pPr>
              <w:pStyle w:val="BodyText"/>
            </w:pPr>
            <w:r w:rsidRPr="00113DFB">
              <w:t>Network Insights</w:t>
            </w:r>
          </w:p>
        </w:tc>
        <w:tc>
          <w:tcPr>
            <w:tcW w:w="6617" w:type="dxa"/>
          </w:tcPr>
          <w:p w14:paraId="6BC9C7FB" w14:textId="654B6353" w:rsidR="00224167" w:rsidRDefault="00BB165D" w:rsidP="00BB165D">
            <w:pPr>
              <w:pStyle w:val="BodyText"/>
              <w:keepNext/>
            </w:pPr>
            <w:r w:rsidRPr="00BB165D">
              <w:t>Network Insights provides a comprehensive and visual representation through topologies, of health and metrics for all deployed network resources, without requiring any configuration. It also provides access to network monitoring capabilities like Connection Monitor, flow logging for network security groups (NSGs), and Traffic Analytics and other diagnostic features.</w:t>
            </w:r>
          </w:p>
        </w:tc>
      </w:tr>
    </w:tbl>
    <w:p w14:paraId="5115265F" w14:textId="57C3D294" w:rsidR="00224167" w:rsidRDefault="00BB165D" w:rsidP="00BB165D">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26567A">
        <w:rPr>
          <w:noProof/>
        </w:rPr>
        <w:t>7</w:t>
      </w:r>
      <w:r>
        <w:rPr>
          <w:color w:val="2B579A"/>
          <w:shd w:val="clear" w:color="auto" w:fill="E6E6E6"/>
        </w:rPr>
        <w:fldChar w:fldCharType="end"/>
      </w:r>
      <w:r>
        <w:t>: Summary of Azure Monitor Insights</w:t>
      </w:r>
    </w:p>
    <w:p w14:paraId="428C779A" w14:textId="6F6598C2" w:rsidR="00FC0882" w:rsidRDefault="00FC0882" w:rsidP="002450E3">
      <w:pPr>
        <w:pStyle w:val="BodyText"/>
        <w:jc w:val="both"/>
      </w:pPr>
      <w:r>
        <w:t xml:space="preserve">These </w:t>
      </w:r>
      <w:r w:rsidR="00224167">
        <w:t xml:space="preserve">specialised Insights </w:t>
      </w:r>
      <w:r>
        <w:t>should be configured where relevant. VM Insights and Network Insights have been covered in more details in other Core Services designs</w:t>
      </w:r>
      <w:r w:rsidR="00037689">
        <w:t xml:space="preserve"> </w:t>
      </w:r>
      <w:r>
        <w:t>but will be mentioned here for posterity</w:t>
      </w:r>
      <w:r w:rsidR="00037689">
        <w:t xml:space="preserve">.  </w:t>
      </w:r>
    </w:p>
    <w:p w14:paraId="4E17BEE0" w14:textId="77777777" w:rsidR="00BA2880" w:rsidRDefault="00BA2880" w:rsidP="00116140">
      <w:pPr>
        <w:pStyle w:val="BodyText"/>
      </w:pPr>
    </w:p>
    <w:p w14:paraId="392B427B" w14:textId="29F8962C" w:rsidR="00BB11AE" w:rsidRDefault="00BB11AE" w:rsidP="003C6628">
      <w:pPr>
        <w:pStyle w:val="Heading2"/>
      </w:pPr>
      <w:bookmarkStart w:id="27" w:name="_Toc158801759"/>
      <w:r>
        <w:t>RBAC</w:t>
      </w:r>
      <w:bookmarkEnd w:id="27"/>
    </w:p>
    <w:p w14:paraId="4783E2C2" w14:textId="42EDC123" w:rsidR="00CB76E0" w:rsidRPr="00BA17B8" w:rsidRDefault="00CB76E0" w:rsidP="00CB76E0">
      <w:pPr>
        <w:pStyle w:val="BodyText"/>
        <w:jc w:val="both"/>
      </w:pPr>
      <w:r w:rsidRPr="00BA17B8">
        <w:t xml:space="preserve">For </w:t>
      </w:r>
      <w:r w:rsidR="00BA17B8">
        <w:t>Azure Monitor the following built-in roles are available</w:t>
      </w:r>
      <w:r w:rsidR="00F21B19">
        <w:rPr>
          <w:rStyle w:val="FootnoteReference"/>
        </w:rPr>
        <w:footnoteReference w:id="12"/>
      </w:r>
      <w:r w:rsidR="00BA17B8">
        <w:t xml:space="preserve">: </w:t>
      </w:r>
    </w:p>
    <w:tbl>
      <w:tblPr>
        <w:tblStyle w:val="AVTable1"/>
        <w:tblW w:w="0" w:type="auto"/>
        <w:tblLook w:val="04A0" w:firstRow="1" w:lastRow="0" w:firstColumn="1" w:lastColumn="0" w:noHBand="0" w:noVBand="1"/>
      </w:tblPr>
      <w:tblGrid>
        <w:gridCol w:w="3402"/>
        <w:gridCol w:w="5625"/>
      </w:tblGrid>
      <w:tr w:rsidR="00CB76E0" w:rsidRPr="00BA17B8" w14:paraId="28BE6462" w14:textId="77777777" w:rsidTr="003C6628">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BA17B8" w:rsidRDefault="00CB76E0" w:rsidP="003C6628">
            <w:pPr>
              <w:pStyle w:val="BodyText"/>
              <w:jc w:val="both"/>
              <w:rPr>
                <w:color w:val="FFFFFF" w:themeColor="background1"/>
              </w:rPr>
            </w:pPr>
            <w:r w:rsidRPr="00BA17B8">
              <w:rPr>
                <w:color w:val="FFFFFF" w:themeColor="background1"/>
              </w:rPr>
              <w:t>Role Name</w:t>
            </w:r>
          </w:p>
        </w:tc>
        <w:tc>
          <w:tcPr>
            <w:tcW w:w="5625" w:type="dxa"/>
          </w:tcPr>
          <w:p w14:paraId="564ED140" w14:textId="77777777" w:rsidR="00CB76E0" w:rsidRPr="00BA17B8" w:rsidRDefault="00CB76E0" w:rsidP="003C6628">
            <w:pPr>
              <w:pStyle w:val="BodyText"/>
              <w:jc w:val="both"/>
              <w:rPr>
                <w:color w:val="FFFFFF" w:themeColor="background1"/>
              </w:rPr>
            </w:pPr>
            <w:r w:rsidRPr="00BA17B8">
              <w:rPr>
                <w:color w:val="FFFFFF" w:themeColor="background1"/>
              </w:rPr>
              <w:t>Description</w:t>
            </w:r>
          </w:p>
        </w:tc>
      </w:tr>
      <w:tr w:rsidR="00CB76E0" w:rsidRPr="00BA17B8" w14:paraId="11665B16" w14:textId="77777777" w:rsidTr="003C6628">
        <w:tc>
          <w:tcPr>
            <w:tcW w:w="3402" w:type="dxa"/>
          </w:tcPr>
          <w:p w14:paraId="2B1DDF2A" w14:textId="5BB0BACC" w:rsidR="00CB76E0" w:rsidRPr="00BA17B8" w:rsidRDefault="00A02F17" w:rsidP="003C6628">
            <w:pPr>
              <w:pStyle w:val="BodyText"/>
              <w:jc w:val="both"/>
            </w:pPr>
            <w:r w:rsidRPr="00BA17B8">
              <w:t>Monitoring Contributor</w:t>
            </w:r>
          </w:p>
        </w:tc>
        <w:tc>
          <w:tcPr>
            <w:tcW w:w="5625" w:type="dxa"/>
          </w:tcPr>
          <w:p w14:paraId="340726C0" w14:textId="31850264" w:rsidR="00CB76E0" w:rsidRPr="00BA17B8" w:rsidRDefault="00A02F17" w:rsidP="003C6628">
            <w:pPr>
              <w:spacing w:line="240" w:lineRule="auto"/>
              <w:jc w:val="both"/>
              <w:rPr>
                <w:rFonts w:cs="Arial"/>
                <w:color w:val="161616"/>
              </w:rPr>
            </w:pPr>
            <w:r w:rsidRPr="00BA17B8">
              <w:rPr>
                <w:rFonts w:cs="Arial"/>
                <w:color w:val="161616"/>
              </w:rPr>
              <w:t xml:space="preserve">Can read all monitoring data and edit monitoring settings. </w:t>
            </w:r>
          </w:p>
        </w:tc>
      </w:tr>
      <w:tr w:rsidR="00CB76E0" w:rsidRPr="00BA17B8" w14:paraId="6B9EF577" w14:textId="77777777" w:rsidTr="003C6628">
        <w:tc>
          <w:tcPr>
            <w:tcW w:w="3402" w:type="dxa"/>
          </w:tcPr>
          <w:p w14:paraId="1EC10B79" w14:textId="35227491" w:rsidR="00CB76E0" w:rsidRPr="00BA17B8" w:rsidRDefault="00A02F17" w:rsidP="003C6628">
            <w:pPr>
              <w:pStyle w:val="BodyText"/>
              <w:jc w:val="both"/>
            </w:pPr>
            <w:r w:rsidRPr="00BA17B8">
              <w:t>Monitoring Metrics Publisher</w:t>
            </w:r>
          </w:p>
        </w:tc>
        <w:tc>
          <w:tcPr>
            <w:tcW w:w="5625" w:type="dxa"/>
          </w:tcPr>
          <w:p w14:paraId="6EE1E870" w14:textId="0DA13F0D" w:rsidR="00CB76E0" w:rsidRPr="00BA17B8" w:rsidRDefault="00A02F17" w:rsidP="003C6628">
            <w:pPr>
              <w:pStyle w:val="BodyText"/>
              <w:keepNext/>
              <w:jc w:val="both"/>
              <w:rPr>
                <w:rFonts w:cs="Arial"/>
              </w:rPr>
            </w:pPr>
            <w:r w:rsidRPr="00BA17B8">
              <w:rPr>
                <w:rFonts w:cs="Arial"/>
                <w:color w:val="161616"/>
                <w:shd w:val="clear" w:color="auto" w:fill="FFFFFF"/>
              </w:rPr>
              <w:t>Enables publishing metrics against Azure resources</w:t>
            </w:r>
          </w:p>
        </w:tc>
      </w:tr>
      <w:tr w:rsidR="00A02F17" w:rsidRPr="00BA17B8" w14:paraId="26280B15" w14:textId="77777777" w:rsidTr="003C6628">
        <w:tc>
          <w:tcPr>
            <w:tcW w:w="3402" w:type="dxa"/>
          </w:tcPr>
          <w:p w14:paraId="4FA123BB" w14:textId="7E0B711A" w:rsidR="00A02F17" w:rsidRPr="00BA17B8" w:rsidRDefault="00A02F17" w:rsidP="003C6628">
            <w:pPr>
              <w:pStyle w:val="BodyText"/>
              <w:jc w:val="both"/>
            </w:pPr>
            <w:r w:rsidRPr="00BA17B8">
              <w:t>Monitoring Reader</w:t>
            </w:r>
          </w:p>
        </w:tc>
        <w:tc>
          <w:tcPr>
            <w:tcW w:w="5625" w:type="dxa"/>
          </w:tcPr>
          <w:p w14:paraId="73E4A8AE" w14:textId="40982FFA" w:rsidR="00A02F17" w:rsidRPr="00BA17B8" w:rsidRDefault="00A02F17" w:rsidP="003C6628">
            <w:pPr>
              <w:pStyle w:val="BodyText"/>
              <w:keepNext/>
              <w:jc w:val="both"/>
              <w:rPr>
                <w:rFonts w:cs="Arial"/>
                <w:color w:val="161616"/>
                <w:shd w:val="clear" w:color="auto" w:fill="FFFFFF"/>
              </w:rPr>
            </w:pPr>
            <w:r w:rsidRPr="00BA17B8">
              <w:rPr>
                <w:rFonts w:cs="Arial"/>
                <w:color w:val="161616"/>
                <w:shd w:val="clear" w:color="auto" w:fill="FFFFFF"/>
              </w:rPr>
              <w:t>Can read all monitoring data (metrics, logs, etc.)</w:t>
            </w:r>
          </w:p>
        </w:tc>
      </w:tr>
    </w:tbl>
    <w:p w14:paraId="6D0AAC9B" w14:textId="306286BA" w:rsidR="0026567A" w:rsidRPr="0026567A" w:rsidRDefault="00CB76E0" w:rsidP="00211AC5">
      <w:pPr>
        <w:pStyle w:val="Caption"/>
        <w:jc w:val="center"/>
      </w:pPr>
      <w:r w:rsidRPr="00BA17B8">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26567A">
        <w:rPr>
          <w:noProof/>
        </w:rPr>
        <w:t>8</w:t>
      </w:r>
      <w:r>
        <w:rPr>
          <w:color w:val="2B579A"/>
          <w:shd w:val="clear" w:color="auto" w:fill="E6E6E6"/>
        </w:rPr>
        <w:fldChar w:fldCharType="end"/>
      </w:r>
      <w:r w:rsidRPr="00BA17B8">
        <w:t xml:space="preserve">: RBAC roles relevant for </w:t>
      </w:r>
      <w:r w:rsidR="0026567A">
        <w:t>Azure Monitor</w:t>
      </w:r>
    </w:p>
    <w:p w14:paraId="6E15DCA2" w14:textId="77777777" w:rsidR="0026567A" w:rsidRDefault="0026567A" w:rsidP="0026567A"/>
    <w:p w14:paraId="29EFE8C3" w14:textId="4D8CBAA2" w:rsidR="0026567A" w:rsidRPr="0026567A" w:rsidRDefault="0026567A" w:rsidP="0026567A">
      <w:r>
        <w:t xml:space="preserve">For Azure Application Insights the following RBAC roles are applicable: </w:t>
      </w:r>
    </w:p>
    <w:tbl>
      <w:tblPr>
        <w:tblStyle w:val="AVTable1"/>
        <w:tblW w:w="0" w:type="auto"/>
        <w:tblLook w:val="04A0" w:firstRow="1" w:lastRow="0" w:firstColumn="1" w:lastColumn="0" w:noHBand="0" w:noVBand="1"/>
      </w:tblPr>
      <w:tblGrid>
        <w:gridCol w:w="3402"/>
        <w:gridCol w:w="5625"/>
      </w:tblGrid>
      <w:tr w:rsidR="0026567A" w:rsidRPr="00BA17B8" w14:paraId="7549A402" w14:textId="77777777" w:rsidTr="003C6628">
        <w:trPr>
          <w:cnfStyle w:val="100000000000" w:firstRow="1" w:lastRow="0" w:firstColumn="0" w:lastColumn="0" w:oddVBand="0" w:evenVBand="0" w:oddHBand="0" w:evenHBand="0" w:firstRowFirstColumn="0" w:firstRowLastColumn="0" w:lastRowFirstColumn="0" w:lastRowLastColumn="0"/>
        </w:trPr>
        <w:tc>
          <w:tcPr>
            <w:tcW w:w="3402" w:type="dxa"/>
          </w:tcPr>
          <w:p w14:paraId="0972E1E0" w14:textId="77777777" w:rsidR="0026567A" w:rsidRPr="00BA17B8" w:rsidRDefault="0026567A" w:rsidP="003C6628">
            <w:pPr>
              <w:pStyle w:val="BodyText"/>
              <w:jc w:val="both"/>
              <w:rPr>
                <w:color w:val="FFFFFF" w:themeColor="background1"/>
              </w:rPr>
            </w:pPr>
            <w:r w:rsidRPr="00BA17B8">
              <w:rPr>
                <w:color w:val="FFFFFF" w:themeColor="background1"/>
              </w:rPr>
              <w:t>Role Name</w:t>
            </w:r>
          </w:p>
        </w:tc>
        <w:tc>
          <w:tcPr>
            <w:tcW w:w="5625" w:type="dxa"/>
          </w:tcPr>
          <w:p w14:paraId="17500E84" w14:textId="77777777" w:rsidR="0026567A" w:rsidRPr="00BA17B8" w:rsidRDefault="0026567A" w:rsidP="003C6628">
            <w:pPr>
              <w:pStyle w:val="BodyText"/>
              <w:jc w:val="both"/>
              <w:rPr>
                <w:color w:val="FFFFFF" w:themeColor="background1"/>
              </w:rPr>
            </w:pPr>
            <w:r w:rsidRPr="00BA17B8">
              <w:rPr>
                <w:color w:val="FFFFFF" w:themeColor="background1"/>
              </w:rPr>
              <w:t>Description</w:t>
            </w:r>
          </w:p>
        </w:tc>
      </w:tr>
      <w:tr w:rsidR="0026567A" w:rsidRPr="00BA17B8" w14:paraId="51D874C6" w14:textId="77777777" w:rsidTr="003C6628">
        <w:tc>
          <w:tcPr>
            <w:tcW w:w="3402" w:type="dxa"/>
          </w:tcPr>
          <w:p w14:paraId="2525DA90" w14:textId="25C2FCF7" w:rsidR="0026567A" w:rsidRPr="00BA17B8" w:rsidRDefault="0026567A" w:rsidP="0026567A">
            <w:pPr>
              <w:pStyle w:val="BodyText"/>
            </w:pPr>
            <w:r w:rsidRPr="0026567A">
              <w:t>Application Insights Component Contributor</w:t>
            </w:r>
          </w:p>
        </w:tc>
        <w:tc>
          <w:tcPr>
            <w:tcW w:w="5625" w:type="dxa"/>
          </w:tcPr>
          <w:p w14:paraId="383E8747" w14:textId="4036E5B7" w:rsidR="0026567A" w:rsidRPr="00BA17B8" w:rsidRDefault="0026567A" w:rsidP="003C6628">
            <w:pPr>
              <w:spacing w:line="240" w:lineRule="auto"/>
              <w:jc w:val="both"/>
              <w:rPr>
                <w:rFonts w:cs="Arial"/>
                <w:color w:val="161616"/>
              </w:rPr>
            </w:pPr>
            <w:r w:rsidRPr="0026567A">
              <w:rPr>
                <w:rFonts w:cs="Arial"/>
                <w:color w:val="161616"/>
              </w:rPr>
              <w:t>Can edit Application Insights resources.</w:t>
            </w:r>
          </w:p>
        </w:tc>
      </w:tr>
      <w:tr w:rsidR="0026567A" w:rsidRPr="00BA17B8" w14:paraId="65AD7107" w14:textId="77777777" w:rsidTr="003C6628">
        <w:tc>
          <w:tcPr>
            <w:tcW w:w="3402" w:type="dxa"/>
          </w:tcPr>
          <w:p w14:paraId="7804C2CB" w14:textId="27A59D68" w:rsidR="0026567A" w:rsidRPr="00BA17B8" w:rsidRDefault="0026567A" w:rsidP="0026567A">
            <w:pPr>
              <w:pStyle w:val="BodyText"/>
            </w:pPr>
            <w:r w:rsidRPr="0026567A">
              <w:t>Application Insights Snapshot Debugger</w:t>
            </w:r>
          </w:p>
        </w:tc>
        <w:tc>
          <w:tcPr>
            <w:tcW w:w="5625" w:type="dxa"/>
          </w:tcPr>
          <w:p w14:paraId="69B1D10B" w14:textId="360BA7BF" w:rsidR="0026567A" w:rsidRPr="00BA17B8" w:rsidRDefault="0026567A" w:rsidP="0026567A">
            <w:pPr>
              <w:pStyle w:val="BodyText"/>
              <w:keepNext/>
              <w:jc w:val="both"/>
              <w:rPr>
                <w:rFonts w:cs="Arial"/>
              </w:rPr>
            </w:pPr>
            <w:r w:rsidRPr="0026567A">
              <w:rPr>
                <w:rFonts w:cs="Arial"/>
                <w:color w:val="161616"/>
                <w:shd w:val="clear" w:color="auto" w:fill="FFFFFF"/>
              </w:rPr>
              <w:t>Gives the user permission to use Application Insights Snapshot Debugger features. This role isn't included in the Owner or Contributor roles.</w:t>
            </w:r>
          </w:p>
        </w:tc>
      </w:tr>
    </w:tbl>
    <w:p w14:paraId="0AED7DBA" w14:textId="53FD033D" w:rsidR="005B0B53" w:rsidRDefault="0026567A" w:rsidP="005B0B53">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9</w:t>
      </w:r>
      <w:r>
        <w:rPr>
          <w:color w:val="2B579A"/>
          <w:shd w:val="clear" w:color="auto" w:fill="E6E6E6"/>
        </w:rPr>
        <w:fldChar w:fldCharType="end"/>
      </w:r>
      <w:r>
        <w:t>: RBAC roles relevant for Azure Application Insights</w:t>
      </w:r>
    </w:p>
    <w:p w14:paraId="30E703CD" w14:textId="77777777" w:rsidR="005B0B53" w:rsidRPr="005B0B53" w:rsidRDefault="005B0B53" w:rsidP="005B0B53"/>
    <w:p w14:paraId="29CC0B02" w14:textId="77777777" w:rsidR="000D3524" w:rsidRPr="00540E92" w:rsidRDefault="000D3524" w:rsidP="00540E92"/>
    <w:p w14:paraId="76D4AAC1" w14:textId="7FFDADE1" w:rsidR="00525B21" w:rsidRDefault="00525B21" w:rsidP="00525B21">
      <w:pPr>
        <w:pStyle w:val="Heading2"/>
      </w:pPr>
      <w:bookmarkStart w:id="28" w:name="_Toc158801760"/>
      <w:r>
        <w:t>Design Decisions and Justifications</w:t>
      </w:r>
      <w:bookmarkEnd w:id="28"/>
    </w:p>
    <w:p w14:paraId="427E9337" w14:textId="450D15AF"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rPr>
            <w:color w:val="2B579A"/>
            <w:shd w:val="clear" w:color="auto" w:fill="E6E6E6"/>
          </w:r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rPr>
            <w:color w:val="1E1E1E"/>
            <w:shd w:val="clear" w:color="auto" w:fill="auto"/>
          </w:rPr>
        </w:sdtEndPr>
        <w:sdtContent>
          <w:r w:rsidR="00CB62C3">
            <w:t>Azure Monitor and Insights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65062427" w14:textId="77777777" w:rsidR="00CF020D" w:rsidRDefault="00CF020D" w:rsidP="007D289F">
      <w:pPr>
        <w:pStyle w:val="BodyText"/>
        <w:jc w:val="both"/>
      </w:pPr>
    </w:p>
    <w:p w14:paraId="25A0D34B" w14:textId="4356A2E1" w:rsidR="00DA6DA9" w:rsidRPr="000B3981" w:rsidRDefault="0039515B" w:rsidP="007D289F">
      <w:pPr>
        <w:pStyle w:val="Heading3"/>
        <w:numPr>
          <w:ilvl w:val="2"/>
          <w:numId w:val="7"/>
        </w:numPr>
        <w:jc w:val="both"/>
      </w:pPr>
      <w:bookmarkStart w:id="29" w:name="_Toc158801761"/>
      <w:r w:rsidRPr="000B3981">
        <w:t xml:space="preserve">Configuring </w:t>
      </w:r>
      <w:r w:rsidR="008C54A4" w:rsidRPr="000B3981">
        <w:t xml:space="preserve">General </w:t>
      </w:r>
      <w:r w:rsidRPr="000B3981">
        <w:t>Logging and Metrics</w:t>
      </w:r>
      <w:bookmarkEnd w:id="29"/>
    </w:p>
    <w:p w14:paraId="6C266CC8" w14:textId="2D38A689" w:rsidR="0039515B" w:rsidRPr="000B3981" w:rsidRDefault="0039515B" w:rsidP="007D289F">
      <w:pPr>
        <w:pStyle w:val="BodyText"/>
        <w:jc w:val="both"/>
        <w:rPr>
          <w:b/>
          <w:bCs/>
        </w:rPr>
      </w:pPr>
      <w:r w:rsidRPr="000B3981">
        <w:rPr>
          <w:b/>
          <w:bCs/>
        </w:rPr>
        <w:t xml:space="preserve">Design Reference: </w:t>
      </w:r>
      <w:r w:rsidR="000B3981" w:rsidRPr="000B3981">
        <w:t xml:space="preserve">Microsoft Security Benchmark </w:t>
      </w:r>
      <w:hyperlink w:anchor="_Azure_Monitor_and" w:history="1">
        <w:r w:rsidR="000B3981" w:rsidRPr="000B3981">
          <w:rPr>
            <w:rStyle w:val="Hyperlink"/>
          </w:rPr>
          <w:t>LT-4</w:t>
        </w:r>
      </w:hyperlink>
    </w:p>
    <w:p w14:paraId="12F43C5F" w14:textId="77777777" w:rsidR="0039515B" w:rsidRPr="000B3981" w:rsidRDefault="0039515B" w:rsidP="007D289F">
      <w:pPr>
        <w:pStyle w:val="BodyText"/>
        <w:jc w:val="both"/>
        <w:rPr>
          <w:b/>
          <w:bCs/>
        </w:rPr>
      </w:pPr>
    </w:p>
    <w:p w14:paraId="25D6AE94" w14:textId="5750940F" w:rsidR="00DA6DA9" w:rsidRPr="000B3981" w:rsidRDefault="00DA6DA9" w:rsidP="007D289F">
      <w:pPr>
        <w:pStyle w:val="BodyText"/>
        <w:jc w:val="both"/>
      </w:pPr>
      <w:r w:rsidRPr="000B3981">
        <w:rPr>
          <w:b/>
          <w:bCs/>
        </w:rPr>
        <w:t>Design Decision</w:t>
      </w:r>
      <w:r w:rsidRPr="000B3981">
        <w:t xml:space="preserve">: </w:t>
      </w:r>
      <w:r w:rsidR="00135557" w:rsidRPr="000B3981">
        <w:t xml:space="preserve">AllLogs and allMetrics are configured where applicable to each Azure resource.  </w:t>
      </w:r>
    </w:p>
    <w:p w14:paraId="37F41E6F" w14:textId="77777777" w:rsidR="00DA6DA9" w:rsidRPr="000B3981" w:rsidRDefault="00DA6DA9" w:rsidP="007D289F">
      <w:pPr>
        <w:pStyle w:val="BodyText"/>
        <w:jc w:val="both"/>
      </w:pPr>
    </w:p>
    <w:p w14:paraId="1FB983FB" w14:textId="341CF053" w:rsidR="00762089" w:rsidRDefault="00DA6DA9" w:rsidP="007D289F">
      <w:pPr>
        <w:pStyle w:val="BodyText"/>
        <w:jc w:val="both"/>
      </w:pPr>
      <w:r w:rsidRPr="000B3981">
        <w:rPr>
          <w:b/>
          <w:bCs/>
        </w:rPr>
        <w:t>Design Justification</w:t>
      </w:r>
      <w:r w:rsidRPr="000B3981">
        <w:t xml:space="preserve">: </w:t>
      </w:r>
      <w:r w:rsidR="00135557" w:rsidRPr="000B3981">
        <w:t>To troubleshoot and understand infrastructure performance, diagnostic logs and metrics are sent to a central Log Analytics workspace. This has been covered in the Log Analytics Workspace Core Service design document.</w:t>
      </w:r>
      <w:r w:rsidR="00135557">
        <w:t xml:space="preserve"> </w:t>
      </w:r>
      <w:r w:rsidR="000B3981">
        <w:t xml:space="preserve">Any other specific requirements for individual services are covered in the design for that service. </w:t>
      </w:r>
    </w:p>
    <w:p w14:paraId="175B1CA1" w14:textId="77777777" w:rsidR="008C54A4" w:rsidRDefault="008C54A4" w:rsidP="007D289F">
      <w:pPr>
        <w:pStyle w:val="BodyText"/>
        <w:jc w:val="both"/>
      </w:pPr>
    </w:p>
    <w:p w14:paraId="596375B1" w14:textId="4BCDD6E7" w:rsidR="008C54A4" w:rsidRDefault="008C54A4" w:rsidP="008C54A4">
      <w:pPr>
        <w:pStyle w:val="Heading3"/>
        <w:numPr>
          <w:ilvl w:val="2"/>
          <w:numId w:val="7"/>
        </w:numPr>
        <w:jc w:val="both"/>
      </w:pPr>
      <w:bookmarkStart w:id="30" w:name="_Toc158801762"/>
      <w:r>
        <w:t xml:space="preserve">Configuring </w:t>
      </w:r>
      <w:r w:rsidR="00400C98">
        <w:t>VM Insights</w:t>
      </w:r>
      <w:bookmarkEnd w:id="30"/>
    </w:p>
    <w:p w14:paraId="007DEA62" w14:textId="0F4A3DEB" w:rsidR="008C54A4" w:rsidRPr="008F098F" w:rsidRDefault="008C54A4" w:rsidP="008C54A4">
      <w:pPr>
        <w:pStyle w:val="BodyText"/>
        <w:rPr>
          <w:b/>
          <w:bCs/>
        </w:rPr>
      </w:pPr>
      <w:r w:rsidRPr="00834E31">
        <w:rPr>
          <w:b/>
          <w:bCs/>
        </w:rPr>
        <w:t>Design Reference:</w:t>
      </w:r>
      <w:r w:rsidR="00834E31" w:rsidRPr="00834E31">
        <w:t xml:space="preserve"> Microsoft Security Benchmark </w:t>
      </w:r>
      <w:hyperlink w:anchor="_Azure_Monitor_and" w:history="1">
        <w:r w:rsidR="00834E31" w:rsidRPr="00834E31">
          <w:rPr>
            <w:rStyle w:val="Hyperlink"/>
          </w:rPr>
          <w:t>LT-4</w:t>
        </w:r>
      </w:hyperlink>
    </w:p>
    <w:p w14:paraId="6D32443D" w14:textId="77777777" w:rsidR="008C54A4" w:rsidRDefault="008C54A4" w:rsidP="008C54A4">
      <w:pPr>
        <w:pStyle w:val="BodyText"/>
      </w:pPr>
    </w:p>
    <w:p w14:paraId="4CD65FD0" w14:textId="7C52C5CB" w:rsidR="008C54A4" w:rsidRDefault="008C54A4" w:rsidP="008C54A4">
      <w:pPr>
        <w:pStyle w:val="BodyText"/>
      </w:pPr>
      <w:r w:rsidRPr="008F098F">
        <w:rPr>
          <w:b/>
          <w:bCs/>
        </w:rPr>
        <w:t>Design Decision:</w:t>
      </w:r>
      <w:r w:rsidR="00A8534F">
        <w:t xml:space="preserve"> The specialised features for VM Insights</w:t>
      </w:r>
      <w:r w:rsidR="008F098F">
        <w:t xml:space="preserve"> will be enabled for all Virtual Machines. </w:t>
      </w:r>
      <w:r w:rsidR="00A8534F">
        <w:t xml:space="preserve"> </w:t>
      </w:r>
    </w:p>
    <w:p w14:paraId="47F1521D" w14:textId="77777777" w:rsidR="008C54A4" w:rsidRDefault="008C54A4" w:rsidP="008C54A4">
      <w:pPr>
        <w:pStyle w:val="BodyText"/>
      </w:pPr>
    </w:p>
    <w:p w14:paraId="503192E9" w14:textId="796E5DA7" w:rsidR="008C54A4" w:rsidRPr="008C54A4" w:rsidRDefault="008C54A4" w:rsidP="008C54A4">
      <w:pPr>
        <w:pStyle w:val="BodyText"/>
      </w:pPr>
      <w:r w:rsidRPr="008F098F">
        <w:rPr>
          <w:b/>
          <w:bCs/>
        </w:rPr>
        <w:t>Design Justification:</w:t>
      </w:r>
      <w:r>
        <w:t xml:space="preserve"> </w:t>
      </w:r>
      <w:r w:rsidR="008F098F">
        <w:t>This has been defined in the Virtual Machine and Managed Disks core service design, but VM Insights will be enabled on all Virtual Machines that support it for more effective diagnosis and troubleshooting capabilities</w:t>
      </w:r>
      <w:r w:rsidR="00834E31">
        <w:t xml:space="preserve"> for Virtual Machines which are some of the most critical infrastructure components of the environment</w:t>
      </w:r>
      <w:r w:rsidR="008F098F">
        <w:t xml:space="preserve">. </w:t>
      </w:r>
      <w:r w:rsidR="00A8534F">
        <w:t xml:space="preserve"> </w:t>
      </w:r>
    </w:p>
    <w:p w14:paraId="5CC562EE" w14:textId="77777777" w:rsidR="00116140" w:rsidRDefault="00116140" w:rsidP="007D289F">
      <w:pPr>
        <w:pStyle w:val="BodyText"/>
        <w:tabs>
          <w:tab w:val="clear" w:pos="4536"/>
          <w:tab w:val="clear" w:pos="6804"/>
          <w:tab w:val="clear" w:pos="9638"/>
          <w:tab w:val="left" w:pos="3065"/>
        </w:tabs>
        <w:jc w:val="both"/>
      </w:pPr>
    </w:p>
    <w:p w14:paraId="2DEC36CB" w14:textId="2B3B5319" w:rsidR="00400C98" w:rsidRPr="00B8614E" w:rsidRDefault="00400C98" w:rsidP="00400C98">
      <w:pPr>
        <w:pStyle w:val="Heading3"/>
        <w:numPr>
          <w:ilvl w:val="2"/>
          <w:numId w:val="7"/>
        </w:numPr>
        <w:jc w:val="both"/>
      </w:pPr>
      <w:bookmarkStart w:id="31" w:name="_Toc158801763"/>
      <w:r w:rsidRPr="00B8614E">
        <w:t>Configuring Container Insights</w:t>
      </w:r>
      <w:bookmarkEnd w:id="31"/>
    </w:p>
    <w:p w14:paraId="11FBAE66" w14:textId="40C31F75" w:rsidR="00400C98" w:rsidRPr="00B8614E" w:rsidRDefault="0048252F" w:rsidP="00400C98">
      <w:pPr>
        <w:pStyle w:val="BodyText"/>
      </w:pPr>
      <w:r w:rsidRPr="00B8614E">
        <w:rPr>
          <w:b/>
          <w:bCs/>
        </w:rPr>
        <w:t>Design Reference:</w:t>
      </w:r>
      <w:r w:rsidRPr="00B8614E">
        <w:t xml:space="preserve"> </w:t>
      </w:r>
      <w:r w:rsidR="00300B53" w:rsidRPr="00B8614E">
        <w:t xml:space="preserve">Microsoft Security Benchmark </w:t>
      </w:r>
      <w:hyperlink w:anchor="_Azure_Monitor_and" w:history="1">
        <w:r w:rsidR="00300B53" w:rsidRPr="00B8614E">
          <w:rPr>
            <w:rStyle w:val="Hyperlink"/>
          </w:rPr>
          <w:t>LT-4</w:t>
        </w:r>
      </w:hyperlink>
    </w:p>
    <w:p w14:paraId="07126B32" w14:textId="77777777" w:rsidR="0048252F" w:rsidRPr="00B8614E" w:rsidRDefault="0048252F" w:rsidP="00400C98">
      <w:pPr>
        <w:pStyle w:val="BodyText"/>
      </w:pPr>
    </w:p>
    <w:p w14:paraId="4EE3C00B" w14:textId="77777777" w:rsidR="0048252F" w:rsidRPr="00B8614E" w:rsidRDefault="0048252F" w:rsidP="00400C98">
      <w:pPr>
        <w:pStyle w:val="BodyText"/>
      </w:pPr>
      <w:r w:rsidRPr="00B8614E">
        <w:rPr>
          <w:b/>
          <w:bCs/>
        </w:rPr>
        <w:t>Design Decision:</w:t>
      </w:r>
      <w:r w:rsidRPr="00B8614E">
        <w:t xml:space="preserve"> Container Insights should be enabled when there is a use case.</w:t>
      </w:r>
    </w:p>
    <w:p w14:paraId="6D3E5681" w14:textId="77777777" w:rsidR="0048252F" w:rsidRPr="00B8614E" w:rsidRDefault="0048252F" w:rsidP="00400C98">
      <w:pPr>
        <w:pStyle w:val="BodyText"/>
      </w:pPr>
    </w:p>
    <w:p w14:paraId="6EB45889" w14:textId="04F45485" w:rsidR="0048252F" w:rsidRDefault="0048252F" w:rsidP="00300B53">
      <w:pPr>
        <w:pStyle w:val="BodyText"/>
        <w:jc w:val="both"/>
      </w:pPr>
      <w:r w:rsidRPr="00B8614E">
        <w:rPr>
          <w:b/>
          <w:bCs/>
        </w:rPr>
        <w:t>Design Justification:</w:t>
      </w:r>
      <w:r w:rsidRPr="00B8614E">
        <w:t xml:space="preserve"> Container Insights assist with more effective diagnosis and troubleshooting for issues associated to container-based deployments.  </w:t>
      </w:r>
      <w:r w:rsidR="00300B53" w:rsidRPr="00B8614E">
        <w:t xml:space="preserve">Currently there are no use-cases for this service, but it should be considered if modernising to container-based deployments. </w:t>
      </w:r>
    </w:p>
    <w:p w14:paraId="28F4C954" w14:textId="77777777" w:rsidR="006327DB" w:rsidRDefault="006327DB" w:rsidP="00300B53">
      <w:pPr>
        <w:pStyle w:val="BodyText"/>
        <w:jc w:val="both"/>
      </w:pPr>
    </w:p>
    <w:p w14:paraId="693FFBC9" w14:textId="77777777" w:rsidR="00B8614E" w:rsidRPr="00B8614E" w:rsidRDefault="00B8614E" w:rsidP="00300B53">
      <w:pPr>
        <w:pStyle w:val="BodyText"/>
        <w:jc w:val="both"/>
      </w:pPr>
    </w:p>
    <w:p w14:paraId="684206E2" w14:textId="04977851" w:rsidR="00400C98" w:rsidRPr="00B8614E" w:rsidRDefault="00400C98" w:rsidP="00400C98">
      <w:pPr>
        <w:pStyle w:val="Heading3"/>
        <w:numPr>
          <w:ilvl w:val="2"/>
          <w:numId w:val="7"/>
        </w:numPr>
        <w:jc w:val="both"/>
      </w:pPr>
      <w:bookmarkStart w:id="32" w:name="_Toc158801764"/>
      <w:r w:rsidRPr="00B8614E">
        <w:t>Application Insights</w:t>
      </w:r>
      <w:bookmarkEnd w:id="32"/>
    </w:p>
    <w:p w14:paraId="5F8E117E" w14:textId="02A1E012" w:rsidR="00400C98" w:rsidRDefault="00BA263C" w:rsidP="00400C98">
      <w:pPr>
        <w:pStyle w:val="BodyText"/>
      </w:pPr>
      <w:r w:rsidRPr="00B8614E">
        <w:rPr>
          <w:b/>
          <w:bCs/>
        </w:rPr>
        <w:t>Design Reference:</w:t>
      </w:r>
      <w:r>
        <w:t xml:space="preserve"> </w:t>
      </w:r>
      <w:r w:rsidR="00B8614E">
        <w:t xml:space="preserve">Microsoft Security Benchmark </w:t>
      </w:r>
      <w:hyperlink w:anchor="_Azure_Monitor_and" w:history="1">
        <w:r w:rsidR="00B8614E" w:rsidRPr="00B8614E">
          <w:rPr>
            <w:rStyle w:val="Hyperlink"/>
          </w:rPr>
          <w:t>LT-4</w:t>
        </w:r>
      </w:hyperlink>
    </w:p>
    <w:p w14:paraId="03B21AA3" w14:textId="77777777" w:rsidR="00BA263C" w:rsidRDefault="00BA263C" w:rsidP="00400C98">
      <w:pPr>
        <w:pStyle w:val="BodyText"/>
      </w:pPr>
    </w:p>
    <w:p w14:paraId="1FEB2941" w14:textId="1CF6BC4B" w:rsidR="00BA263C" w:rsidRDefault="00BA263C" w:rsidP="00575ED9">
      <w:pPr>
        <w:pStyle w:val="BodyText"/>
        <w:jc w:val="both"/>
      </w:pPr>
      <w:r w:rsidRPr="00B8614E">
        <w:rPr>
          <w:b/>
          <w:bCs/>
        </w:rPr>
        <w:t>Design Decision:</w:t>
      </w:r>
      <w:r w:rsidR="00B8614E">
        <w:t xml:space="preserve"> Application Insights will be leveraged. </w:t>
      </w:r>
    </w:p>
    <w:p w14:paraId="74703645" w14:textId="77777777" w:rsidR="00BA263C" w:rsidRDefault="00BA263C" w:rsidP="00575ED9">
      <w:pPr>
        <w:pStyle w:val="BodyText"/>
        <w:jc w:val="both"/>
      </w:pPr>
    </w:p>
    <w:p w14:paraId="16EC7004" w14:textId="7D35C809" w:rsidR="00E27065" w:rsidRDefault="00BA263C" w:rsidP="00575ED9">
      <w:pPr>
        <w:pStyle w:val="BodyText"/>
        <w:jc w:val="both"/>
      </w:pPr>
      <w:r w:rsidRPr="00B8614E">
        <w:rPr>
          <w:b/>
          <w:bCs/>
        </w:rPr>
        <w:t xml:space="preserve">Design Justification: </w:t>
      </w:r>
      <w:r w:rsidR="00126385">
        <w:t>It is assumed that this will be enabled for Platinum, Gold, and Silver applications. It may be enabled for Non-Production or Bronze services if required</w:t>
      </w:r>
      <w:r w:rsidR="00E04DBB">
        <w:t xml:space="preserve"> </w:t>
      </w:r>
      <w:r w:rsidR="00126385">
        <w:t>but is not a mandatory deployment.</w:t>
      </w:r>
      <w:r w:rsidR="00E04DBB">
        <w:t xml:space="preserve"> Specific metrics and application-side configurations should be covered during the Application Landing Zone designs. </w:t>
      </w:r>
    </w:p>
    <w:p w14:paraId="27DB0F6A" w14:textId="3190B13E" w:rsidR="00116140" w:rsidRDefault="00126385" w:rsidP="007D289F">
      <w:pPr>
        <w:pStyle w:val="BodyText"/>
        <w:tabs>
          <w:tab w:val="clear" w:pos="4536"/>
          <w:tab w:val="clear" w:pos="6804"/>
          <w:tab w:val="clear" w:pos="9638"/>
          <w:tab w:val="left" w:pos="3065"/>
        </w:tabs>
        <w:jc w:val="both"/>
      </w:pPr>
      <w:r>
        <w:t xml:space="preserve"> </w:t>
      </w:r>
    </w:p>
    <w:p w14:paraId="4BFBCA9D" w14:textId="687C9B6F" w:rsidR="00400C98" w:rsidRDefault="00400C98" w:rsidP="00400C98">
      <w:pPr>
        <w:pStyle w:val="Heading3"/>
        <w:numPr>
          <w:ilvl w:val="2"/>
          <w:numId w:val="7"/>
        </w:numPr>
        <w:jc w:val="both"/>
      </w:pPr>
      <w:bookmarkStart w:id="33" w:name="_Toc158801765"/>
      <w:r>
        <w:t>Configuring Network Insights</w:t>
      </w:r>
      <w:bookmarkEnd w:id="33"/>
    </w:p>
    <w:p w14:paraId="1BD16AD2" w14:textId="5F924A74" w:rsidR="00400C98" w:rsidRPr="00460339" w:rsidRDefault="00411CAC" w:rsidP="007D289F">
      <w:pPr>
        <w:pStyle w:val="BodyText"/>
        <w:tabs>
          <w:tab w:val="clear" w:pos="4536"/>
          <w:tab w:val="clear" w:pos="6804"/>
          <w:tab w:val="clear" w:pos="9638"/>
          <w:tab w:val="left" w:pos="3065"/>
        </w:tabs>
        <w:jc w:val="both"/>
      </w:pPr>
      <w:r>
        <w:rPr>
          <w:b/>
          <w:bCs/>
        </w:rPr>
        <w:t xml:space="preserve">Design Reference: </w:t>
      </w:r>
      <w:r w:rsidR="00460339" w:rsidRPr="00460339">
        <w:t xml:space="preserve">Microsoft Security Benchmark </w:t>
      </w:r>
      <w:hyperlink w:anchor="_Overview" w:history="1">
        <w:r w:rsidR="00460339" w:rsidRPr="00460339">
          <w:rPr>
            <w:rStyle w:val="Hyperlink"/>
          </w:rPr>
          <w:t>LT-4</w:t>
        </w:r>
      </w:hyperlink>
    </w:p>
    <w:p w14:paraId="480BCC57" w14:textId="77777777" w:rsidR="00411CAC" w:rsidRDefault="00411CAC" w:rsidP="007D289F">
      <w:pPr>
        <w:pStyle w:val="BodyText"/>
        <w:tabs>
          <w:tab w:val="clear" w:pos="4536"/>
          <w:tab w:val="clear" w:pos="6804"/>
          <w:tab w:val="clear" w:pos="9638"/>
          <w:tab w:val="left" w:pos="3065"/>
        </w:tabs>
        <w:jc w:val="both"/>
        <w:rPr>
          <w:b/>
          <w:bCs/>
        </w:rPr>
      </w:pPr>
    </w:p>
    <w:p w14:paraId="478C3946" w14:textId="5E2B00A9" w:rsidR="00411CAC" w:rsidRPr="00411CAC" w:rsidRDefault="00411CAC" w:rsidP="007D289F">
      <w:pPr>
        <w:pStyle w:val="BodyText"/>
        <w:tabs>
          <w:tab w:val="clear" w:pos="4536"/>
          <w:tab w:val="clear" w:pos="6804"/>
          <w:tab w:val="clear" w:pos="9638"/>
          <w:tab w:val="left" w:pos="3065"/>
        </w:tabs>
        <w:jc w:val="both"/>
      </w:pPr>
      <w:r>
        <w:rPr>
          <w:b/>
          <w:bCs/>
        </w:rPr>
        <w:t xml:space="preserve">Design Decision: </w:t>
      </w:r>
      <w:r>
        <w:t xml:space="preserve">Network Insights will be enabled across the platform. </w:t>
      </w:r>
    </w:p>
    <w:p w14:paraId="239BC4BD" w14:textId="77777777" w:rsidR="00411CAC" w:rsidRDefault="00411CAC" w:rsidP="007D289F">
      <w:pPr>
        <w:pStyle w:val="BodyText"/>
        <w:tabs>
          <w:tab w:val="clear" w:pos="4536"/>
          <w:tab w:val="clear" w:pos="6804"/>
          <w:tab w:val="clear" w:pos="9638"/>
          <w:tab w:val="left" w:pos="3065"/>
        </w:tabs>
        <w:jc w:val="both"/>
        <w:rPr>
          <w:b/>
          <w:bCs/>
        </w:rPr>
      </w:pPr>
    </w:p>
    <w:p w14:paraId="37C2EF43" w14:textId="77777777" w:rsidR="00932B92" w:rsidRDefault="00411CAC" w:rsidP="007D289F">
      <w:pPr>
        <w:pStyle w:val="BodyText"/>
        <w:tabs>
          <w:tab w:val="clear" w:pos="4536"/>
          <w:tab w:val="clear" w:pos="6804"/>
          <w:tab w:val="clear" w:pos="9638"/>
          <w:tab w:val="left" w:pos="3065"/>
        </w:tabs>
        <w:jc w:val="both"/>
      </w:pPr>
      <w:r>
        <w:rPr>
          <w:b/>
          <w:bCs/>
        </w:rPr>
        <w:t xml:space="preserve">Design Justification: </w:t>
      </w:r>
      <w:r w:rsidR="00932B92">
        <w:t>It is a requirement to capture networking information, particularly traffic flow. Note that this has already been defined for NSG Flow Logs in the NSG Core Service design. This design decision is for completeness, and to confirm that every subscription should have a specific NetworkWatcher resource in each Azure region.</w:t>
      </w:r>
    </w:p>
    <w:p w14:paraId="5C80A896" w14:textId="77777777" w:rsidR="00932B92" w:rsidRDefault="00932B92" w:rsidP="007D289F">
      <w:pPr>
        <w:pStyle w:val="BodyText"/>
        <w:tabs>
          <w:tab w:val="clear" w:pos="4536"/>
          <w:tab w:val="clear" w:pos="6804"/>
          <w:tab w:val="clear" w:pos="9638"/>
          <w:tab w:val="left" w:pos="3065"/>
        </w:tabs>
        <w:jc w:val="both"/>
      </w:pPr>
    </w:p>
    <w:p w14:paraId="620CC3CE" w14:textId="77777777" w:rsidR="00932B92" w:rsidRDefault="00932B92" w:rsidP="007D289F">
      <w:pPr>
        <w:pStyle w:val="BodyText"/>
        <w:tabs>
          <w:tab w:val="clear" w:pos="4536"/>
          <w:tab w:val="clear" w:pos="6804"/>
          <w:tab w:val="clear" w:pos="9638"/>
          <w:tab w:val="left" w:pos="3065"/>
        </w:tabs>
        <w:jc w:val="both"/>
      </w:pPr>
      <w:r w:rsidRPr="00932B92">
        <w:rPr>
          <w:b/>
          <w:bCs/>
        </w:rPr>
        <w:t>Design Details:</w:t>
      </w:r>
      <w:r>
        <w:rPr>
          <w:b/>
          <w:bCs/>
        </w:rPr>
        <w:t xml:space="preserve"> </w:t>
      </w:r>
      <w:r>
        <w:t xml:space="preserve">Each subscription will have an Azure Network Watcher in each region (two per subscription). There will be one resource group in each subscription that will host the Network Watchers called NetworkWatcher as this is the default resource group deployed when configuring Network Insights. </w:t>
      </w:r>
    </w:p>
    <w:p w14:paraId="5EE9D3C6" w14:textId="77777777" w:rsidR="00932B92" w:rsidRDefault="00932B92" w:rsidP="007D289F">
      <w:pPr>
        <w:pStyle w:val="BodyText"/>
        <w:tabs>
          <w:tab w:val="clear" w:pos="4536"/>
          <w:tab w:val="clear" w:pos="6804"/>
          <w:tab w:val="clear" w:pos="9638"/>
          <w:tab w:val="left" w:pos="3065"/>
        </w:tabs>
        <w:jc w:val="both"/>
      </w:pPr>
    </w:p>
    <w:p w14:paraId="425F510F" w14:textId="34CD8BFB" w:rsidR="00411CAC" w:rsidRDefault="00932B92" w:rsidP="007D289F">
      <w:pPr>
        <w:pStyle w:val="BodyText"/>
        <w:tabs>
          <w:tab w:val="clear" w:pos="4536"/>
          <w:tab w:val="clear" w:pos="6804"/>
          <w:tab w:val="clear" w:pos="9638"/>
          <w:tab w:val="left" w:pos="3065"/>
        </w:tabs>
        <w:jc w:val="both"/>
        <w:rPr>
          <w:b/>
          <w:bCs/>
        </w:rPr>
      </w:pPr>
      <w:r>
        <w:t xml:space="preserve">Each Network Watcher will have the same naming convention: NetworkWatcher_azureregion. </w:t>
      </w:r>
      <w:r w:rsidRPr="00932B92">
        <w:rPr>
          <w:b/>
          <w:bCs/>
        </w:rPr>
        <w:t xml:space="preserve">  </w:t>
      </w:r>
    </w:p>
    <w:p w14:paraId="66A4176C" w14:textId="77777777" w:rsidR="00F75FCE" w:rsidRDefault="00F75FCE" w:rsidP="007D289F">
      <w:pPr>
        <w:pStyle w:val="BodyText"/>
        <w:tabs>
          <w:tab w:val="clear" w:pos="4536"/>
          <w:tab w:val="clear" w:pos="6804"/>
          <w:tab w:val="clear" w:pos="9638"/>
          <w:tab w:val="left" w:pos="3065"/>
        </w:tabs>
        <w:jc w:val="both"/>
        <w:rPr>
          <w:b/>
          <w:bCs/>
        </w:rPr>
      </w:pPr>
    </w:p>
    <w:p w14:paraId="2CB0FC08" w14:textId="77777777" w:rsidR="00A00139" w:rsidRDefault="00A00139" w:rsidP="007D289F">
      <w:pPr>
        <w:pStyle w:val="BodyText"/>
        <w:tabs>
          <w:tab w:val="clear" w:pos="4536"/>
          <w:tab w:val="clear" w:pos="6804"/>
          <w:tab w:val="clear" w:pos="9638"/>
          <w:tab w:val="left" w:pos="3065"/>
        </w:tabs>
        <w:jc w:val="both"/>
        <w:rPr>
          <w:b/>
          <w:bCs/>
        </w:rPr>
      </w:pPr>
    </w:p>
    <w:p w14:paraId="48B90862" w14:textId="77777777" w:rsidR="00A00139" w:rsidRDefault="00A00139" w:rsidP="007D289F">
      <w:pPr>
        <w:pStyle w:val="BodyText"/>
        <w:tabs>
          <w:tab w:val="clear" w:pos="4536"/>
          <w:tab w:val="clear" w:pos="6804"/>
          <w:tab w:val="clear" w:pos="9638"/>
          <w:tab w:val="left" w:pos="3065"/>
        </w:tabs>
        <w:jc w:val="both"/>
        <w:rPr>
          <w:b/>
          <w:bCs/>
        </w:rPr>
      </w:pPr>
    </w:p>
    <w:p w14:paraId="1E9C58B3" w14:textId="77777777" w:rsidR="00A00139" w:rsidRDefault="00A00139" w:rsidP="007D289F">
      <w:pPr>
        <w:pStyle w:val="BodyText"/>
        <w:tabs>
          <w:tab w:val="clear" w:pos="4536"/>
          <w:tab w:val="clear" w:pos="6804"/>
          <w:tab w:val="clear" w:pos="9638"/>
          <w:tab w:val="left" w:pos="3065"/>
        </w:tabs>
        <w:jc w:val="both"/>
        <w:rPr>
          <w:b/>
          <w:bCs/>
        </w:rPr>
      </w:pPr>
    </w:p>
    <w:p w14:paraId="78F61C84" w14:textId="77777777" w:rsidR="00A00139" w:rsidRDefault="00A00139" w:rsidP="007D289F">
      <w:pPr>
        <w:pStyle w:val="BodyText"/>
        <w:tabs>
          <w:tab w:val="clear" w:pos="4536"/>
          <w:tab w:val="clear" w:pos="6804"/>
          <w:tab w:val="clear" w:pos="9638"/>
          <w:tab w:val="left" w:pos="3065"/>
        </w:tabs>
        <w:jc w:val="both"/>
        <w:rPr>
          <w:b/>
          <w:bCs/>
        </w:rPr>
      </w:pPr>
    </w:p>
    <w:p w14:paraId="7DD24CDC" w14:textId="77777777" w:rsidR="00A00139" w:rsidRDefault="00A00139" w:rsidP="007D289F">
      <w:pPr>
        <w:pStyle w:val="BodyText"/>
        <w:tabs>
          <w:tab w:val="clear" w:pos="4536"/>
          <w:tab w:val="clear" w:pos="6804"/>
          <w:tab w:val="clear" w:pos="9638"/>
          <w:tab w:val="left" w:pos="3065"/>
        </w:tabs>
        <w:jc w:val="both"/>
        <w:rPr>
          <w:b/>
          <w:bCs/>
        </w:rPr>
      </w:pPr>
    </w:p>
    <w:p w14:paraId="63A94C20" w14:textId="77777777" w:rsidR="00A00139" w:rsidRDefault="00A00139" w:rsidP="007D289F">
      <w:pPr>
        <w:pStyle w:val="BodyText"/>
        <w:tabs>
          <w:tab w:val="clear" w:pos="4536"/>
          <w:tab w:val="clear" w:pos="6804"/>
          <w:tab w:val="clear" w:pos="9638"/>
          <w:tab w:val="left" w:pos="3065"/>
        </w:tabs>
        <w:jc w:val="both"/>
        <w:rPr>
          <w:b/>
          <w:bCs/>
        </w:rPr>
      </w:pPr>
    </w:p>
    <w:p w14:paraId="6CB68DD7" w14:textId="77777777" w:rsidR="00A00139" w:rsidRDefault="00A00139" w:rsidP="007D289F">
      <w:pPr>
        <w:pStyle w:val="BodyText"/>
        <w:tabs>
          <w:tab w:val="clear" w:pos="4536"/>
          <w:tab w:val="clear" w:pos="6804"/>
          <w:tab w:val="clear" w:pos="9638"/>
          <w:tab w:val="left" w:pos="3065"/>
        </w:tabs>
        <w:jc w:val="both"/>
        <w:rPr>
          <w:b/>
          <w:bCs/>
        </w:rPr>
      </w:pPr>
    </w:p>
    <w:p w14:paraId="480254AA" w14:textId="77777777" w:rsidR="00A00139" w:rsidRDefault="00A00139" w:rsidP="007D289F">
      <w:pPr>
        <w:pStyle w:val="BodyText"/>
        <w:tabs>
          <w:tab w:val="clear" w:pos="4536"/>
          <w:tab w:val="clear" w:pos="6804"/>
          <w:tab w:val="clear" w:pos="9638"/>
          <w:tab w:val="left" w:pos="3065"/>
        </w:tabs>
        <w:jc w:val="both"/>
        <w:rPr>
          <w:b/>
          <w:bCs/>
        </w:rPr>
      </w:pPr>
    </w:p>
    <w:p w14:paraId="3ECB3402" w14:textId="77777777" w:rsidR="00A00139" w:rsidRDefault="00A00139" w:rsidP="007D289F">
      <w:pPr>
        <w:pStyle w:val="BodyText"/>
        <w:tabs>
          <w:tab w:val="clear" w:pos="4536"/>
          <w:tab w:val="clear" w:pos="6804"/>
          <w:tab w:val="clear" w:pos="9638"/>
          <w:tab w:val="left" w:pos="3065"/>
        </w:tabs>
        <w:jc w:val="both"/>
        <w:rPr>
          <w:b/>
          <w:bCs/>
        </w:rPr>
      </w:pPr>
    </w:p>
    <w:p w14:paraId="40EDA720" w14:textId="77777777" w:rsidR="00A00139" w:rsidRDefault="00A00139" w:rsidP="007D289F">
      <w:pPr>
        <w:pStyle w:val="BodyText"/>
        <w:tabs>
          <w:tab w:val="clear" w:pos="4536"/>
          <w:tab w:val="clear" w:pos="6804"/>
          <w:tab w:val="clear" w:pos="9638"/>
          <w:tab w:val="left" w:pos="3065"/>
        </w:tabs>
        <w:jc w:val="both"/>
        <w:rPr>
          <w:b/>
          <w:bCs/>
        </w:rPr>
      </w:pPr>
    </w:p>
    <w:p w14:paraId="7FA3E47F" w14:textId="77777777" w:rsidR="00A00139" w:rsidRDefault="00A00139" w:rsidP="007D289F">
      <w:pPr>
        <w:pStyle w:val="BodyText"/>
        <w:tabs>
          <w:tab w:val="clear" w:pos="4536"/>
          <w:tab w:val="clear" w:pos="6804"/>
          <w:tab w:val="clear" w:pos="9638"/>
          <w:tab w:val="left" w:pos="3065"/>
        </w:tabs>
        <w:jc w:val="both"/>
        <w:rPr>
          <w:b/>
          <w:bCs/>
        </w:rPr>
      </w:pPr>
    </w:p>
    <w:p w14:paraId="19B38450" w14:textId="77777777" w:rsidR="00A00139" w:rsidRDefault="00A00139" w:rsidP="007D289F">
      <w:pPr>
        <w:pStyle w:val="BodyText"/>
        <w:tabs>
          <w:tab w:val="clear" w:pos="4536"/>
          <w:tab w:val="clear" w:pos="6804"/>
          <w:tab w:val="clear" w:pos="9638"/>
          <w:tab w:val="left" w:pos="3065"/>
        </w:tabs>
        <w:jc w:val="both"/>
        <w:rPr>
          <w:b/>
          <w:bCs/>
        </w:rPr>
      </w:pPr>
    </w:p>
    <w:p w14:paraId="0D1D8F11" w14:textId="77777777" w:rsidR="00A00139" w:rsidRDefault="00A00139" w:rsidP="007D289F">
      <w:pPr>
        <w:pStyle w:val="BodyText"/>
        <w:tabs>
          <w:tab w:val="clear" w:pos="4536"/>
          <w:tab w:val="clear" w:pos="6804"/>
          <w:tab w:val="clear" w:pos="9638"/>
          <w:tab w:val="left" w:pos="3065"/>
        </w:tabs>
        <w:jc w:val="both"/>
        <w:rPr>
          <w:b/>
          <w:bCs/>
        </w:rPr>
      </w:pPr>
    </w:p>
    <w:p w14:paraId="2A3FDCDA" w14:textId="77777777" w:rsidR="00A00139" w:rsidRDefault="00A00139" w:rsidP="007D289F">
      <w:pPr>
        <w:pStyle w:val="BodyText"/>
        <w:tabs>
          <w:tab w:val="clear" w:pos="4536"/>
          <w:tab w:val="clear" w:pos="6804"/>
          <w:tab w:val="clear" w:pos="9638"/>
          <w:tab w:val="left" w:pos="3065"/>
        </w:tabs>
        <w:jc w:val="both"/>
        <w:rPr>
          <w:b/>
          <w:bCs/>
        </w:rPr>
      </w:pPr>
    </w:p>
    <w:p w14:paraId="2A8F8661" w14:textId="77777777" w:rsidR="00A00139" w:rsidRDefault="00A00139" w:rsidP="007D289F">
      <w:pPr>
        <w:pStyle w:val="BodyText"/>
        <w:tabs>
          <w:tab w:val="clear" w:pos="4536"/>
          <w:tab w:val="clear" w:pos="6804"/>
          <w:tab w:val="clear" w:pos="9638"/>
          <w:tab w:val="left" w:pos="3065"/>
        </w:tabs>
        <w:jc w:val="both"/>
        <w:rPr>
          <w:b/>
          <w:bCs/>
        </w:rPr>
      </w:pPr>
    </w:p>
    <w:p w14:paraId="436BCF4C" w14:textId="1E2D2ECF" w:rsidR="00A63014" w:rsidRPr="003A3FE9" w:rsidRDefault="00A63014" w:rsidP="00A63014">
      <w:pPr>
        <w:pStyle w:val="Heading1"/>
        <w:jc w:val="both"/>
        <w:rPr>
          <w:rFonts w:cs="Arial"/>
        </w:rPr>
      </w:pPr>
      <w:bookmarkStart w:id="34" w:name="_Toc158801766"/>
      <w:r w:rsidRPr="003A3FE9">
        <w:rPr>
          <w:rFonts w:cs="Arial"/>
        </w:rPr>
        <w:t>Azure Policies</w:t>
      </w:r>
      <w:bookmarkEnd w:id="34"/>
    </w:p>
    <w:p w14:paraId="21CFFD47" w14:textId="59081D0E" w:rsidR="007A301B" w:rsidRDefault="003A3FE9" w:rsidP="00A7649C">
      <w:pPr>
        <w:pStyle w:val="BodyText"/>
        <w:jc w:val="both"/>
      </w:pPr>
      <w:r w:rsidRPr="003A3FE9">
        <w:t xml:space="preserve">There are no specific Azure Policies required for these services. </w:t>
      </w:r>
    </w:p>
    <w:p w14:paraId="565634B7" w14:textId="2E382DBE" w:rsidR="00272BD6" w:rsidRPr="005F3C61" w:rsidRDefault="00116140" w:rsidP="00272BD6">
      <w:pPr>
        <w:pStyle w:val="Heading1"/>
        <w:jc w:val="both"/>
        <w:rPr>
          <w:rFonts w:cs="Arial"/>
        </w:rPr>
      </w:pPr>
      <w:bookmarkStart w:id="35" w:name="_Toc158801767"/>
      <w:r>
        <w:rPr>
          <w:rFonts w:cs="Arial"/>
        </w:rPr>
        <w:t>Configuration Templates</w:t>
      </w:r>
      <w:bookmarkEnd w:id="35"/>
      <w:r w:rsidR="00272BD6" w:rsidRPr="005F3C61">
        <w:rPr>
          <w:highlight w:val="yellow"/>
        </w:rPr>
        <w:t xml:space="preserve"> </w:t>
      </w:r>
    </w:p>
    <w:p w14:paraId="65925349" w14:textId="235F58DB" w:rsidR="00D81A6E" w:rsidRDefault="00ED7CE1" w:rsidP="005F3C61">
      <w:pPr>
        <w:pStyle w:val="Heading2"/>
      </w:pPr>
      <w:bookmarkStart w:id="36" w:name="_Toc158801768"/>
      <w:r>
        <w:t xml:space="preserve">Primary Region </w:t>
      </w:r>
      <w:r w:rsidR="00D81A6E">
        <w:t>Azure Application Insights</w:t>
      </w:r>
      <w:r w:rsidR="00F761CA">
        <w:t xml:space="preserve"> (Platinum, Gold, Silver)</w:t>
      </w:r>
      <w:bookmarkEnd w:id="36"/>
    </w:p>
    <w:tbl>
      <w:tblPr>
        <w:tblStyle w:val="AVTable1"/>
        <w:tblW w:w="0" w:type="auto"/>
        <w:tblLook w:val="04A0" w:firstRow="1" w:lastRow="0" w:firstColumn="1" w:lastColumn="0" w:noHBand="0" w:noVBand="1"/>
      </w:tblPr>
      <w:tblGrid>
        <w:gridCol w:w="4111"/>
        <w:gridCol w:w="4916"/>
      </w:tblGrid>
      <w:tr w:rsidR="00D81A6E" w14:paraId="223C8BCF" w14:textId="77777777" w:rsidTr="30A4631E">
        <w:trPr>
          <w:cnfStyle w:val="100000000000" w:firstRow="1" w:lastRow="0" w:firstColumn="0" w:lastColumn="0" w:oddVBand="0" w:evenVBand="0" w:oddHBand="0" w:evenHBand="0" w:firstRowFirstColumn="0" w:firstRowLastColumn="0" w:lastRowFirstColumn="0" w:lastRowLastColumn="0"/>
        </w:trPr>
        <w:tc>
          <w:tcPr>
            <w:tcW w:w="4111" w:type="dxa"/>
          </w:tcPr>
          <w:p w14:paraId="1CAAEECA" w14:textId="0EF30498" w:rsidR="00D81A6E" w:rsidRPr="00D81A6E" w:rsidRDefault="00D81A6E" w:rsidP="00272BD6">
            <w:pPr>
              <w:pStyle w:val="BodyText"/>
              <w:rPr>
                <w:color w:val="FFFFFF" w:themeColor="background1"/>
              </w:rPr>
            </w:pPr>
            <w:r w:rsidRPr="00D81A6E">
              <w:rPr>
                <w:color w:val="FFFFFF" w:themeColor="background1"/>
              </w:rPr>
              <w:t>Configuration Item</w:t>
            </w:r>
          </w:p>
        </w:tc>
        <w:tc>
          <w:tcPr>
            <w:tcW w:w="4916" w:type="dxa"/>
          </w:tcPr>
          <w:p w14:paraId="64977A52" w14:textId="0A3899F7" w:rsidR="00D81A6E" w:rsidRPr="00D81A6E" w:rsidRDefault="00D81A6E" w:rsidP="00272BD6">
            <w:pPr>
              <w:pStyle w:val="BodyText"/>
              <w:rPr>
                <w:color w:val="FFFFFF" w:themeColor="background1"/>
              </w:rPr>
            </w:pPr>
            <w:r w:rsidRPr="00D81A6E">
              <w:rPr>
                <w:color w:val="FFFFFF" w:themeColor="background1"/>
              </w:rPr>
              <w:t>Configuration Setting</w:t>
            </w:r>
          </w:p>
        </w:tc>
      </w:tr>
      <w:tr w:rsidR="00D81A6E" w14:paraId="0D310BC4" w14:textId="77777777" w:rsidTr="30A4631E">
        <w:tc>
          <w:tcPr>
            <w:tcW w:w="4111" w:type="dxa"/>
          </w:tcPr>
          <w:p w14:paraId="07CC4CE2" w14:textId="0E4A126B" w:rsidR="00D81A6E" w:rsidRDefault="008A5F2B" w:rsidP="00272BD6">
            <w:pPr>
              <w:pStyle w:val="BodyText"/>
            </w:pPr>
            <w:r>
              <w:t>Name</w:t>
            </w:r>
          </w:p>
        </w:tc>
        <w:tc>
          <w:tcPr>
            <w:tcW w:w="4916" w:type="dxa"/>
          </w:tcPr>
          <w:p w14:paraId="43AE34EC" w14:textId="626E14E9" w:rsidR="00D81A6E" w:rsidRDefault="008A5F2B" w:rsidP="00272BD6">
            <w:pPr>
              <w:pStyle w:val="BodyText"/>
            </w:pPr>
            <w:r>
              <w:t>appi-prd-ause-[appname]-01</w:t>
            </w:r>
          </w:p>
        </w:tc>
      </w:tr>
      <w:tr w:rsidR="00D81A6E" w14:paraId="5BF082B0" w14:textId="77777777" w:rsidTr="30A4631E">
        <w:tc>
          <w:tcPr>
            <w:tcW w:w="4111" w:type="dxa"/>
          </w:tcPr>
          <w:p w14:paraId="2D9D235D" w14:textId="3F689D93" w:rsidR="00D81A6E" w:rsidRDefault="008A5F2B" w:rsidP="00272BD6">
            <w:pPr>
              <w:pStyle w:val="BodyText"/>
            </w:pPr>
            <w:r>
              <w:t>Subscription</w:t>
            </w:r>
          </w:p>
        </w:tc>
        <w:tc>
          <w:tcPr>
            <w:tcW w:w="4916" w:type="dxa"/>
          </w:tcPr>
          <w:p w14:paraId="0062735E" w14:textId="1A02B3AB" w:rsidR="00D81A6E" w:rsidRDefault="008A5F2B" w:rsidP="00272BD6">
            <w:pPr>
              <w:pStyle w:val="BodyText"/>
            </w:pPr>
            <w:r>
              <w:t>AV ALZ [Subscription Name]</w:t>
            </w:r>
          </w:p>
        </w:tc>
      </w:tr>
      <w:tr w:rsidR="00D81A6E" w14:paraId="6372B02E" w14:textId="77777777" w:rsidTr="30A4631E">
        <w:tc>
          <w:tcPr>
            <w:tcW w:w="4111" w:type="dxa"/>
          </w:tcPr>
          <w:p w14:paraId="34D273DB" w14:textId="15292A06" w:rsidR="00D81A6E" w:rsidRDefault="008A5F2B" w:rsidP="00272BD6">
            <w:pPr>
              <w:pStyle w:val="BodyText"/>
            </w:pPr>
            <w:r>
              <w:t>Region</w:t>
            </w:r>
          </w:p>
        </w:tc>
        <w:tc>
          <w:tcPr>
            <w:tcW w:w="4916" w:type="dxa"/>
          </w:tcPr>
          <w:p w14:paraId="08B3593A" w14:textId="54371D91" w:rsidR="00D81A6E" w:rsidRDefault="008A5F2B" w:rsidP="00272BD6">
            <w:pPr>
              <w:pStyle w:val="BodyText"/>
            </w:pPr>
            <w:r>
              <w:t>Australia Southeast</w:t>
            </w:r>
          </w:p>
        </w:tc>
      </w:tr>
      <w:tr w:rsidR="00D81A6E" w14:paraId="4A8111FD" w14:textId="77777777" w:rsidTr="30A4631E">
        <w:tc>
          <w:tcPr>
            <w:tcW w:w="4111" w:type="dxa"/>
          </w:tcPr>
          <w:p w14:paraId="41DDB1B2" w14:textId="15C8CF42" w:rsidR="00D81A6E" w:rsidRDefault="008A5F2B" w:rsidP="00272BD6">
            <w:pPr>
              <w:pStyle w:val="BodyText"/>
            </w:pPr>
            <w:r>
              <w:t>Resource Mode</w:t>
            </w:r>
          </w:p>
        </w:tc>
        <w:tc>
          <w:tcPr>
            <w:tcW w:w="4916" w:type="dxa"/>
          </w:tcPr>
          <w:p w14:paraId="70F6E376" w14:textId="77161F2D" w:rsidR="00D81A6E" w:rsidRDefault="008A5F2B" w:rsidP="00272BD6">
            <w:pPr>
              <w:pStyle w:val="BodyText"/>
            </w:pPr>
            <w:r>
              <w:t>Workspace-based</w:t>
            </w:r>
          </w:p>
        </w:tc>
      </w:tr>
      <w:tr w:rsidR="008A5F2B" w14:paraId="49EF60F2" w14:textId="77777777" w:rsidTr="30A4631E">
        <w:tc>
          <w:tcPr>
            <w:tcW w:w="4111" w:type="dxa"/>
          </w:tcPr>
          <w:p w14:paraId="549F54BB" w14:textId="16A4E198" w:rsidR="008A5F2B" w:rsidRDefault="008A5F2B" w:rsidP="00272BD6">
            <w:pPr>
              <w:pStyle w:val="BodyText"/>
            </w:pPr>
            <w:r>
              <w:t>Workspace Subscription</w:t>
            </w:r>
          </w:p>
        </w:tc>
        <w:tc>
          <w:tcPr>
            <w:tcW w:w="4916" w:type="dxa"/>
          </w:tcPr>
          <w:p w14:paraId="7F826F28" w14:textId="4C052189" w:rsidR="008A5F2B" w:rsidRDefault="008A5F2B" w:rsidP="00272BD6">
            <w:pPr>
              <w:pStyle w:val="BodyText"/>
            </w:pPr>
            <w:r>
              <w:t>AV ALZ Management</w:t>
            </w:r>
          </w:p>
        </w:tc>
      </w:tr>
      <w:tr w:rsidR="008A5F2B" w14:paraId="2C9E4094" w14:textId="77777777" w:rsidTr="30A4631E">
        <w:tc>
          <w:tcPr>
            <w:tcW w:w="4111" w:type="dxa"/>
          </w:tcPr>
          <w:p w14:paraId="67B9215D" w14:textId="43269740" w:rsidR="008A5F2B" w:rsidRDefault="008A5F2B" w:rsidP="00272BD6">
            <w:pPr>
              <w:pStyle w:val="BodyText"/>
            </w:pPr>
            <w:r>
              <w:t>Workspace Name</w:t>
            </w:r>
          </w:p>
        </w:tc>
        <w:tc>
          <w:tcPr>
            <w:tcW w:w="4916" w:type="dxa"/>
          </w:tcPr>
          <w:p w14:paraId="4441D53C" w14:textId="30254D19" w:rsidR="008A5F2B" w:rsidRDefault="4B1E2A22" w:rsidP="00272BD6">
            <w:pPr>
              <w:pStyle w:val="BodyText"/>
            </w:pPr>
            <w:commentRangeStart w:id="37"/>
            <w:commentRangeStart w:id="38"/>
            <w:r>
              <w:t>l</w:t>
            </w:r>
            <w:r w:rsidR="6698F66A">
              <w:t>og</w:t>
            </w:r>
            <w:commentRangeEnd w:id="37"/>
            <w:r>
              <w:rPr>
                <w:rStyle w:val="CommentReference"/>
              </w:rPr>
              <w:commentReference w:id="37"/>
            </w:r>
            <w:commentRangeEnd w:id="38"/>
            <w:r>
              <w:rPr>
                <w:rStyle w:val="CommentReference"/>
              </w:rPr>
              <w:commentReference w:id="38"/>
            </w:r>
            <w:r>
              <w:t>-prd-ause-mgmt-01</w:t>
            </w:r>
          </w:p>
        </w:tc>
      </w:tr>
    </w:tbl>
    <w:p w14:paraId="360A4805" w14:textId="77777777" w:rsidR="00D81A6E" w:rsidRPr="00272BD6" w:rsidRDefault="00D81A6E" w:rsidP="00272BD6">
      <w:pPr>
        <w:pStyle w:val="BodyText"/>
      </w:pPr>
    </w:p>
    <w:p w14:paraId="56144FA4" w14:textId="6B012110" w:rsidR="00C96C79" w:rsidRDefault="00C96C79" w:rsidP="00C96C79">
      <w:pPr>
        <w:pStyle w:val="Heading2"/>
      </w:pPr>
      <w:bookmarkStart w:id="39" w:name="_Toc158801769"/>
      <w:r>
        <w:t>Secondary Region Azure Application Insights (Platinum, Gold, Silver)</w:t>
      </w:r>
      <w:bookmarkEnd w:id="39"/>
    </w:p>
    <w:tbl>
      <w:tblPr>
        <w:tblStyle w:val="AVTable1"/>
        <w:tblW w:w="0" w:type="auto"/>
        <w:tblLook w:val="04A0" w:firstRow="1" w:lastRow="0" w:firstColumn="1" w:lastColumn="0" w:noHBand="0" w:noVBand="1"/>
      </w:tblPr>
      <w:tblGrid>
        <w:gridCol w:w="4111"/>
        <w:gridCol w:w="4916"/>
      </w:tblGrid>
      <w:tr w:rsidR="00C96C79" w14:paraId="371D8ED1" w14:textId="77777777" w:rsidTr="30A4631E">
        <w:trPr>
          <w:cnfStyle w:val="100000000000" w:firstRow="1" w:lastRow="0" w:firstColumn="0" w:lastColumn="0" w:oddVBand="0" w:evenVBand="0" w:oddHBand="0" w:evenHBand="0" w:firstRowFirstColumn="0" w:firstRowLastColumn="0" w:lastRowFirstColumn="0" w:lastRowLastColumn="0"/>
        </w:trPr>
        <w:tc>
          <w:tcPr>
            <w:tcW w:w="4111" w:type="dxa"/>
          </w:tcPr>
          <w:p w14:paraId="301AB5C2" w14:textId="77777777" w:rsidR="00C96C79" w:rsidRPr="00D81A6E" w:rsidRDefault="00C96C79" w:rsidP="003C6628">
            <w:pPr>
              <w:pStyle w:val="BodyText"/>
              <w:rPr>
                <w:color w:val="FFFFFF" w:themeColor="background1"/>
              </w:rPr>
            </w:pPr>
            <w:r w:rsidRPr="00D81A6E">
              <w:rPr>
                <w:color w:val="FFFFFF" w:themeColor="background1"/>
              </w:rPr>
              <w:t>Configuration Item</w:t>
            </w:r>
          </w:p>
        </w:tc>
        <w:tc>
          <w:tcPr>
            <w:tcW w:w="4916" w:type="dxa"/>
          </w:tcPr>
          <w:p w14:paraId="0BBB9A5D" w14:textId="77777777" w:rsidR="00C96C79" w:rsidRPr="00D81A6E" w:rsidRDefault="00C96C79" w:rsidP="003C6628">
            <w:pPr>
              <w:pStyle w:val="BodyText"/>
              <w:rPr>
                <w:color w:val="FFFFFF" w:themeColor="background1"/>
              </w:rPr>
            </w:pPr>
            <w:r w:rsidRPr="00D81A6E">
              <w:rPr>
                <w:color w:val="FFFFFF" w:themeColor="background1"/>
              </w:rPr>
              <w:t>Configuration Setting</w:t>
            </w:r>
          </w:p>
        </w:tc>
      </w:tr>
      <w:tr w:rsidR="00C96C79" w14:paraId="14F38C79" w14:textId="77777777" w:rsidTr="30A4631E">
        <w:tc>
          <w:tcPr>
            <w:tcW w:w="4111" w:type="dxa"/>
          </w:tcPr>
          <w:p w14:paraId="03FCC823" w14:textId="77777777" w:rsidR="00C96C79" w:rsidRDefault="00C96C79" w:rsidP="003C6628">
            <w:pPr>
              <w:pStyle w:val="BodyText"/>
            </w:pPr>
            <w:r>
              <w:t>Name</w:t>
            </w:r>
          </w:p>
        </w:tc>
        <w:tc>
          <w:tcPr>
            <w:tcW w:w="4916" w:type="dxa"/>
          </w:tcPr>
          <w:p w14:paraId="1396A2E3" w14:textId="279A2184" w:rsidR="00C96C79" w:rsidRDefault="00C96C79" w:rsidP="003C6628">
            <w:pPr>
              <w:pStyle w:val="BodyText"/>
            </w:pPr>
            <w:r>
              <w:t>appi-prd-auea-[appname]-01</w:t>
            </w:r>
          </w:p>
        </w:tc>
      </w:tr>
      <w:tr w:rsidR="00C96C79" w14:paraId="2DD37E82" w14:textId="77777777" w:rsidTr="30A4631E">
        <w:tc>
          <w:tcPr>
            <w:tcW w:w="4111" w:type="dxa"/>
          </w:tcPr>
          <w:p w14:paraId="5E60C5A9" w14:textId="77777777" w:rsidR="00C96C79" w:rsidRDefault="00C96C79" w:rsidP="003C6628">
            <w:pPr>
              <w:pStyle w:val="BodyText"/>
            </w:pPr>
            <w:r>
              <w:t>Subscription</w:t>
            </w:r>
          </w:p>
        </w:tc>
        <w:tc>
          <w:tcPr>
            <w:tcW w:w="4916" w:type="dxa"/>
          </w:tcPr>
          <w:p w14:paraId="418BDE14" w14:textId="77777777" w:rsidR="00C96C79" w:rsidRDefault="00C96C79" w:rsidP="003C6628">
            <w:pPr>
              <w:pStyle w:val="BodyText"/>
            </w:pPr>
            <w:r>
              <w:t>AV ALZ [Subscription Name]</w:t>
            </w:r>
          </w:p>
        </w:tc>
      </w:tr>
      <w:tr w:rsidR="00C96C79" w14:paraId="637A4D81" w14:textId="77777777" w:rsidTr="30A4631E">
        <w:tc>
          <w:tcPr>
            <w:tcW w:w="4111" w:type="dxa"/>
          </w:tcPr>
          <w:p w14:paraId="25A90184" w14:textId="77777777" w:rsidR="00C96C79" w:rsidRDefault="00C96C79" w:rsidP="003C6628">
            <w:pPr>
              <w:pStyle w:val="BodyText"/>
            </w:pPr>
            <w:r>
              <w:t>Region</w:t>
            </w:r>
          </w:p>
        </w:tc>
        <w:tc>
          <w:tcPr>
            <w:tcW w:w="4916" w:type="dxa"/>
          </w:tcPr>
          <w:p w14:paraId="5FABF8F2" w14:textId="13246A57" w:rsidR="00C96C79" w:rsidRDefault="00C96C79" w:rsidP="003C6628">
            <w:pPr>
              <w:pStyle w:val="BodyText"/>
            </w:pPr>
            <w:r>
              <w:t>Australia East</w:t>
            </w:r>
          </w:p>
        </w:tc>
      </w:tr>
      <w:tr w:rsidR="00C96C79" w14:paraId="312160A6" w14:textId="77777777" w:rsidTr="30A4631E">
        <w:tc>
          <w:tcPr>
            <w:tcW w:w="4111" w:type="dxa"/>
          </w:tcPr>
          <w:p w14:paraId="65FC35C9" w14:textId="77777777" w:rsidR="00C96C79" w:rsidRDefault="00C96C79" w:rsidP="003C6628">
            <w:pPr>
              <w:pStyle w:val="BodyText"/>
            </w:pPr>
            <w:r>
              <w:t>Resource Mode</w:t>
            </w:r>
          </w:p>
        </w:tc>
        <w:tc>
          <w:tcPr>
            <w:tcW w:w="4916" w:type="dxa"/>
          </w:tcPr>
          <w:p w14:paraId="17A85DC1" w14:textId="77777777" w:rsidR="00C96C79" w:rsidRDefault="00C96C79" w:rsidP="003C6628">
            <w:pPr>
              <w:pStyle w:val="BodyText"/>
            </w:pPr>
            <w:r>
              <w:t>Workspace-based</w:t>
            </w:r>
          </w:p>
        </w:tc>
      </w:tr>
      <w:tr w:rsidR="00C96C79" w14:paraId="5066090E" w14:textId="77777777" w:rsidTr="30A4631E">
        <w:tc>
          <w:tcPr>
            <w:tcW w:w="4111" w:type="dxa"/>
          </w:tcPr>
          <w:p w14:paraId="6885883C" w14:textId="77777777" w:rsidR="00C96C79" w:rsidRDefault="00C96C79" w:rsidP="003C6628">
            <w:pPr>
              <w:pStyle w:val="BodyText"/>
            </w:pPr>
            <w:r>
              <w:t>Workspace Subscription</w:t>
            </w:r>
          </w:p>
        </w:tc>
        <w:tc>
          <w:tcPr>
            <w:tcW w:w="4916" w:type="dxa"/>
          </w:tcPr>
          <w:p w14:paraId="65C84E05" w14:textId="77777777" w:rsidR="00C96C79" w:rsidRDefault="00C96C79" w:rsidP="003C6628">
            <w:pPr>
              <w:pStyle w:val="BodyText"/>
            </w:pPr>
            <w:r>
              <w:t>AV ALZ Management</w:t>
            </w:r>
          </w:p>
        </w:tc>
      </w:tr>
      <w:tr w:rsidR="00C96C79" w14:paraId="50EC5E9E" w14:textId="77777777" w:rsidTr="30A4631E">
        <w:tc>
          <w:tcPr>
            <w:tcW w:w="4111" w:type="dxa"/>
          </w:tcPr>
          <w:p w14:paraId="757645DC" w14:textId="77777777" w:rsidR="00C96C79" w:rsidRDefault="00C96C79" w:rsidP="003C6628">
            <w:pPr>
              <w:pStyle w:val="BodyText"/>
            </w:pPr>
            <w:r>
              <w:t>Workspace Name</w:t>
            </w:r>
          </w:p>
        </w:tc>
        <w:tc>
          <w:tcPr>
            <w:tcW w:w="4916" w:type="dxa"/>
          </w:tcPr>
          <w:p w14:paraId="5562F8B7" w14:textId="4E8B9F52" w:rsidR="00C96C79" w:rsidRDefault="00C96C79" w:rsidP="003C6628">
            <w:pPr>
              <w:pStyle w:val="BodyText"/>
            </w:pPr>
            <w:r>
              <w:t>l</w:t>
            </w:r>
            <w:r w:rsidR="24737F1E">
              <w:t>og</w:t>
            </w:r>
            <w:r>
              <w:t>-prd-auea-mgmt-01</w:t>
            </w:r>
          </w:p>
        </w:tc>
      </w:tr>
    </w:tbl>
    <w:p w14:paraId="6F4DAD53" w14:textId="08BEB36C" w:rsidR="00631431" w:rsidRPr="00F761CA" w:rsidRDefault="00631431" w:rsidP="007D289F">
      <w:pPr>
        <w:pStyle w:val="BodyText"/>
        <w:tabs>
          <w:tab w:val="clear" w:pos="4536"/>
          <w:tab w:val="clear" w:pos="6804"/>
          <w:tab w:val="clear" w:pos="9638"/>
          <w:tab w:val="left" w:pos="3065"/>
        </w:tabs>
        <w:jc w:val="both"/>
      </w:pPr>
    </w:p>
    <w:p w14:paraId="0985BB9F" w14:textId="77777777" w:rsidR="00631431" w:rsidRDefault="00631431" w:rsidP="007D289F">
      <w:pPr>
        <w:pStyle w:val="BodyText"/>
        <w:tabs>
          <w:tab w:val="clear" w:pos="4536"/>
          <w:tab w:val="clear" w:pos="6804"/>
          <w:tab w:val="clear" w:pos="9638"/>
          <w:tab w:val="left" w:pos="3065"/>
        </w:tabs>
        <w:jc w:val="both"/>
        <w:rPr>
          <w:b/>
          <w:bCs/>
        </w:rPr>
      </w:pPr>
    </w:p>
    <w:p w14:paraId="1B93C96F" w14:textId="77777777" w:rsidR="00631431" w:rsidRDefault="00631431" w:rsidP="007D289F">
      <w:pPr>
        <w:pStyle w:val="BodyText"/>
        <w:tabs>
          <w:tab w:val="clear" w:pos="4536"/>
          <w:tab w:val="clear" w:pos="6804"/>
          <w:tab w:val="clear" w:pos="9638"/>
          <w:tab w:val="left" w:pos="3065"/>
        </w:tabs>
        <w:jc w:val="both"/>
        <w:rPr>
          <w:b/>
          <w:bCs/>
        </w:rPr>
      </w:pPr>
    </w:p>
    <w:p w14:paraId="0874E0EF" w14:textId="77777777" w:rsidR="00631431" w:rsidRDefault="00631431" w:rsidP="007D289F">
      <w:pPr>
        <w:pStyle w:val="BodyText"/>
        <w:tabs>
          <w:tab w:val="clear" w:pos="4536"/>
          <w:tab w:val="clear" w:pos="6804"/>
          <w:tab w:val="clear" w:pos="9638"/>
          <w:tab w:val="left" w:pos="3065"/>
        </w:tabs>
        <w:jc w:val="both"/>
        <w:rPr>
          <w:b/>
          <w:bCs/>
        </w:rPr>
      </w:pPr>
    </w:p>
    <w:p w14:paraId="3C3D921A" w14:textId="77777777" w:rsidR="00631431" w:rsidRDefault="00631431" w:rsidP="007D289F">
      <w:pPr>
        <w:pStyle w:val="BodyText"/>
        <w:tabs>
          <w:tab w:val="clear" w:pos="4536"/>
          <w:tab w:val="clear" w:pos="6804"/>
          <w:tab w:val="clear" w:pos="9638"/>
          <w:tab w:val="left" w:pos="3065"/>
        </w:tabs>
        <w:jc w:val="both"/>
        <w:rPr>
          <w:b/>
          <w:bCs/>
        </w:rPr>
      </w:pPr>
    </w:p>
    <w:p w14:paraId="1BD3E541" w14:textId="77777777" w:rsidR="00631431" w:rsidRDefault="00631431" w:rsidP="007D289F">
      <w:pPr>
        <w:pStyle w:val="BodyText"/>
        <w:tabs>
          <w:tab w:val="clear" w:pos="4536"/>
          <w:tab w:val="clear" w:pos="6804"/>
          <w:tab w:val="clear" w:pos="9638"/>
          <w:tab w:val="left" w:pos="3065"/>
        </w:tabs>
        <w:jc w:val="both"/>
        <w:rPr>
          <w:b/>
          <w:bCs/>
        </w:rPr>
      </w:pPr>
    </w:p>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D3B0CE4" w14:textId="77777777" w:rsidR="00631431" w:rsidRDefault="00631431"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1BE41880" w14:textId="7E8655BF" w:rsidR="00DA6DA9" w:rsidRPr="008B7613" w:rsidRDefault="00DA6DA9"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0" w:name="_Toc158801770"/>
      <w:r>
        <w:t>Acceptance</w:t>
      </w:r>
      <w:bookmarkEnd w:id="40"/>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rPr>
            <w:color w:val="2B579A"/>
            <w:shd w:val="clear" w:color="auto" w:fill="E6E6E6"/>
          </w:r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rPr>
            <w:color w:val="1E1E1E"/>
            <w:shd w:val="clear" w:color="auto" w:fill="auto"/>
          </w:r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color w:val="2B579A"/>
            <w:shd w:val="clear" w:color="auto" w:fill="E6E6E6"/>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434A75"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2B579A"/>
                <w:shd w:val="clear" w:color="auto" w:fill="E6E6E6"/>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434A75"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2B579A"/>
                <w:shd w:val="clear" w:color="auto" w:fill="E6E6E6"/>
                <w:lang w:val="en-AU" w:eastAsia="en-AU"/>
              </w:rPr>
              <w:pict w14:anchorId="70E0D958">
                <v:shape id="_x0000_i1026" type="#_x0000_t75" alt="Microsoft Office Signature Line..." style="width:194.25pt;height:93.75pt">
                  <v:imagedata r:id="rId23"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3C6628">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3C662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C33283">
      <w:headerReference w:type="default" r:id="rId24"/>
      <w:footerReference w:type="default" r:id="rId25"/>
      <w:headerReference w:type="first" r:id="rId26"/>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Pond, Jeremy" w:date="2024-02-13T12:10:00Z" w:initials="JP">
    <w:p w14:paraId="67267A30" w14:textId="77777777" w:rsidR="00F66CB5" w:rsidRDefault="00F66CB5" w:rsidP="00F66CB5">
      <w:pPr>
        <w:pStyle w:val="CommentText"/>
      </w:pPr>
      <w:r>
        <w:rPr>
          <w:rStyle w:val="CommentReference"/>
        </w:rPr>
        <w:annotationRef/>
      </w:r>
      <w:r>
        <w:t>Should be log-</w:t>
      </w:r>
    </w:p>
  </w:comment>
  <w:comment w:id="38" w:author="Dani Nikolic" w:date="2024-02-14T11:06:00Z" w:initials="DN">
    <w:p w14:paraId="18814A0A" w14:textId="6A7B530F" w:rsidR="63A60F02" w:rsidRDefault="63A60F02">
      <w:pPr>
        <w:pStyle w:val="CommentText"/>
      </w:pPr>
      <w:r>
        <w:t>Updated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267A30" w15:done="0"/>
  <w15:commentEx w15:paraId="18814A0A" w15:paraIdParent="67267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44A64D" w16cex:dateUtc="2024-02-13T01:10:00Z"/>
  <w16cex:commentExtensible w16cex:durableId="756B730D" w16cex:dateUtc="2024-02-1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267A30" w16cid:durableId="0944A64D"/>
  <w16cid:commentId w16cid:paraId="18814A0A" w16cid:durableId="756B73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B027" w14:textId="77777777" w:rsidR="005E314D" w:rsidRPr="00C33C38" w:rsidRDefault="005E314D" w:rsidP="00256624">
      <w:pPr>
        <w:spacing w:line="240" w:lineRule="auto"/>
        <w:rPr>
          <w:sz w:val="19"/>
          <w:szCs w:val="19"/>
        </w:rPr>
      </w:pPr>
      <w:r w:rsidRPr="00C33C38">
        <w:rPr>
          <w:sz w:val="19"/>
          <w:szCs w:val="19"/>
        </w:rPr>
        <w:separator/>
      </w:r>
    </w:p>
    <w:p w14:paraId="1840B079" w14:textId="77777777" w:rsidR="005E314D" w:rsidRDefault="005E314D"/>
    <w:p w14:paraId="04BECAE8" w14:textId="77777777" w:rsidR="005E314D" w:rsidRDefault="005E314D"/>
    <w:p w14:paraId="267ADB8F" w14:textId="77777777" w:rsidR="005E314D" w:rsidRDefault="005E314D"/>
  </w:endnote>
  <w:endnote w:type="continuationSeparator" w:id="0">
    <w:p w14:paraId="5765AD92" w14:textId="77777777" w:rsidR="005E314D" w:rsidRPr="00C33C38" w:rsidRDefault="005E314D" w:rsidP="00256624">
      <w:pPr>
        <w:spacing w:line="240" w:lineRule="auto"/>
        <w:rPr>
          <w:sz w:val="19"/>
          <w:szCs w:val="19"/>
        </w:rPr>
      </w:pPr>
      <w:r w:rsidRPr="00C33C38">
        <w:rPr>
          <w:sz w:val="19"/>
          <w:szCs w:val="19"/>
        </w:rPr>
        <w:continuationSeparator/>
      </w:r>
    </w:p>
    <w:p w14:paraId="72C09141" w14:textId="77777777" w:rsidR="005E314D" w:rsidRDefault="005E314D"/>
    <w:p w14:paraId="609154EF" w14:textId="77777777" w:rsidR="005E314D" w:rsidRDefault="005E314D"/>
    <w:p w14:paraId="42744B70" w14:textId="77777777" w:rsidR="005E314D" w:rsidRDefault="005E314D"/>
  </w:endnote>
  <w:endnote w:type="continuationNotice" w:id="1">
    <w:p w14:paraId="55F5885D" w14:textId="77777777" w:rsidR="005E314D" w:rsidRDefault="005E31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90AD" w14:textId="77777777" w:rsidR="005E314D" w:rsidRPr="005F4D7E" w:rsidRDefault="005E314D" w:rsidP="00BF472F">
      <w:pPr>
        <w:pStyle w:val="BodyText"/>
      </w:pPr>
      <w:r w:rsidRPr="005F4D7E">
        <w:separator/>
      </w:r>
    </w:p>
    <w:p w14:paraId="089A03E2" w14:textId="77777777" w:rsidR="005E314D" w:rsidRDefault="005E314D"/>
    <w:p w14:paraId="1793B013" w14:textId="77777777" w:rsidR="005E314D" w:rsidRDefault="005E314D"/>
  </w:footnote>
  <w:footnote w:type="continuationSeparator" w:id="0">
    <w:p w14:paraId="1A268A25" w14:textId="77777777" w:rsidR="005E314D" w:rsidRPr="00C33C38" w:rsidRDefault="005E314D" w:rsidP="005F4D7E">
      <w:r w:rsidRPr="00C33C38">
        <w:continuationSeparator/>
      </w:r>
    </w:p>
    <w:p w14:paraId="538E7AC4" w14:textId="77777777" w:rsidR="005E314D" w:rsidRDefault="005E314D"/>
    <w:p w14:paraId="1C089C6E" w14:textId="77777777" w:rsidR="005E314D" w:rsidRDefault="005E314D"/>
  </w:footnote>
  <w:footnote w:type="continuationNotice" w:id="1">
    <w:p w14:paraId="0B35CE26" w14:textId="77777777" w:rsidR="005E314D" w:rsidRPr="005F4D7E" w:rsidRDefault="005E314D" w:rsidP="00C97369">
      <w:pPr>
        <w:pStyle w:val="Footer"/>
      </w:pPr>
    </w:p>
    <w:p w14:paraId="2A3239DC" w14:textId="77777777" w:rsidR="005E314D" w:rsidRDefault="005E314D"/>
    <w:p w14:paraId="63E26D49" w14:textId="77777777" w:rsidR="005E314D" w:rsidRDefault="005E314D"/>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4">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5">
    <w:p w14:paraId="104952B2" w14:textId="0D4C9C74" w:rsidR="00291643" w:rsidRPr="00291643" w:rsidRDefault="00291643">
      <w:pPr>
        <w:pStyle w:val="FootnoteText"/>
        <w:rPr>
          <w:lang w:val="en-US"/>
        </w:rPr>
      </w:pPr>
      <w:r>
        <w:rPr>
          <w:rStyle w:val="FootnoteReference"/>
        </w:rPr>
        <w:footnoteRef/>
      </w:r>
      <w:r>
        <w:t xml:space="preserve"> </w:t>
      </w:r>
      <w:r w:rsidRPr="00291643">
        <w:t>https://learn.microsoft.com/en-us/azure/well-architected/service-guides/application-insights/operational-excellence</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42A9543A" w14:textId="5705BB49" w:rsidR="00013035" w:rsidRPr="00013035" w:rsidRDefault="00013035">
      <w:pPr>
        <w:pStyle w:val="FootnoteText"/>
        <w:rPr>
          <w:lang w:val="en-US"/>
        </w:rPr>
      </w:pPr>
      <w:r>
        <w:rPr>
          <w:rStyle w:val="FootnoteReference"/>
        </w:rPr>
        <w:footnoteRef/>
      </w:r>
      <w:r>
        <w:t xml:space="preserve"> </w:t>
      </w:r>
      <w:r w:rsidRPr="00013035">
        <w:t>https://learn.microsoft.com/en-us/security/benchmark/azure/baselines/azure-monitor-security-baseline</w:t>
      </w:r>
    </w:p>
  </w:footnote>
  <w:footnote w:id="9">
    <w:p w14:paraId="53727C1C" w14:textId="26D50769" w:rsidR="00481C06" w:rsidRPr="00481C06" w:rsidRDefault="00481C06">
      <w:pPr>
        <w:pStyle w:val="FootnoteText"/>
        <w:rPr>
          <w:lang w:val="en-US"/>
        </w:rPr>
      </w:pPr>
      <w:r>
        <w:rPr>
          <w:rStyle w:val="FootnoteReference"/>
        </w:rPr>
        <w:footnoteRef/>
      </w:r>
      <w:r>
        <w:t xml:space="preserve"> </w:t>
      </w:r>
      <w:r w:rsidRPr="00481C06">
        <w:t>https://learn.microsoft.com/en-us/azure/azure-monitor/overview</w:t>
      </w:r>
    </w:p>
  </w:footnote>
  <w:footnote w:id="10">
    <w:p w14:paraId="6139763F" w14:textId="3EB85F30" w:rsidR="007228C8" w:rsidRPr="007228C8" w:rsidRDefault="007228C8">
      <w:pPr>
        <w:pStyle w:val="FootnoteText"/>
        <w:rPr>
          <w:lang w:val="en-US"/>
        </w:rPr>
      </w:pPr>
      <w:r>
        <w:rPr>
          <w:rStyle w:val="FootnoteReference"/>
        </w:rPr>
        <w:footnoteRef/>
      </w:r>
      <w:r>
        <w:t xml:space="preserve"> </w:t>
      </w:r>
      <w:r w:rsidRPr="007228C8">
        <w:t>https://learn.microsoft.com/en-us/azure/azure-monitor/best-practices-data-collection</w:t>
      </w:r>
    </w:p>
  </w:footnote>
  <w:footnote w:id="11">
    <w:p w14:paraId="4E141D76" w14:textId="59AB59C0" w:rsidR="00C71EE3" w:rsidRPr="00C71EE3" w:rsidRDefault="00C71EE3">
      <w:pPr>
        <w:pStyle w:val="FootnoteText"/>
        <w:rPr>
          <w:lang w:val="en-US"/>
        </w:rPr>
      </w:pPr>
      <w:r>
        <w:rPr>
          <w:rStyle w:val="FootnoteReference"/>
        </w:rPr>
        <w:footnoteRef/>
      </w:r>
      <w:r>
        <w:t xml:space="preserve"> </w:t>
      </w:r>
      <w:r w:rsidRPr="00C71EE3">
        <w:t>https://learn.microsoft.com/en-us/azure/azure-monitor/insights/insights-overview</w:t>
      </w:r>
    </w:p>
  </w:footnote>
  <w:footnote w:id="12">
    <w:p w14:paraId="3617304F" w14:textId="7DB13ED1" w:rsidR="00F21B19" w:rsidRPr="00F21B19" w:rsidRDefault="00F21B19">
      <w:pPr>
        <w:pStyle w:val="FootnoteText"/>
        <w:rPr>
          <w:lang w:val="en-US"/>
        </w:rPr>
      </w:pPr>
      <w:r>
        <w:rPr>
          <w:rStyle w:val="FootnoteReference"/>
        </w:rPr>
        <w:footnoteRef/>
      </w:r>
      <w:r>
        <w:t xml:space="preserve"> </w:t>
      </w:r>
      <w:r w:rsidRPr="00F21B19">
        <w:t>https://learn.microsoft.com/en-us/azure/azure-monitor/roles-permissions-security#built-in-monitoring-roles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56C6C483" w:rsidR="00D64C53" w:rsidRPr="00820A6B" w:rsidRDefault="00DF4399" w:rsidP="00820A6B">
    <w:pPr>
      <w:pStyle w:val="Header"/>
      <w:rPr>
        <w:color w:val="auto"/>
        <w:sz w:val="20"/>
        <w:szCs w:val="20"/>
      </w:rPr>
    </w:pPr>
    <w:r w:rsidRPr="00820A6B">
      <w:rPr>
        <w:noProof/>
        <w:color w:val="auto"/>
        <w:spacing w:val="-11"/>
        <w:sz w:val="72"/>
        <w:szCs w:val="96"/>
        <w:shd w:val="clear" w:color="auto" w:fill="E6E6E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shd w:val="clear" w:color="auto" w:fill="E6E6E6"/>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CB62C3">
          <w:rPr>
            <w:color w:val="auto"/>
            <w:sz w:val="20"/>
            <w:szCs w:val="20"/>
          </w:rPr>
          <w:t>Azure Monitor and Insights</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9BF7585"/>
    <w:multiLevelType w:val="hybridMultilevel"/>
    <w:tmpl w:val="A3C67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2F93958"/>
    <w:multiLevelType w:val="hybridMultilevel"/>
    <w:tmpl w:val="5E729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3A8675A5"/>
    <w:multiLevelType w:val="hybridMultilevel"/>
    <w:tmpl w:val="2054B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153A12"/>
    <w:multiLevelType w:val="hybridMultilevel"/>
    <w:tmpl w:val="2B141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5"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0"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1" w15:restartNumberingAfterBreak="0">
    <w:nsid w:val="5CE15AEF"/>
    <w:multiLevelType w:val="hybridMultilevel"/>
    <w:tmpl w:val="7D86F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5"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8"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7F129B"/>
    <w:multiLevelType w:val="hybridMultilevel"/>
    <w:tmpl w:val="0EB23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3"/>
  </w:num>
  <w:num w:numId="3" w16cid:durableId="1518273573">
    <w:abstractNumId w:val="0"/>
  </w:num>
  <w:num w:numId="4" w16cid:durableId="331490005">
    <w:abstractNumId w:val="14"/>
  </w:num>
  <w:num w:numId="5" w16cid:durableId="1883208813">
    <w:abstractNumId w:val="17"/>
  </w:num>
  <w:num w:numId="6" w16cid:durableId="1009648220">
    <w:abstractNumId w:val="26"/>
  </w:num>
  <w:num w:numId="7" w16cid:durableId="1148132004">
    <w:abstractNumId w:val="2"/>
  </w:num>
  <w:num w:numId="8" w16cid:durableId="188762563">
    <w:abstractNumId w:val="4"/>
  </w:num>
  <w:num w:numId="9" w16cid:durableId="129715755">
    <w:abstractNumId w:val="20"/>
  </w:num>
  <w:num w:numId="10" w16cid:durableId="238442199">
    <w:abstractNumId w:val="28"/>
  </w:num>
  <w:num w:numId="11" w16cid:durableId="1425227610">
    <w:abstractNumId w:val="40"/>
  </w:num>
  <w:num w:numId="12" w16cid:durableId="1809323372">
    <w:abstractNumId w:val="7"/>
  </w:num>
  <w:num w:numId="13" w16cid:durableId="570582799">
    <w:abstractNumId w:val="36"/>
  </w:num>
  <w:num w:numId="14" w16cid:durableId="1111240024">
    <w:abstractNumId w:val="22"/>
  </w:num>
  <w:num w:numId="15" w16cid:durableId="819345174">
    <w:abstractNumId w:val="3"/>
  </w:num>
  <w:num w:numId="16" w16cid:durableId="1647275130">
    <w:abstractNumId w:val="33"/>
  </w:num>
  <w:num w:numId="17" w16cid:durableId="474832808">
    <w:abstractNumId w:val="19"/>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9"/>
  </w:num>
  <w:num w:numId="25" w16cid:durableId="251087149">
    <w:abstractNumId w:val="10"/>
  </w:num>
  <w:num w:numId="26" w16cid:durableId="147866691">
    <w:abstractNumId w:val="42"/>
  </w:num>
  <w:num w:numId="27" w16cid:durableId="635766740">
    <w:abstractNumId w:val="38"/>
  </w:num>
  <w:num w:numId="28" w16cid:durableId="79109722">
    <w:abstractNumId w:val="2"/>
  </w:num>
  <w:num w:numId="29" w16cid:durableId="874195412">
    <w:abstractNumId w:val="34"/>
  </w:num>
  <w:num w:numId="30" w16cid:durableId="1736583244">
    <w:abstractNumId w:val="9"/>
  </w:num>
  <w:num w:numId="31" w16cid:durableId="1167750566">
    <w:abstractNumId w:val="8"/>
  </w:num>
  <w:num w:numId="32" w16cid:durableId="1983267767">
    <w:abstractNumId w:val="39"/>
  </w:num>
  <w:num w:numId="33" w16cid:durableId="1762294583">
    <w:abstractNumId w:val="25"/>
  </w:num>
  <w:num w:numId="34" w16cid:durableId="589892682">
    <w:abstractNumId w:val="11"/>
  </w:num>
  <w:num w:numId="35" w16cid:durableId="1685206214">
    <w:abstractNumId w:val="31"/>
  </w:num>
  <w:num w:numId="36" w16cid:durableId="1028406885">
    <w:abstractNumId w:val="41"/>
  </w:num>
  <w:num w:numId="37" w16cid:durableId="1448499817">
    <w:abstractNumId w:val="18"/>
  </w:num>
  <w:num w:numId="38" w16cid:durableId="1072461233">
    <w:abstractNumId w:val="35"/>
  </w:num>
  <w:num w:numId="39" w16cid:durableId="587739800">
    <w:abstractNumId w:val="21"/>
  </w:num>
  <w:num w:numId="40" w16cid:durableId="1440219797">
    <w:abstractNumId w:val="2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nd, Jeremy">
    <w15:presenceInfo w15:providerId="AD" w15:userId="S::Jeremy.Pond@ambulance.vic.gov.au::aedccd2d-b9c9-49d6-97d2-a72360bbdd0d"/>
  </w15:person>
  <w15:person w15:author="Dani Nikolic">
    <w15:presenceInfo w15:providerId="AD" w15:userId="S::dani.nikolic_au.logicalis.com#ext#@ambulancevic.onmicrosoft.com::64e70f68-6087-4241-9c02-ccce87503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3035"/>
    <w:rsid w:val="000142A8"/>
    <w:rsid w:val="00014392"/>
    <w:rsid w:val="00015E3C"/>
    <w:rsid w:val="0001659D"/>
    <w:rsid w:val="00016CDD"/>
    <w:rsid w:val="00020425"/>
    <w:rsid w:val="00021D5F"/>
    <w:rsid w:val="00021E0F"/>
    <w:rsid w:val="000230E5"/>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37689"/>
    <w:rsid w:val="00041613"/>
    <w:rsid w:val="00042C1C"/>
    <w:rsid w:val="000436A1"/>
    <w:rsid w:val="000446D2"/>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170"/>
    <w:rsid w:val="00081840"/>
    <w:rsid w:val="000818A1"/>
    <w:rsid w:val="0008270F"/>
    <w:rsid w:val="00082CAC"/>
    <w:rsid w:val="00084022"/>
    <w:rsid w:val="000840C4"/>
    <w:rsid w:val="000844FF"/>
    <w:rsid w:val="000856E6"/>
    <w:rsid w:val="00085D23"/>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1F5D"/>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981"/>
    <w:rsid w:val="000B3E9E"/>
    <w:rsid w:val="000B59CB"/>
    <w:rsid w:val="000B5C93"/>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524"/>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385"/>
    <w:rsid w:val="00126984"/>
    <w:rsid w:val="00127071"/>
    <w:rsid w:val="001271B7"/>
    <w:rsid w:val="00127C8A"/>
    <w:rsid w:val="00127D0A"/>
    <w:rsid w:val="0013044E"/>
    <w:rsid w:val="001320DB"/>
    <w:rsid w:val="00133CEB"/>
    <w:rsid w:val="001345C2"/>
    <w:rsid w:val="00135557"/>
    <w:rsid w:val="00135F7E"/>
    <w:rsid w:val="00135FD4"/>
    <w:rsid w:val="00136233"/>
    <w:rsid w:val="001369AB"/>
    <w:rsid w:val="00136F1B"/>
    <w:rsid w:val="00137A24"/>
    <w:rsid w:val="0014019A"/>
    <w:rsid w:val="00140BB8"/>
    <w:rsid w:val="0014220A"/>
    <w:rsid w:val="0014348A"/>
    <w:rsid w:val="0014394D"/>
    <w:rsid w:val="001440E1"/>
    <w:rsid w:val="00144D82"/>
    <w:rsid w:val="00144DE1"/>
    <w:rsid w:val="00145E72"/>
    <w:rsid w:val="00146947"/>
    <w:rsid w:val="0014722D"/>
    <w:rsid w:val="001503F4"/>
    <w:rsid w:val="00150AD0"/>
    <w:rsid w:val="00152AF0"/>
    <w:rsid w:val="00152DEB"/>
    <w:rsid w:val="001536B2"/>
    <w:rsid w:val="00155B41"/>
    <w:rsid w:val="001563A2"/>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8AF"/>
    <w:rsid w:val="00170B7E"/>
    <w:rsid w:val="001714B5"/>
    <w:rsid w:val="00171644"/>
    <w:rsid w:val="00171B34"/>
    <w:rsid w:val="00171E9C"/>
    <w:rsid w:val="0017256E"/>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18C2"/>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2E43"/>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2628"/>
    <w:rsid w:val="00202D57"/>
    <w:rsid w:val="0020353C"/>
    <w:rsid w:val="00203F20"/>
    <w:rsid w:val="00204BE7"/>
    <w:rsid w:val="00206566"/>
    <w:rsid w:val="002068CE"/>
    <w:rsid w:val="002071C2"/>
    <w:rsid w:val="00207359"/>
    <w:rsid w:val="00207596"/>
    <w:rsid w:val="002076E7"/>
    <w:rsid w:val="0021105E"/>
    <w:rsid w:val="002114AD"/>
    <w:rsid w:val="00211AC5"/>
    <w:rsid w:val="00211B7F"/>
    <w:rsid w:val="00211D61"/>
    <w:rsid w:val="0021200B"/>
    <w:rsid w:val="00212389"/>
    <w:rsid w:val="0021307D"/>
    <w:rsid w:val="00213631"/>
    <w:rsid w:val="002146AD"/>
    <w:rsid w:val="0021563A"/>
    <w:rsid w:val="00215847"/>
    <w:rsid w:val="0022074F"/>
    <w:rsid w:val="00220C7E"/>
    <w:rsid w:val="00220FAA"/>
    <w:rsid w:val="00222422"/>
    <w:rsid w:val="0022267A"/>
    <w:rsid w:val="0022355E"/>
    <w:rsid w:val="0022383C"/>
    <w:rsid w:val="00224167"/>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0E3"/>
    <w:rsid w:val="00245C45"/>
    <w:rsid w:val="00246234"/>
    <w:rsid w:val="0024629C"/>
    <w:rsid w:val="00246892"/>
    <w:rsid w:val="00247DAF"/>
    <w:rsid w:val="00247E92"/>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618"/>
    <w:rsid w:val="0026567A"/>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643"/>
    <w:rsid w:val="0029187A"/>
    <w:rsid w:val="00294D0B"/>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6E5"/>
    <w:rsid w:val="002B6B22"/>
    <w:rsid w:val="002B7038"/>
    <w:rsid w:val="002B7060"/>
    <w:rsid w:val="002B742D"/>
    <w:rsid w:val="002B7B5A"/>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103"/>
    <w:rsid w:val="002E5C59"/>
    <w:rsid w:val="002E5E0C"/>
    <w:rsid w:val="002E6528"/>
    <w:rsid w:val="002E674E"/>
    <w:rsid w:val="002E6E22"/>
    <w:rsid w:val="002F00B2"/>
    <w:rsid w:val="002F0D9F"/>
    <w:rsid w:val="002F1BE3"/>
    <w:rsid w:val="002F28CE"/>
    <w:rsid w:val="002F329F"/>
    <w:rsid w:val="002F3731"/>
    <w:rsid w:val="002F3831"/>
    <w:rsid w:val="002F3ED9"/>
    <w:rsid w:val="002F47C0"/>
    <w:rsid w:val="002F5212"/>
    <w:rsid w:val="002F5B9E"/>
    <w:rsid w:val="002F5C56"/>
    <w:rsid w:val="003007C6"/>
    <w:rsid w:val="003008C0"/>
    <w:rsid w:val="003008C9"/>
    <w:rsid w:val="00300B53"/>
    <w:rsid w:val="00301647"/>
    <w:rsid w:val="0030259D"/>
    <w:rsid w:val="0030427C"/>
    <w:rsid w:val="003042E2"/>
    <w:rsid w:val="00306578"/>
    <w:rsid w:val="00306C20"/>
    <w:rsid w:val="003100ED"/>
    <w:rsid w:val="00311568"/>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874"/>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0EB3"/>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2AE"/>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36B"/>
    <w:rsid w:val="0038455A"/>
    <w:rsid w:val="00387731"/>
    <w:rsid w:val="003915C3"/>
    <w:rsid w:val="0039282D"/>
    <w:rsid w:val="0039293D"/>
    <w:rsid w:val="003930BB"/>
    <w:rsid w:val="0039477E"/>
    <w:rsid w:val="00394CD7"/>
    <w:rsid w:val="0039515B"/>
    <w:rsid w:val="003954FA"/>
    <w:rsid w:val="003960B3"/>
    <w:rsid w:val="0039701A"/>
    <w:rsid w:val="003972DF"/>
    <w:rsid w:val="00397F7A"/>
    <w:rsid w:val="003A02AE"/>
    <w:rsid w:val="003A0965"/>
    <w:rsid w:val="003A0F33"/>
    <w:rsid w:val="003A205E"/>
    <w:rsid w:val="003A2F93"/>
    <w:rsid w:val="003A362B"/>
    <w:rsid w:val="003A3FB4"/>
    <w:rsid w:val="003A3FE9"/>
    <w:rsid w:val="003A4666"/>
    <w:rsid w:val="003A5ADF"/>
    <w:rsid w:val="003A6115"/>
    <w:rsid w:val="003A6A80"/>
    <w:rsid w:val="003A738E"/>
    <w:rsid w:val="003A76AB"/>
    <w:rsid w:val="003A7E6D"/>
    <w:rsid w:val="003B06EB"/>
    <w:rsid w:val="003B14B9"/>
    <w:rsid w:val="003B198A"/>
    <w:rsid w:val="003B1D62"/>
    <w:rsid w:val="003B1FD5"/>
    <w:rsid w:val="003B2299"/>
    <w:rsid w:val="003B2C63"/>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6628"/>
    <w:rsid w:val="003C79B3"/>
    <w:rsid w:val="003D0C47"/>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0C98"/>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1CAC"/>
    <w:rsid w:val="00412ABA"/>
    <w:rsid w:val="0041376D"/>
    <w:rsid w:val="00414276"/>
    <w:rsid w:val="00414C7D"/>
    <w:rsid w:val="004153C7"/>
    <w:rsid w:val="00415DAB"/>
    <w:rsid w:val="00415F10"/>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27FC7"/>
    <w:rsid w:val="00430175"/>
    <w:rsid w:val="00430313"/>
    <w:rsid w:val="00430442"/>
    <w:rsid w:val="00430A40"/>
    <w:rsid w:val="004325A7"/>
    <w:rsid w:val="004335DB"/>
    <w:rsid w:val="004335F0"/>
    <w:rsid w:val="00433F43"/>
    <w:rsid w:val="00434060"/>
    <w:rsid w:val="00434A75"/>
    <w:rsid w:val="004350A2"/>
    <w:rsid w:val="004352F7"/>
    <w:rsid w:val="004356CF"/>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51A"/>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339"/>
    <w:rsid w:val="00460485"/>
    <w:rsid w:val="004609B5"/>
    <w:rsid w:val="00460A48"/>
    <w:rsid w:val="00460B70"/>
    <w:rsid w:val="00460C06"/>
    <w:rsid w:val="00461467"/>
    <w:rsid w:val="0046149F"/>
    <w:rsid w:val="0046152D"/>
    <w:rsid w:val="00461991"/>
    <w:rsid w:val="004620C7"/>
    <w:rsid w:val="00462725"/>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C06"/>
    <w:rsid w:val="00481F7F"/>
    <w:rsid w:val="0048252F"/>
    <w:rsid w:val="0048263F"/>
    <w:rsid w:val="00483319"/>
    <w:rsid w:val="0048370C"/>
    <w:rsid w:val="00483804"/>
    <w:rsid w:val="00483A93"/>
    <w:rsid w:val="00484F7A"/>
    <w:rsid w:val="00485859"/>
    <w:rsid w:val="00486331"/>
    <w:rsid w:val="0048667B"/>
    <w:rsid w:val="004867EE"/>
    <w:rsid w:val="00486A5D"/>
    <w:rsid w:val="00487320"/>
    <w:rsid w:val="00487817"/>
    <w:rsid w:val="00490510"/>
    <w:rsid w:val="00490CD1"/>
    <w:rsid w:val="004912BA"/>
    <w:rsid w:val="00492527"/>
    <w:rsid w:val="004928B5"/>
    <w:rsid w:val="00493C40"/>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3320"/>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2B"/>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4C4"/>
    <w:rsid w:val="0050791B"/>
    <w:rsid w:val="0050794F"/>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053C"/>
    <w:rsid w:val="00531BE4"/>
    <w:rsid w:val="005327B9"/>
    <w:rsid w:val="00533304"/>
    <w:rsid w:val="00533D36"/>
    <w:rsid w:val="0053481B"/>
    <w:rsid w:val="00534C52"/>
    <w:rsid w:val="00535041"/>
    <w:rsid w:val="00535B30"/>
    <w:rsid w:val="005367BF"/>
    <w:rsid w:val="00536999"/>
    <w:rsid w:val="0053703D"/>
    <w:rsid w:val="00537683"/>
    <w:rsid w:val="005376A9"/>
    <w:rsid w:val="0053776D"/>
    <w:rsid w:val="00540E92"/>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85D"/>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5ED9"/>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98F"/>
    <w:rsid w:val="00593EF8"/>
    <w:rsid w:val="005947B6"/>
    <w:rsid w:val="00594853"/>
    <w:rsid w:val="00597A14"/>
    <w:rsid w:val="00597C8E"/>
    <w:rsid w:val="00597D79"/>
    <w:rsid w:val="005A0691"/>
    <w:rsid w:val="005A09FD"/>
    <w:rsid w:val="005A345C"/>
    <w:rsid w:val="005A46E2"/>
    <w:rsid w:val="005A47ED"/>
    <w:rsid w:val="005A4C99"/>
    <w:rsid w:val="005A56E5"/>
    <w:rsid w:val="005A5F39"/>
    <w:rsid w:val="005A69D8"/>
    <w:rsid w:val="005A7C37"/>
    <w:rsid w:val="005B0B53"/>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314D"/>
    <w:rsid w:val="005E483E"/>
    <w:rsid w:val="005E562C"/>
    <w:rsid w:val="005E58E2"/>
    <w:rsid w:val="005E69D4"/>
    <w:rsid w:val="005E6A00"/>
    <w:rsid w:val="005F0A6A"/>
    <w:rsid w:val="005F1098"/>
    <w:rsid w:val="005F1C91"/>
    <w:rsid w:val="005F253E"/>
    <w:rsid w:val="005F2AD6"/>
    <w:rsid w:val="005F2FD2"/>
    <w:rsid w:val="005F3BFD"/>
    <w:rsid w:val="005F3C61"/>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7DB"/>
    <w:rsid w:val="00632F36"/>
    <w:rsid w:val="0063360F"/>
    <w:rsid w:val="00633B64"/>
    <w:rsid w:val="006358BC"/>
    <w:rsid w:val="00635921"/>
    <w:rsid w:val="00635B39"/>
    <w:rsid w:val="006364F7"/>
    <w:rsid w:val="00637D44"/>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1E6"/>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6444"/>
    <w:rsid w:val="00697182"/>
    <w:rsid w:val="00697C15"/>
    <w:rsid w:val="00697DDB"/>
    <w:rsid w:val="006A0EE1"/>
    <w:rsid w:val="006A1289"/>
    <w:rsid w:val="006A1F33"/>
    <w:rsid w:val="006A3767"/>
    <w:rsid w:val="006A384C"/>
    <w:rsid w:val="006A4297"/>
    <w:rsid w:val="006A475A"/>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69F"/>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6A1"/>
    <w:rsid w:val="0072084C"/>
    <w:rsid w:val="007212F4"/>
    <w:rsid w:val="007217F6"/>
    <w:rsid w:val="00721B0D"/>
    <w:rsid w:val="00722328"/>
    <w:rsid w:val="007223EA"/>
    <w:rsid w:val="007228C8"/>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19C1"/>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1A00"/>
    <w:rsid w:val="007522B6"/>
    <w:rsid w:val="0075306A"/>
    <w:rsid w:val="007533AB"/>
    <w:rsid w:val="00753CBF"/>
    <w:rsid w:val="00754C63"/>
    <w:rsid w:val="0075510F"/>
    <w:rsid w:val="00755453"/>
    <w:rsid w:val="007557C7"/>
    <w:rsid w:val="0075649A"/>
    <w:rsid w:val="00756864"/>
    <w:rsid w:val="00760D0A"/>
    <w:rsid w:val="00761B6C"/>
    <w:rsid w:val="00762089"/>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35FC"/>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2CF"/>
    <w:rsid w:val="007A0CFA"/>
    <w:rsid w:val="007A0EE2"/>
    <w:rsid w:val="007A1F1B"/>
    <w:rsid w:val="007A301B"/>
    <w:rsid w:val="007A30E3"/>
    <w:rsid w:val="007A3A14"/>
    <w:rsid w:val="007A502F"/>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E31"/>
    <w:rsid w:val="00834F97"/>
    <w:rsid w:val="0083537A"/>
    <w:rsid w:val="008353AA"/>
    <w:rsid w:val="00835C6A"/>
    <w:rsid w:val="0083677C"/>
    <w:rsid w:val="00837434"/>
    <w:rsid w:val="0083767B"/>
    <w:rsid w:val="008404D4"/>
    <w:rsid w:val="008407E2"/>
    <w:rsid w:val="00840F2D"/>
    <w:rsid w:val="00842263"/>
    <w:rsid w:val="00844025"/>
    <w:rsid w:val="00844747"/>
    <w:rsid w:val="00845AE6"/>
    <w:rsid w:val="0084608A"/>
    <w:rsid w:val="00846561"/>
    <w:rsid w:val="008473E4"/>
    <w:rsid w:val="00847557"/>
    <w:rsid w:val="008477DF"/>
    <w:rsid w:val="00847880"/>
    <w:rsid w:val="0085057E"/>
    <w:rsid w:val="00851AAA"/>
    <w:rsid w:val="0085212A"/>
    <w:rsid w:val="0085262C"/>
    <w:rsid w:val="00852D2C"/>
    <w:rsid w:val="00852FBD"/>
    <w:rsid w:val="0085347B"/>
    <w:rsid w:val="008540B1"/>
    <w:rsid w:val="008546FB"/>
    <w:rsid w:val="008547D8"/>
    <w:rsid w:val="00854875"/>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5E3E"/>
    <w:rsid w:val="0086637C"/>
    <w:rsid w:val="00866D46"/>
    <w:rsid w:val="00867018"/>
    <w:rsid w:val="00867D73"/>
    <w:rsid w:val="008700B8"/>
    <w:rsid w:val="00870965"/>
    <w:rsid w:val="00870A00"/>
    <w:rsid w:val="00870E66"/>
    <w:rsid w:val="00871382"/>
    <w:rsid w:val="008717E0"/>
    <w:rsid w:val="008718A2"/>
    <w:rsid w:val="008719A5"/>
    <w:rsid w:val="00871A40"/>
    <w:rsid w:val="00872704"/>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8C4"/>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7F2"/>
    <w:rsid w:val="008A38B7"/>
    <w:rsid w:val="008A4B37"/>
    <w:rsid w:val="008A57DD"/>
    <w:rsid w:val="008A5F2B"/>
    <w:rsid w:val="008A6121"/>
    <w:rsid w:val="008A67A7"/>
    <w:rsid w:val="008A76B6"/>
    <w:rsid w:val="008A7DDE"/>
    <w:rsid w:val="008A7EC1"/>
    <w:rsid w:val="008B020C"/>
    <w:rsid w:val="008B06E2"/>
    <w:rsid w:val="008B10A3"/>
    <w:rsid w:val="008B18C9"/>
    <w:rsid w:val="008B224E"/>
    <w:rsid w:val="008B2B57"/>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4A4"/>
    <w:rsid w:val="008C5770"/>
    <w:rsid w:val="008C5A3E"/>
    <w:rsid w:val="008C612C"/>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098F"/>
    <w:rsid w:val="008F1D01"/>
    <w:rsid w:val="008F1DF6"/>
    <w:rsid w:val="008F2B26"/>
    <w:rsid w:val="008F55C8"/>
    <w:rsid w:val="008F5757"/>
    <w:rsid w:val="008F6866"/>
    <w:rsid w:val="008F7501"/>
    <w:rsid w:val="00900129"/>
    <w:rsid w:val="009004A6"/>
    <w:rsid w:val="0090090A"/>
    <w:rsid w:val="00900C0C"/>
    <w:rsid w:val="00900E43"/>
    <w:rsid w:val="0090120B"/>
    <w:rsid w:val="00903693"/>
    <w:rsid w:val="00904F2D"/>
    <w:rsid w:val="009063BC"/>
    <w:rsid w:val="009068BC"/>
    <w:rsid w:val="00906DF8"/>
    <w:rsid w:val="0090780F"/>
    <w:rsid w:val="0090788B"/>
    <w:rsid w:val="00910243"/>
    <w:rsid w:val="0091073A"/>
    <w:rsid w:val="00910879"/>
    <w:rsid w:val="00911357"/>
    <w:rsid w:val="00912521"/>
    <w:rsid w:val="00912CF7"/>
    <w:rsid w:val="00913328"/>
    <w:rsid w:val="00913B7A"/>
    <w:rsid w:val="00914B74"/>
    <w:rsid w:val="00917E5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B92"/>
    <w:rsid w:val="00932C92"/>
    <w:rsid w:val="009337AC"/>
    <w:rsid w:val="009338B9"/>
    <w:rsid w:val="00934701"/>
    <w:rsid w:val="00934B3E"/>
    <w:rsid w:val="009352B2"/>
    <w:rsid w:val="0093548A"/>
    <w:rsid w:val="00937054"/>
    <w:rsid w:val="00940A90"/>
    <w:rsid w:val="00940F4E"/>
    <w:rsid w:val="00941014"/>
    <w:rsid w:val="00941AC7"/>
    <w:rsid w:val="00942831"/>
    <w:rsid w:val="009435EC"/>
    <w:rsid w:val="00943D1A"/>
    <w:rsid w:val="00944933"/>
    <w:rsid w:val="0094574D"/>
    <w:rsid w:val="0094658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67B7B"/>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87F3A"/>
    <w:rsid w:val="00990EE2"/>
    <w:rsid w:val="00990F4D"/>
    <w:rsid w:val="00992389"/>
    <w:rsid w:val="00992DC5"/>
    <w:rsid w:val="00993061"/>
    <w:rsid w:val="009937DD"/>
    <w:rsid w:val="00993EF6"/>
    <w:rsid w:val="0099409A"/>
    <w:rsid w:val="00994251"/>
    <w:rsid w:val="00994BA9"/>
    <w:rsid w:val="0099513A"/>
    <w:rsid w:val="00995567"/>
    <w:rsid w:val="009957DF"/>
    <w:rsid w:val="00997097"/>
    <w:rsid w:val="0099712F"/>
    <w:rsid w:val="00997788"/>
    <w:rsid w:val="00997FA3"/>
    <w:rsid w:val="009A0CCF"/>
    <w:rsid w:val="009A0F38"/>
    <w:rsid w:val="009A1405"/>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1DFE"/>
    <w:rsid w:val="009B2E13"/>
    <w:rsid w:val="009B3B6E"/>
    <w:rsid w:val="009C058E"/>
    <w:rsid w:val="009C0735"/>
    <w:rsid w:val="009C1540"/>
    <w:rsid w:val="009C1676"/>
    <w:rsid w:val="009C2178"/>
    <w:rsid w:val="009C27D3"/>
    <w:rsid w:val="009C3118"/>
    <w:rsid w:val="009C3E6B"/>
    <w:rsid w:val="009C44E9"/>
    <w:rsid w:val="009C5DBD"/>
    <w:rsid w:val="009C72D5"/>
    <w:rsid w:val="009C76BC"/>
    <w:rsid w:val="009C77FB"/>
    <w:rsid w:val="009C7F8C"/>
    <w:rsid w:val="009D01DD"/>
    <w:rsid w:val="009D13FA"/>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0139"/>
    <w:rsid w:val="00A01080"/>
    <w:rsid w:val="00A0172F"/>
    <w:rsid w:val="00A01DCD"/>
    <w:rsid w:val="00A02687"/>
    <w:rsid w:val="00A027A4"/>
    <w:rsid w:val="00A02F17"/>
    <w:rsid w:val="00A03776"/>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6FD8"/>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49C"/>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534F"/>
    <w:rsid w:val="00A86341"/>
    <w:rsid w:val="00A86E56"/>
    <w:rsid w:val="00A871D6"/>
    <w:rsid w:val="00A87653"/>
    <w:rsid w:val="00A903B8"/>
    <w:rsid w:val="00A90A20"/>
    <w:rsid w:val="00A91763"/>
    <w:rsid w:val="00A93204"/>
    <w:rsid w:val="00A936FC"/>
    <w:rsid w:val="00A9388E"/>
    <w:rsid w:val="00A93E72"/>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2C3B"/>
    <w:rsid w:val="00AF4579"/>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17E"/>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013"/>
    <w:rsid w:val="00B3623E"/>
    <w:rsid w:val="00B36966"/>
    <w:rsid w:val="00B36E71"/>
    <w:rsid w:val="00B36F32"/>
    <w:rsid w:val="00B37969"/>
    <w:rsid w:val="00B37A78"/>
    <w:rsid w:val="00B419FF"/>
    <w:rsid w:val="00B41FD4"/>
    <w:rsid w:val="00B4269D"/>
    <w:rsid w:val="00B4280D"/>
    <w:rsid w:val="00B43659"/>
    <w:rsid w:val="00B43B6D"/>
    <w:rsid w:val="00B43EB7"/>
    <w:rsid w:val="00B452F1"/>
    <w:rsid w:val="00B47BD5"/>
    <w:rsid w:val="00B50A96"/>
    <w:rsid w:val="00B50B42"/>
    <w:rsid w:val="00B51B7C"/>
    <w:rsid w:val="00B51E38"/>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2CF"/>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614E"/>
    <w:rsid w:val="00B87F60"/>
    <w:rsid w:val="00B904B0"/>
    <w:rsid w:val="00B90C75"/>
    <w:rsid w:val="00B90E59"/>
    <w:rsid w:val="00B915AE"/>
    <w:rsid w:val="00B91EDC"/>
    <w:rsid w:val="00B92DC7"/>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7B8"/>
    <w:rsid w:val="00BA1C62"/>
    <w:rsid w:val="00BA2314"/>
    <w:rsid w:val="00BA263C"/>
    <w:rsid w:val="00BA2880"/>
    <w:rsid w:val="00BA28E6"/>
    <w:rsid w:val="00BA3DCE"/>
    <w:rsid w:val="00BA3E37"/>
    <w:rsid w:val="00BA4ED5"/>
    <w:rsid w:val="00BA5293"/>
    <w:rsid w:val="00BA52AF"/>
    <w:rsid w:val="00BA53F8"/>
    <w:rsid w:val="00BA552E"/>
    <w:rsid w:val="00BA5590"/>
    <w:rsid w:val="00BA6608"/>
    <w:rsid w:val="00BA6662"/>
    <w:rsid w:val="00BA7071"/>
    <w:rsid w:val="00BA7332"/>
    <w:rsid w:val="00BA7734"/>
    <w:rsid w:val="00BB10E5"/>
    <w:rsid w:val="00BB11AE"/>
    <w:rsid w:val="00BB165D"/>
    <w:rsid w:val="00BB1F8D"/>
    <w:rsid w:val="00BB246D"/>
    <w:rsid w:val="00BB2959"/>
    <w:rsid w:val="00BB472F"/>
    <w:rsid w:val="00BB554E"/>
    <w:rsid w:val="00BB71DF"/>
    <w:rsid w:val="00BB75D1"/>
    <w:rsid w:val="00BB78B1"/>
    <w:rsid w:val="00BB7E87"/>
    <w:rsid w:val="00BC170C"/>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AE3"/>
    <w:rsid w:val="00C12B79"/>
    <w:rsid w:val="00C138ED"/>
    <w:rsid w:val="00C148D4"/>
    <w:rsid w:val="00C14EE0"/>
    <w:rsid w:val="00C15471"/>
    <w:rsid w:val="00C15C6A"/>
    <w:rsid w:val="00C162DB"/>
    <w:rsid w:val="00C2058A"/>
    <w:rsid w:val="00C20DFF"/>
    <w:rsid w:val="00C2197F"/>
    <w:rsid w:val="00C21D91"/>
    <w:rsid w:val="00C232F9"/>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0189"/>
    <w:rsid w:val="00C410DC"/>
    <w:rsid w:val="00C41238"/>
    <w:rsid w:val="00C4338C"/>
    <w:rsid w:val="00C4365E"/>
    <w:rsid w:val="00C4391E"/>
    <w:rsid w:val="00C441EB"/>
    <w:rsid w:val="00C44908"/>
    <w:rsid w:val="00C45180"/>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3EA7"/>
    <w:rsid w:val="00C55251"/>
    <w:rsid w:val="00C554B5"/>
    <w:rsid w:val="00C55D67"/>
    <w:rsid w:val="00C55DB9"/>
    <w:rsid w:val="00C55EC3"/>
    <w:rsid w:val="00C56633"/>
    <w:rsid w:val="00C57A78"/>
    <w:rsid w:val="00C57B35"/>
    <w:rsid w:val="00C57FA5"/>
    <w:rsid w:val="00C6084A"/>
    <w:rsid w:val="00C60E3F"/>
    <w:rsid w:val="00C617AF"/>
    <w:rsid w:val="00C6246E"/>
    <w:rsid w:val="00C62F1B"/>
    <w:rsid w:val="00C64A8A"/>
    <w:rsid w:val="00C656C0"/>
    <w:rsid w:val="00C66081"/>
    <w:rsid w:val="00C6612A"/>
    <w:rsid w:val="00C66224"/>
    <w:rsid w:val="00C67644"/>
    <w:rsid w:val="00C70317"/>
    <w:rsid w:val="00C70929"/>
    <w:rsid w:val="00C70CAA"/>
    <w:rsid w:val="00C70F76"/>
    <w:rsid w:val="00C718FE"/>
    <w:rsid w:val="00C71991"/>
    <w:rsid w:val="00C71ACC"/>
    <w:rsid w:val="00C71D7C"/>
    <w:rsid w:val="00C71EE3"/>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069"/>
    <w:rsid w:val="00C92E86"/>
    <w:rsid w:val="00C9332D"/>
    <w:rsid w:val="00C938B8"/>
    <w:rsid w:val="00C94844"/>
    <w:rsid w:val="00C94E76"/>
    <w:rsid w:val="00C9527B"/>
    <w:rsid w:val="00C9535F"/>
    <w:rsid w:val="00C96C79"/>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AD3"/>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2C3"/>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20D"/>
    <w:rsid w:val="00CF0B8A"/>
    <w:rsid w:val="00CF0D8D"/>
    <w:rsid w:val="00CF1281"/>
    <w:rsid w:val="00CF13C6"/>
    <w:rsid w:val="00CF13F3"/>
    <w:rsid w:val="00CF1F74"/>
    <w:rsid w:val="00CF41EC"/>
    <w:rsid w:val="00CF4252"/>
    <w:rsid w:val="00CF48F5"/>
    <w:rsid w:val="00CF4AF9"/>
    <w:rsid w:val="00CF58FE"/>
    <w:rsid w:val="00CF646C"/>
    <w:rsid w:val="00CF6A86"/>
    <w:rsid w:val="00CF6C9D"/>
    <w:rsid w:val="00CF766A"/>
    <w:rsid w:val="00D01382"/>
    <w:rsid w:val="00D0206E"/>
    <w:rsid w:val="00D02685"/>
    <w:rsid w:val="00D02CDC"/>
    <w:rsid w:val="00D03010"/>
    <w:rsid w:val="00D03CFB"/>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6285"/>
    <w:rsid w:val="00D26798"/>
    <w:rsid w:val="00D26C16"/>
    <w:rsid w:val="00D303AA"/>
    <w:rsid w:val="00D30B3E"/>
    <w:rsid w:val="00D312EF"/>
    <w:rsid w:val="00D314F6"/>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1A6E"/>
    <w:rsid w:val="00D82869"/>
    <w:rsid w:val="00D828D8"/>
    <w:rsid w:val="00D82C16"/>
    <w:rsid w:val="00D832B3"/>
    <w:rsid w:val="00D8387E"/>
    <w:rsid w:val="00D83951"/>
    <w:rsid w:val="00D855D6"/>
    <w:rsid w:val="00D85B09"/>
    <w:rsid w:val="00D860C7"/>
    <w:rsid w:val="00D863D7"/>
    <w:rsid w:val="00D86D45"/>
    <w:rsid w:val="00D870B7"/>
    <w:rsid w:val="00D905E9"/>
    <w:rsid w:val="00D912D5"/>
    <w:rsid w:val="00D9145B"/>
    <w:rsid w:val="00D93102"/>
    <w:rsid w:val="00D9335C"/>
    <w:rsid w:val="00D93971"/>
    <w:rsid w:val="00D94560"/>
    <w:rsid w:val="00D94CC2"/>
    <w:rsid w:val="00D95BF2"/>
    <w:rsid w:val="00D95EA5"/>
    <w:rsid w:val="00D967BB"/>
    <w:rsid w:val="00D96B71"/>
    <w:rsid w:val="00D97BBC"/>
    <w:rsid w:val="00D97F67"/>
    <w:rsid w:val="00D97F87"/>
    <w:rsid w:val="00DA0443"/>
    <w:rsid w:val="00DA0C39"/>
    <w:rsid w:val="00DA18D1"/>
    <w:rsid w:val="00DA191C"/>
    <w:rsid w:val="00DA221E"/>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92"/>
    <w:rsid w:val="00DB2FB5"/>
    <w:rsid w:val="00DB2FC6"/>
    <w:rsid w:val="00DB3251"/>
    <w:rsid w:val="00DB438E"/>
    <w:rsid w:val="00DB4518"/>
    <w:rsid w:val="00DB506A"/>
    <w:rsid w:val="00DB51D7"/>
    <w:rsid w:val="00DB56A6"/>
    <w:rsid w:val="00DB5CB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BA"/>
    <w:rsid w:val="00DE0EFA"/>
    <w:rsid w:val="00DE0FD8"/>
    <w:rsid w:val="00DE1895"/>
    <w:rsid w:val="00DE2559"/>
    <w:rsid w:val="00DE2F24"/>
    <w:rsid w:val="00DE30B5"/>
    <w:rsid w:val="00DE3403"/>
    <w:rsid w:val="00DE3A7D"/>
    <w:rsid w:val="00DE3C95"/>
    <w:rsid w:val="00DE3E27"/>
    <w:rsid w:val="00DE4070"/>
    <w:rsid w:val="00DE5602"/>
    <w:rsid w:val="00DE56F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4DBB"/>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2706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6EB9"/>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3517"/>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13B8"/>
    <w:rsid w:val="00ED230B"/>
    <w:rsid w:val="00ED312A"/>
    <w:rsid w:val="00ED326C"/>
    <w:rsid w:val="00ED4447"/>
    <w:rsid w:val="00ED6179"/>
    <w:rsid w:val="00ED7B8A"/>
    <w:rsid w:val="00ED7CE1"/>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6E5C"/>
    <w:rsid w:val="00EF7029"/>
    <w:rsid w:val="00EF7932"/>
    <w:rsid w:val="00F000B6"/>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19"/>
    <w:rsid w:val="00F21BAD"/>
    <w:rsid w:val="00F22230"/>
    <w:rsid w:val="00F22AC9"/>
    <w:rsid w:val="00F23530"/>
    <w:rsid w:val="00F23C79"/>
    <w:rsid w:val="00F24356"/>
    <w:rsid w:val="00F243E5"/>
    <w:rsid w:val="00F25E60"/>
    <w:rsid w:val="00F263C0"/>
    <w:rsid w:val="00F263F0"/>
    <w:rsid w:val="00F2758E"/>
    <w:rsid w:val="00F27717"/>
    <w:rsid w:val="00F27994"/>
    <w:rsid w:val="00F30BB6"/>
    <w:rsid w:val="00F31664"/>
    <w:rsid w:val="00F31F39"/>
    <w:rsid w:val="00F33891"/>
    <w:rsid w:val="00F344CB"/>
    <w:rsid w:val="00F3540A"/>
    <w:rsid w:val="00F3573D"/>
    <w:rsid w:val="00F41AE7"/>
    <w:rsid w:val="00F42509"/>
    <w:rsid w:val="00F43A6F"/>
    <w:rsid w:val="00F44335"/>
    <w:rsid w:val="00F44553"/>
    <w:rsid w:val="00F44A53"/>
    <w:rsid w:val="00F45993"/>
    <w:rsid w:val="00F45C2B"/>
    <w:rsid w:val="00F50807"/>
    <w:rsid w:val="00F50D05"/>
    <w:rsid w:val="00F513E2"/>
    <w:rsid w:val="00F52637"/>
    <w:rsid w:val="00F52688"/>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2F3"/>
    <w:rsid w:val="00F60A31"/>
    <w:rsid w:val="00F60D25"/>
    <w:rsid w:val="00F62611"/>
    <w:rsid w:val="00F63246"/>
    <w:rsid w:val="00F64218"/>
    <w:rsid w:val="00F64AF8"/>
    <w:rsid w:val="00F66CB5"/>
    <w:rsid w:val="00F673B1"/>
    <w:rsid w:val="00F67A1A"/>
    <w:rsid w:val="00F67FA3"/>
    <w:rsid w:val="00F702CC"/>
    <w:rsid w:val="00F7042A"/>
    <w:rsid w:val="00F7059A"/>
    <w:rsid w:val="00F70F99"/>
    <w:rsid w:val="00F71846"/>
    <w:rsid w:val="00F720DA"/>
    <w:rsid w:val="00F723B6"/>
    <w:rsid w:val="00F72637"/>
    <w:rsid w:val="00F72B41"/>
    <w:rsid w:val="00F75FCE"/>
    <w:rsid w:val="00F761CA"/>
    <w:rsid w:val="00F76A30"/>
    <w:rsid w:val="00F77496"/>
    <w:rsid w:val="00F80654"/>
    <w:rsid w:val="00F80C3B"/>
    <w:rsid w:val="00F81111"/>
    <w:rsid w:val="00F8164D"/>
    <w:rsid w:val="00F81F75"/>
    <w:rsid w:val="00F821D8"/>
    <w:rsid w:val="00F822C5"/>
    <w:rsid w:val="00F82A75"/>
    <w:rsid w:val="00F82B8E"/>
    <w:rsid w:val="00F82C65"/>
    <w:rsid w:val="00F83668"/>
    <w:rsid w:val="00F83D7F"/>
    <w:rsid w:val="00F851EF"/>
    <w:rsid w:val="00F86874"/>
    <w:rsid w:val="00F86D7B"/>
    <w:rsid w:val="00F87455"/>
    <w:rsid w:val="00F9094F"/>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0882"/>
    <w:rsid w:val="00FC1EC1"/>
    <w:rsid w:val="00FC231E"/>
    <w:rsid w:val="00FC23F4"/>
    <w:rsid w:val="00FC365E"/>
    <w:rsid w:val="00FC39FE"/>
    <w:rsid w:val="00FC3C28"/>
    <w:rsid w:val="00FC5A72"/>
    <w:rsid w:val="00FC5AC2"/>
    <w:rsid w:val="00FC65E9"/>
    <w:rsid w:val="00FC6857"/>
    <w:rsid w:val="00FC7497"/>
    <w:rsid w:val="00FD0A69"/>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5AD"/>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79D"/>
    <w:rsid w:val="00FF7D96"/>
    <w:rsid w:val="0282E0B0"/>
    <w:rsid w:val="029E7A17"/>
    <w:rsid w:val="02BAE0C1"/>
    <w:rsid w:val="03B3C57B"/>
    <w:rsid w:val="03CA5A32"/>
    <w:rsid w:val="042B6F28"/>
    <w:rsid w:val="0442B166"/>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11EB531"/>
    <w:rsid w:val="1289C4E4"/>
    <w:rsid w:val="12CBBB40"/>
    <w:rsid w:val="134BABB3"/>
    <w:rsid w:val="13515300"/>
    <w:rsid w:val="13ED9D96"/>
    <w:rsid w:val="146C3C19"/>
    <w:rsid w:val="148FA30E"/>
    <w:rsid w:val="151337A6"/>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CA9BB6C"/>
    <w:rsid w:val="1E717337"/>
    <w:rsid w:val="1EACE6C8"/>
    <w:rsid w:val="1EB25A0A"/>
    <w:rsid w:val="205F8902"/>
    <w:rsid w:val="21C4B719"/>
    <w:rsid w:val="21C8F4F6"/>
    <w:rsid w:val="2239F243"/>
    <w:rsid w:val="22411C77"/>
    <w:rsid w:val="224E312A"/>
    <w:rsid w:val="2428080E"/>
    <w:rsid w:val="2440C6A9"/>
    <w:rsid w:val="2464C8EA"/>
    <w:rsid w:val="24737F1E"/>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ED3766"/>
    <w:rsid w:val="2EF4021F"/>
    <w:rsid w:val="303A0429"/>
    <w:rsid w:val="304A758C"/>
    <w:rsid w:val="3085B493"/>
    <w:rsid w:val="30A4631E"/>
    <w:rsid w:val="30DEEA69"/>
    <w:rsid w:val="32889BA2"/>
    <w:rsid w:val="3377C6EE"/>
    <w:rsid w:val="33B027BC"/>
    <w:rsid w:val="3699FEF4"/>
    <w:rsid w:val="36D16232"/>
    <w:rsid w:val="36FB4F0B"/>
    <w:rsid w:val="37587238"/>
    <w:rsid w:val="38717C18"/>
    <w:rsid w:val="38D525EF"/>
    <w:rsid w:val="391AB876"/>
    <w:rsid w:val="3A31C5F8"/>
    <w:rsid w:val="3A724696"/>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A37F75"/>
    <w:rsid w:val="43B19F09"/>
    <w:rsid w:val="446FB9BA"/>
    <w:rsid w:val="461D7E0C"/>
    <w:rsid w:val="47A71B97"/>
    <w:rsid w:val="47F754F0"/>
    <w:rsid w:val="493C088F"/>
    <w:rsid w:val="49740041"/>
    <w:rsid w:val="4980F27B"/>
    <w:rsid w:val="4995C3BF"/>
    <w:rsid w:val="4B1E2A22"/>
    <w:rsid w:val="4C7304D6"/>
    <w:rsid w:val="4D1D3933"/>
    <w:rsid w:val="4D497187"/>
    <w:rsid w:val="4DB957DA"/>
    <w:rsid w:val="4F647FB9"/>
    <w:rsid w:val="4F651731"/>
    <w:rsid w:val="506D369C"/>
    <w:rsid w:val="50B8BABD"/>
    <w:rsid w:val="50CD8C01"/>
    <w:rsid w:val="51D4F825"/>
    <w:rsid w:val="52449835"/>
    <w:rsid w:val="527893DF"/>
    <w:rsid w:val="52969477"/>
    <w:rsid w:val="531011DD"/>
    <w:rsid w:val="547CF4A8"/>
    <w:rsid w:val="54EF73B4"/>
    <w:rsid w:val="551C3972"/>
    <w:rsid w:val="553A606E"/>
    <w:rsid w:val="556704DA"/>
    <w:rsid w:val="5570522B"/>
    <w:rsid w:val="55CCD89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C7376EC"/>
    <w:rsid w:val="5D83DBFF"/>
    <w:rsid w:val="5E6F2703"/>
    <w:rsid w:val="5F8AB065"/>
    <w:rsid w:val="60386C15"/>
    <w:rsid w:val="6064FD37"/>
    <w:rsid w:val="62662A19"/>
    <w:rsid w:val="62AB2108"/>
    <w:rsid w:val="63A60F02"/>
    <w:rsid w:val="642673F9"/>
    <w:rsid w:val="644000FD"/>
    <w:rsid w:val="6453A2D6"/>
    <w:rsid w:val="64E4930F"/>
    <w:rsid w:val="6529DE2C"/>
    <w:rsid w:val="657A1785"/>
    <w:rsid w:val="6698F66A"/>
    <w:rsid w:val="6804F100"/>
    <w:rsid w:val="68330CB1"/>
    <w:rsid w:val="68615004"/>
    <w:rsid w:val="696F9413"/>
    <w:rsid w:val="6A771CE8"/>
    <w:rsid w:val="6AAEA6E9"/>
    <w:rsid w:val="6ADC18A1"/>
    <w:rsid w:val="6B84D607"/>
    <w:rsid w:val="6C5D9C1C"/>
    <w:rsid w:val="6CBC6FDB"/>
    <w:rsid w:val="6CE7D9C6"/>
    <w:rsid w:val="6D5109F9"/>
    <w:rsid w:val="6DB7D40D"/>
    <w:rsid w:val="6E20A135"/>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6C03BA"/>
    <w:rsid w:val="7DD0EB7B"/>
    <w:rsid w:val="7DE8924B"/>
    <w:rsid w:val="7EFE7D9A"/>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3D421100-549A-43BC-9505-5F2EF2AC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DE2559"/>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92215652">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39823192">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10721">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31946168">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6/09/relationships/commentsIds" Target="commentsId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image" Target="media/image3.emf"/><Relationship Id="rId28"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image" Target="media/image2.emf"/><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63D3B"/>
    <w:rsid w:val="00091EC5"/>
    <w:rsid w:val="001F7838"/>
    <w:rsid w:val="0024763C"/>
    <w:rsid w:val="005F1459"/>
    <w:rsid w:val="006B78EF"/>
    <w:rsid w:val="00734F6C"/>
    <w:rsid w:val="008069C3"/>
    <w:rsid w:val="00877691"/>
    <w:rsid w:val="008848C4"/>
    <w:rsid w:val="009C7325"/>
    <w:rsid w:val="00AC4C0A"/>
    <w:rsid w:val="00B060B6"/>
    <w:rsid w:val="00D62378"/>
    <w:rsid w:val="00D738BF"/>
    <w:rsid w:val="00D77396"/>
    <w:rsid w:val="00E97512"/>
    <w:rsid w:val="00F513E2"/>
    <w:rsid w:val="00F842E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9125C4CD-F9CE-4771-A530-FFD409505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docMetadata/LabelInfo.xml><?xml version="1.0" encoding="utf-8"?>
<clbl:labelList xmlns:clbl="http://schemas.microsoft.com/office/2020/mipLabelMetadata">
  <clbl:label id="{d44deb77-7be8-4c8f-aa02-f40e1c31808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AV%20Minutes%20-%20Executive.dotx</Template>
  <TotalTime>0</TotalTime>
  <Pages>1</Pages>
  <Words>3725</Words>
  <Characters>21239</Characters>
  <Application>Microsoft Office Word</Application>
  <DocSecurity>0</DocSecurity>
  <Lines>176</Lines>
  <Paragraphs>49</Paragraphs>
  <ScaleCrop>false</ScaleCrop>
  <Company>Ambulance Victoria</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Geoff Wallace</cp:lastModifiedBy>
  <cp:revision>18</cp:revision>
  <cp:lastPrinted>2018-06-29T23:11:00Z</cp:lastPrinted>
  <dcterms:created xsi:type="dcterms:W3CDTF">2024-02-14T01:16:00Z</dcterms:created>
  <dcterms:modified xsi:type="dcterms:W3CDTF">2024-02-14T01:16:00Z</dcterms:modified>
  <cp:category>Azure Monitor and Insights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4f210e47-73c7-47bf-9c0b-462a6e313066</vt:lpwstr>
  </property>
  <property fmtid="{D5CDD505-2E9C-101B-9397-08002B2CF9AE}" pid="5" name="ResourceName">
    <vt:lpwstr>ResourceName</vt:lpwstr>
  </property>
</Properties>
</file>