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503A3DD0"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E078D">
                                  <w:rPr>
                                    <w:b/>
                                    <w:bCs/>
                                    <w:color w:val="FFFFFF" w:themeColor="background1"/>
                                    <w:sz w:val="48"/>
                                    <w:szCs w:val="48"/>
                                  </w:rPr>
                                  <w:t>Defender for Cloud</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503A3DD0"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E078D">
                            <w:rPr>
                              <w:b/>
                              <w:bCs/>
                              <w:color w:val="FFFFFF" w:themeColor="background1"/>
                              <w:sz w:val="48"/>
                              <w:szCs w:val="48"/>
                            </w:rPr>
                            <w:t>Defender for Cloud</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5553DCF1"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cs="Arial"/>
                  </w:rPr>
                  <w:t>Defender for Cloud</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375E15CB"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cs="Arial"/>
                  </w:rPr>
                  <w:t>Defender for Cloud</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0F4BB8F" w:rsidR="00502938" w:rsidRPr="005E1460" w:rsidRDefault="003D4AB8" w:rsidP="00F94C6F">
            <w:pPr>
              <w:pStyle w:val="BodyText"/>
              <w:ind w:left="0"/>
              <w:rPr>
                <w:rFonts w:cs="Arial"/>
              </w:rPr>
            </w:pPr>
            <w:r w:rsidRPr="005E1460">
              <w:rPr>
                <w:rFonts w:cs="Arial"/>
              </w:rPr>
              <w:t xml:space="preserve"> </w:t>
            </w:r>
            <w:r w:rsidR="005A5293">
              <w:rPr>
                <w:rFonts w:cs="Arial"/>
              </w:rPr>
              <w:t>8</w:t>
            </w:r>
            <w:r w:rsidR="005E1460" w:rsidRPr="005E1460">
              <w:rPr>
                <w:rFonts w:cs="Arial"/>
              </w:rPr>
              <w:t>/0</w:t>
            </w:r>
            <w:r w:rsidR="003E078D">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5"/>
        <w:gridCol w:w="1467"/>
        <w:gridCol w:w="2044"/>
        <w:gridCol w:w="2068"/>
        <w:gridCol w:w="1665"/>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2EE905DE" w:rsidR="00502938" w:rsidRPr="00633B64" w:rsidRDefault="005A5293" w:rsidP="00F94C6F">
            <w:pPr>
              <w:pStyle w:val="BodyText"/>
              <w:ind w:left="0"/>
              <w:rPr>
                <w:rFonts w:cs="Arial"/>
                <w:color w:val="auto"/>
              </w:rPr>
            </w:pPr>
            <w:r>
              <w:rPr>
                <w:rFonts w:cs="Arial"/>
                <w:color w:val="auto"/>
              </w:rPr>
              <w:t>8</w:t>
            </w:r>
            <w:r w:rsidR="005E1460" w:rsidRPr="005E1460">
              <w:rPr>
                <w:rFonts w:cs="Arial"/>
                <w:color w:val="auto"/>
              </w:rPr>
              <w:t>/0</w:t>
            </w:r>
            <w:r w:rsidR="003E078D">
              <w:rPr>
                <w:rFonts w:cs="Arial"/>
                <w:color w:val="auto"/>
              </w:rPr>
              <w:t>3</w:t>
            </w:r>
            <w:r w:rsidR="005E1460" w:rsidRPr="005E1460">
              <w:rPr>
                <w:rFonts w:cs="Arial"/>
                <w:color w:val="auto"/>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87384F6" w14:textId="6386CFC5" w:rsidR="001F3198"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795807" w:history="1">
            <w:r w:rsidR="001F3198" w:rsidRPr="00AE54C7">
              <w:rPr>
                <w:rStyle w:val="Hyperlink"/>
                <w:rFonts w:cs="Arial"/>
              </w:rPr>
              <w:t>1.</w:t>
            </w:r>
            <w:r w:rsidR="001F3198">
              <w:rPr>
                <w:rFonts w:asciiTheme="minorHAnsi" w:eastAsiaTheme="minorEastAsia" w:hAnsiTheme="minorHAnsi" w:cstheme="minorBidi"/>
                <w:color w:val="auto"/>
                <w:kern w:val="2"/>
                <w14:ligatures w14:val="standardContextual"/>
              </w:rPr>
              <w:tab/>
            </w:r>
            <w:r w:rsidR="001F3198" w:rsidRPr="00AE54C7">
              <w:rPr>
                <w:rStyle w:val="Hyperlink"/>
                <w:rFonts w:cs="Arial"/>
              </w:rPr>
              <w:t>Overview</w:t>
            </w:r>
            <w:r w:rsidR="001F3198">
              <w:rPr>
                <w:webHidden/>
              </w:rPr>
              <w:tab/>
            </w:r>
            <w:r w:rsidR="001F3198">
              <w:rPr>
                <w:webHidden/>
              </w:rPr>
              <w:fldChar w:fldCharType="begin"/>
            </w:r>
            <w:r w:rsidR="001F3198">
              <w:rPr>
                <w:webHidden/>
              </w:rPr>
              <w:instrText xml:space="preserve"> PAGEREF _Toc160795807 \h </w:instrText>
            </w:r>
            <w:r w:rsidR="001F3198">
              <w:rPr>
                <w:webHidden/>
              </w:rPr>
            </w:r>
            <w:r w:rsidR="001F3198">
              <w:rPr>
                <w:webHidden/>
              </w:rPr>
              <w:fldChar w:fldCharType="separate"/>
            </w:r>
            <w:r w:rsidR="001F3198">
              <w:rPr>
                <w:webHidden/>
              </w:rPr>
              <w:t>5</w:t>
            </w:r>
            <w:r w:rsidR="001F3198">
              <w:rPr>
                <w:webHidden/>
              </w:rPr>
              <w:fldChar w:fldCharType="end"/>
            </w:r>
          </w:hyperlink>
        </w:p>
        <w:p w14:paraId="62C0C49B" w14:textId="790D04F2" w:rsidR="001F3198" w:rsidRDefault="001F3198">
          <w:pPr>
            <w:pStyle w:val="TOC2"/>
            <w:rPr>
              <w:rFonts w:asciiTheme="minorHAnsi" w:eastAsiaTheme="minorEastAsia" w:hAnsiTheme="minorHAnsi" w:cstheme="minorBidi"/>
              <w:color w:val="auto"/>
              <w:kern w:val="2"/>
              <w14:ligatures w14:val="standardContextual"/>
            </w:rPr>
          </w:pPr>
          <w:hyperlink w:anchor="_Toc160795808" w:history="1">
            <w:r w:rsidRPr="00AE54C7">
              <w:rPr>
                <w:rStyle w:val="Hyperlink"/>
                <w:rFonts w:cs="Arial"/>
                <w:spacing w:val="-8"/>
              </w:rPr>
              <w:t>1.1</w:t>
            </w:r>
            <w:r>
              <w:rPr>
                <w:rFonts w:asciiTheme="minorHAnsi" w:eastAsiaTheme="minorEastAsia" w:hAnsiTheme="minorHAnsi" w:cstheme="minorBidi"/>
                <w:color w:val="auto"/>
                <w:kern w:val="2"/>
                <w14:ligatures w14:val="standardContextual"/>
              </w:rPr>
              <w:tab/>
            </w:r>
            <w:r w:rsidRPr="00AE54C7">
              <w:rPr>
                <w:rStyle w:val="Hyperlink"/>
                <w:rFonts w:cs="Arial"/>
              </w:rPr>
              <w:t>Purpose and Audience</w:t>
            </w:r>
            <w:r>
              <w:rPr>
                <w:webHidden/>
              </w:rPr>
              <w:tab/>
            </w:r>
            <w:r>
              <w:rPr>
                <w:webHidden/>
              </w:rPr>
              <w:fldChar w:fldCharType="begin"/>
            </w:r>
            <w:r>
              <w:rPr>
                <w:webHidden/>
              </w:rPr>
              <w:instrText xml:space="preserve"> PAGEREF _Toc160795808 \h </w:instrText>
            </w:r>
            <w:r>
              <w:rPr>
                <w:webHidden/>
              </w:rPr>
            </w:r>
            <w:r>
              <w:rPr>
                <w:webHidden/>
              </w:rPr>
              <w:fldChar w:fldCharType="separate"/>
            </w:r>
            <w:r>
              <w:rPr>
                <w:webHidden/>
              </w:rPr>
              <w:t>5</w:t>
            </w:r>
            <w:r>
              <w:rPr>
                <w:webHidden/>
              </w:rPr>
              <w:fldChar w:fldCharType="end"/>
            </w:r>
          </w:hyperlink>
        </w:p>
        <w:p w14:paraId="18435616" w14:textId="0E513B2A" w:rsidR="001F3198" w:rsidRDefault="001F3198">
          <w:pPr>
            <w:pStyle w:val="TOC2"/>
            <w:rPr>
              <w:rFonts w:asciiTheme="minorHAnsi" w:eastAsiaTheme="minorEastAsia" w:hAnsiTheme="minorHAnsi" w:cstheme="minorBidi"/>
              <w:color w:val="auto"/>
              <w:kern w:val="2"/>
              <w14:ligatures w14:val="standardContextual"/>
            </w:rPr>
          </w:pPr>
          <w:hyperlink w:anchor="_Toc160795809" w:history="1">
            <w:r w:rsidRPr="00AE54C7">
              <w:rPr>
                <w:rStyle w:val="Hyperlink"/>
                <w:rFonts w:cs="Arial"/>
                <w:spacing w:val="-8"/>
              </w:rPr>
              <w:t>1.2</w:t>
            </w:r>
            <w:r>
              <w:rPr>
                <w:rFonts w:asciiTheme="minorHAnsi" w:eastAsiaTheme="minorEastAsia" w:hAnsiTheme="minorHAnsi" w:cstheme="minorBidi"/>
                <w:color w:val="auto"/>
                <w:kern w:val="2"/>
                <w14:ligatures w14:val="standardContextual"/>
              </w:rPr>
              <w:tab/>
            </w:r>
            <w:r w:rsidRPr="00AE54C7">
              <w:rPr>
                <w:rStyle w:val="Hyperlink"/>
                <w:rFonts w:cs="Arial"/>
              </w:rPr>
              <w:t>Scope and Key Deliverables</w:t>
            </w:r>
            <w:r>
              <w:rPr>
                <w:webHidden/>
              </w:rPr>
              <w:tab/>
            </w:r>
            <w:r>
              <w:rPr>
                <w:webHidden/>
              </w:rPr>
              <w:fldChar w:fldCharType="begin"/>
            </w:r>
            <w:r>
              <w:rPr>
                <w:webHidden/>
              </w:rPr>
              <w:instrText xml:space="preserve"> PAGEREF _Toc160795809 \h </w:instrText>
            </w:r>
            <w:r>
              <w:rPr>
                <w:webHidden/>
              </w:rPr>
            </w:r>
            <w:r>
              <w:rPr>
                <w:webHidden/>
              </w:rPr>
              <w:fldChar w:fldCharType="separate"/>
            </w:r>
            <w:r>
              <w:rPr>
                <w:webHidden/>
              </w:rPr>
              <w:t>5</w:t>
            </w:r>
            <w:r>
              <w:rPr>
                <w:webHidden/>
              </w:rPr>
              <w:fldChar w:fldCharType="end"/>
            </w:r>
          </w:hyperlink>
        </w:p>
        <w:p w14:paraId="6A4A536B" w14:textId="2D3F0D2A" w:rsidR="001F3198" w:rsidRDefault="001F3198">
          <w:pPr>
            <w:pStyle w:val="TOC2"/>
            <w:rPr>
              <w:rFonts w:asciiTheme="minorHAnsi" w:eastAsiaTheme="minorEastAsia" w:hAnsiTheme="minorHAnsi" w:cstheme="minorBidi"/>
              <w:color w:val="auto"/>
              <w:kern w:val="2"/>
              <w14:ligatures w14:val="standardContextual"/>
            </w:rPr>
          </w:pPr>
          <w:hyperlink w:anchor="_Toc160795810" w:history="1">
            <w:r w:rsidRPr="00AE54C7">
              <w:rPr>
                <w:rStyle w:val="Hyperlink"/>
                <w:rFonts w:cs="Arial"/>
                <w:spacing w:val="-8"/>
              </w:rPr>
              <w:t>1.3</w:t>
            </w:r>
            <w:r>
              <w:rPr>
                <w:rFonts w:asciiTheme="minorHAnsi" w:eastAsiaTheme="minorEastAsia" w:hAnsiTheme="minorHAnsi" w:cstheme="minorBidi"/>
                <w:color w:val="auto"/>
                <w:kern w:val="2"/>
                <w14:ligatures w14:val="standardContextual"/>
              </w:rPr>
              <w:tab/>
            </w:r>
            <w:r w:rsidRPr="00AE54C7">
              <w:rPr>
                <w:rStyle w:val="Hyperlink"/>
                <w:rFonts w:cs="Arial"/>
              </w:rPr>
              <w:t>Glossary and Definitions</w:t>
            </w:r>
            <w:r>
              <w:rPr>
                <w:webHidden/>
              </w:rPr>
              <w:tab/>
            </w:r>
            <w:r>
              <w:rPr>
                <w:webHidden/>
              </w:rPr>
              <w:fldChar w:fldCharType="begin"/>
            </w:r>
            <w:r>
              <w:rPr>
                <w:webHidden/>
              </w:rPr>
              <w:instrText xml:space="preserve"> PAGEREF _Toc160795810 \h </w:instrText>
            </w:r>
            <w:r>
              <w:rPr>
                <w:webHidden/>
              </w:rPr>
            </w:r>
            <w:r>
              <w:rPr>
                <w:webHidden/>
              </w:rPr>
              <w:fldChar w:fldCharType="separate"/>
            </w:r>
            <w:r>
              <w:rPr>
                <w:webHidden/>
              </w:rPr>
              <w:t>6</w:t>
            </w:r>
            <w:r>
              <w:rPr>
                <w:webHidden/>
              </w:rPr>
              <w:fldChar w:fldCharType="end"/>
            </w:r>
          </w:hyperlink>
        </w:p>
        <w:p w14:paraId="406F3060" w14:textId="5409FAC8"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11" w:history="1">
            <w:r w:rsidRPr="00AE54C7">
              <w:rPr>
                <w:rStyle w:val="Hyperlink"/>
                <w:rFonts w:cs="Arial"/>
              </w:rPr>
              <w:t>2.</w:t>
            </w:r>
            <w:r>
              <w:rPr>
                <w:rFonts w:asciiTheme="minorHAnsi" w:eastAsiaTheme="minorEastAsia" w:hAnsiTheme="minorHAnsi" w:cstheme="minorBidi"/>
                <w:color w:val="auto"/>
                <w:kern w:val="2"/>
                <w14:ligatures w14:val="standardContextual"/>
              </w:rPr>
              <w:tab/>
            </w:r>
            <w:r w:rsidRPr="00AE54C7">
              <w:rPr>
                <w:rStyle w:val="Hyperlink"/>
                <w:rFonts w:cs="Arial"/>
              </w:rPr>
              <w:t>Executive Summary</w:t>
            </w:r>
            <w:r>
              <w:rPr>
                <w:webHidden/>
              </w:rPr>
              <w:tab/>
            </w:r>
            <w:r>
              <w:rPr>
                <w:webHidden/>
              </w:rPr>
              <w:fldChar w:fldCharType="begin"/>
            </w:r>
            <w:r>
              <w:rPr>
                <w:webHidden/>
              </w:rPr>
              <w:instrText xml:space="preserve"> PAGEREF _Toc160795811 \h </w:instrText>
            </w:r>
            <w:r>
              <w:rPr>
                <w:webHidden/>
              </w:rPr>
            </w:r>
            <w:r>
              <w:rPr>
                <w:webHidden/>
              </w:rPr>
              <w:fldChar w:fldCharType="separate"/>
            </w:r>
            <w:r>
              <w:rPr>
                <w:webHidden/>
              </w:rPr>
              <w:t>7</w:t>
            </w:r>
            <w:r>
              <w:rPr>
                <w:webHidden/>
              </w:rPr>
              <w:fldChar w:fldCharType="end"/>
            </w:r>
          </w:hyperlink>
        </w:p>
        <w:p w14:paraId="049F9A10" w14:textId="780E16F4"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12" w:history="1">
            <w:r w:rsidRPr="00AE54C7">
              <w:rPr>
                <w:rStyle w:val="Hyperlink"/>
                <w:rFonts w:cs="Arial"/>
              </w:rPr>
              <w:t>3.</w:t>
            </w:r>
            <w:r>
              <w:rPr>
                <w:rFonts w:asciiTheme="minorHAnsi" w:eastAsiaTheme="minorEastAsia" w:hAnsiTheme="minorHAnsi" w:cstheme="minorBidi"/>
                <w:color w:val="auto"/>
                <w:kern w:val="2"/>
                <w14:ligatures w14:val="standardContextual"/>
              </w:rPr>
              <w:tab/>
            </w:r>
            <w:r w:rsidRPr="00AE54C7">
              <w:rPr>
                <w:rStyle w:val="Hyperlink"/>
                <w:rFonts w:cs="Arial"/>
              </w:rPr>
              <w:t>Resource Cost</w:t>
            </w:r>
            <w:r>
              <w:rPr>
                <w:webHidden/>
              </w:rPr>
              <w:tab/>
            </w:r>
            <w:r>
              <w:rPr>
                <w:webHidden/>
              </w:rPr>
              <w:fldChar w:fldCharType="begin"/>
            </w:r>
            <w:r>
              <w:rPr>
                <w:webHidden/>
              </w:rPr>
              <w:instrText xml:space="preserve"> PAGEREF _Toc160795812 \h </w:instrText>
            </w:r>
            <w:r>
              <w:rPr>
                <w:webHidden/>
              </w:rPr>
            </w:r>
            <w:r>
              <w:rPr>
                <w:webHidden/>
              </w:rPr>
              <w:fldChar w:fldCharType="separate"/>
            </w:r>
            <w:r>
              <w:rPr>
                <w:webHidden/>
              </w:rPr>
              <w:t>8</w:t>
            </w:r>
            <w:r>
              <w:rPr>
                <w:webHidden/>
              </w:rPr>
              <w:fldChar w:fldCharType="end"/>
            </w:r>
          </w:hyperlink>
        </w:p>
        <w:p w14:paraId="79E5FA5A" w14:textId="04B47C16"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13" w:history="1">
            <w:r w:rsidRPr="00AE54C7">
              <w:rPr>
                <w:rStyle w:val="Hyperlink"/>
                <w:rFonts w:cs="Arial"/>
              </w:rPr>
              <w:t>4.</w:t>
            </w:r>
            <w:r>
              <w:rPr>
                <w:rFonts w:asciiTheme="minorHAnsi" w:eastAsiaTheme="minorEastAsia" w:hAnsiTheme="minorHAnsi" w:cstheme="minorBidi"/>
                <w:color w:val="auto"/>
                <w:kern w:val="2"/>
                <w14:ligatures w14:val="standardContextual"/>
              </w:rPr>
              <w:tab/>
            </w:r>
            <w:r w:rsidRPr="00AE54C7">
              <w:rPr>
                <w:rStyle w:val="Hyperlink"/>
                <w:rFonts w:cs="Arial"/>
              </w:rPr>
              <w:t>WAF and Security Control Alignment</w:t>
            </w:r>
            <w:r>
              <w:rPr>
                <w:webHidden/>
              </w:rPr>
              <w:tab/>
            </w:r>
            <w:r>
              <w:rPr>
                <w:webHidden/>
              </w:rPr>
              <w:fldChar w:fldCharType="begin"/>
            </w:r>
            <w:r>
              <w:rPr>
                <w:webHidden/>
              </w:rPr>
              <w:instrText xml:space="preserve"> PAGEREF _Toc160795813 \h </w:instrText>
            </w:r>
            <w:r>
              <w:rPr>
                <w:webHidden/>
              </w:rPr>
            </w:r>
            <w:r>
              <w:rPr>
                <w:webHidden/>
              </w:rPr>
              <w:fldChar w:fldCharType="separate"/>
            </w:r>
            <w:r>
              <w:rPr>
                <w:webHidden/>
              </w:rPr>
              <w:t>8</w:t>
            </w:r>
            <w:r>
              <w:rPr>
                <w:webHidden/>
              </w:rPr>
              <w:fldChar w:fldCharType="end"/>
            </w:r>
          </w:hyperlink>
        </w:p>
        <w:p w14:paraId="06C244C9" w14:textId="21C907D1" w:rsidR="001F3198" w:rsidRDefault="001F3198">
          <w:pPr>
            <w:pStyle w:val="TOC2"/>
            <w:rPr>
              <w:rFonts w:asciiTheme="minorHAnsi" w:eastAsiaTheme="minorEastAsia" w:hAnsiTheme="minorHAnsi" w:cstheme="minorBidi"/>
              <w:color w:val="auto"/>
              <w:kern w:val="2"/>
              <w14:ligatures w14:val="standardContextual"/>
            </w:rPr>
          </w:pPr>
          <w:hyperlink w:anchor="_Toc160795814" w:history="1">
            <w:r w:rsidRPr="00AE54C7">
              <w:rPr>
                <w:rStyle w:val="Hyperlink"/>
                <w:spacing w:val="-8"/>
              </w:rPr>
              <w:t>4.1</w:t>
            </w:r>
            <w:r>
              <w:rPr>
                <w:rFonts w:asciiTheme="minorHAnsi" w:eastAsiaTheme="minorEastAsia" w:hAnsiTheme="minorHAnsi" w:cstheme="minorBidi"/>
                <w:color w:val="auto"/>
                <w:kern w:val="2"/>
                <w14:ligatures w14:val="standardContextual"/>
              </w:rPr>
              <w:tab/>
            </w:r>
            <w:r w:rsidRPr="00AE54C7">
              <w:rPr>
                <w:rStyle w:val="Hyperlink"/>
              </w:rPr>
              <w:t>Reliability</w:t>
            </w:r>
            <w:r>
              <w:rPr>
                <w:webHidden/>
              </w:rPr>
              <w:tab/>
            </w:r>
            <w:r>
              <w:rPr>
                <w:webHidden/>
              </w:rPr>
              <w:fldChar w:fldCharType="begin"/>
            </w:r>
            <w:r>
              <w:rPr>
                <w:webHidden/>
              </w:rPr>
              <w:instrText xml:space="preserve"> PAGEREF _Toc160795814 \h </w:instrText>
            </w:r>
            <w:r>
              <w:rPr>
                <w:webHidden/>
              </w:rPr>
            </w:r>
            <w:r>
              <w:rPr>
                <w:webHidden/>
              </w:rPr>
              <w:fldChar w:fldCharType="separate"/>
            </w:r>
            <w:r>
              <w:rPr>
                <w:webHidden/>
              </w:rPr>
              <w:t>9</w:t>
            </w:r>
            <w:r>
              <w:rPr>
                <w:webHidden/>
              </w:rPr>
              <w:fldChar w:fldCharType="end"/>
            </w:r>
          </w:hyperlink>
        </w:p>
        <w:p w14:paraId="65D590AF" w14:textId="6244444D"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15" w:history="1">
            <w:r w:rsidRPr="00AE54C7">
              <w:rPr>
                <w:rStyle w:val="Hyperlink"/>
              </w:rPr>
              <w:t>4.1.1</w:t>
            </w:r>
            <w:r>
              <w:rPr>
                <w:rFonts w:asciiTheme="minorHAnsi" w:eastAsiaTheme="minorEastAsia" w:hAnsiTheme="minorHAnsi" w:cstheme="minorBidi"/>
                <w:color w:val="auto"/>
                <w:kern w:val="2"/>
                <w14:ligatures w14:val="standardContextual"/>
              </w:rPr>
              <w:tab/>
            </w:r>
            <w:r w:rsidRPr="00AE54C7">
              <w:rPr>
                <w:rStyle w:val="Hyperlink"/>
              </w:rPr>
              <w:t>Overview</w:t>
            </w:r>
            <w:r>
              <w:rPr>
                <w:webHidden/>
              </w:rPr>
              <w:tab/>
            </w:r>
            <w:r>
              <w:rPr>
                <w:webHidden/>
              </w:rPr>
              <w:fldChar w:fldCharType="begin"/>
            </w:r>
            <w:r>
              <w:rPr>
                <w:webHidden/>
              </w:rPr>
              <w:instrText xml:space="preserve"> PAGEREF _Toc160795815 \h </w:instrText>
            </w:r>
            <w:r>
              <w:rPr>
                <w:webHidden/>
              </w:rPr>
            </w:r>
            <w:r>
              <w:rPr>
                <w:webHidden/>
              </w:rPr>
              <w:fldChar w:fldCharType="separate"/>
            </w:r>
            <w:r>
              <w:rPr>
                <w:webHidden/>
              </w:rPr>
              <w:t>9</w:t>
            </w:r>
            <w:r>
              <w:rPr>
                <w:webHidden/>
              </w:rPr>
              <w:fldChar w:fldCharType="end"/>
            </w:r>
          </w:hyperlink>
        </w:p>
        <w:p w14:paraId="4D1C7638" w14:textId="073C9C0B"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16" w:history="1">
            <w:r w:rsidRPr="00AE54C7">
              <w:rPr>
                <w:rStyle w:val="Hyperlink"/>
              </w:rPr>
              <w:t>4.1.2</w:t>
            </w:r>
            <w:r>
              <w:rPr>
                <w:rFonts w:asciiTheme="minorHAnsi" w:eastAsiaTheme="minorEastAsia" w:hAnsiTheme="minorHAnsi" w:cstheme="minorBidi"/>
                <w:color w:val="auto"/>
                <w:kern w:val="2"/>
                <w14:ligatures w14:val="standardContextual"/>
              </w:rPr>
              <w:tab/>
            </w:r>
            <w:r w:rsidRPr="00AE54C7">
              <w:rPr>
                <w:rStyle w:val="Hyperlink"/>
              </w:rPr>
              <w:t>Defender for Cloud Reliability Checklist</w:t>
            </w:r>
            <w:r>
              <w:rPr>
                <w:webHidden/>
              </w:rPr>
              <w:tab/>
            </w:r>
            <w:r>
              <w:rPr>
                <w:webHidden/>
              </w:rPr>
              <w:fldChar w:fldCharType="begin"/>
            </w:r>
            <w:r>
              <w:rPr>
                <w:webHidden/>
              </w:rPr>
              <w:instrText xml:space="preserve"> PAGEREF _Toc160795816 \h </w:instrText>
            </w:r>
            <w:r>
              <w:rPr>
                <w:webHidden/>
              </w:rPr>
            </w:r>
            <w:r>
              <w:rPr>
                <w:webHidden/>
              </w:rPr>
              <w:fldChar w:fldCharType="separate"/>
            </w:r>
            <w:r>
              <w:rPr>
                <w:webHidden/>
              </w:rPr>
              <w:t>9</w:t>
            </w:r>
            <w:r>
              <w:rPr>
                <w:webHidden/>
              </w:rPr>
              <w:fldChar w:fldCharType="end"/>
            </w:r>
          </w:hyperlink>
        </w:p>
        <w:p w14:paraId="57F02AB8" w14:textId="6C4FDFEC" w:rsidR="001F3198" w:rsidRDefault="001F3198">
          <w:pPr>
            <w:pStyle w:val="TOC2"/>
            <w:rPr>
              <w:rFonts w:asciiTheme="minorHAnsi" w:eastAsiaTheme="minorEastAsia" w:hAnsiTheme="minorHAnsi" w:cstheme="minorBidi"/>
              <w:color w:val="auto"/>
              <w:kern w:val="2"/>
              <w14:ligatures w14:val="standardContextual"/>
            </w:rPr>
          </w:pPr>
          <w:hyperlink w:anchor="_Toc160795817" w:history="1">
            <w:r w:rsidRPr="00AE54C7">
              <w:rPr>
                <w:rStyle w:val="Hyperlink"/>
                <w:spacing w:val="-8"/>
              </w:rPr>
              <w:t>4.2</w:t>
            </w:r>
            <w:r>
              <w:rPr>
                <w:rFonts w:asciiTheme="minorHAnsi" w:eastAsiaTheme="minorEastAsia" w:hAnsiTheme="minorHAnsi" w:cstheme="minorBidi"/>
                <w:color w:val="auto"/>
                <w:kern w:val="2"/>
                <w14:ligatures w14:val="standardContextual"/>
              </w:rPr>
              <w:tab/>
            </w:r>
            <w:r w:rsidRPr="00AE54C7">
              <w:rPr>
                <w:rStyle w:val="Hyperlink"/>
              </w:rPr>
              <w:t>Cost Optimisation</w:t>
            </w:r>
            <w:r>
              <w:rPr>
                <w:webHidden/>
              </w:rPr>
              <w:tab/>
            </w:r>
            <w:r>
              <w:rPr>
                <w:webHidden/>
              </w:rPr>
              <w:fldChar w:fldCharType="begin"/>
            </w:r>
            <w:r>
              <w:rPr>
                <w:webHidden/>
              </w:rPr>
              <w:instrText xml:space="preserve"> PAGEREF _Toc160795817 \h </w:instrText>
            </w:r>
            <w:r>
              <w:rPr>
                <w:webHidden/>
              </w:rPr>
            </w:r>
            <w:r>
              <w:rPr>
                <w:webHidden/>
              </w:rPr>
              <w:fldChar w:fldCharType="separate"/>
            </w:r>
            <w:r>
              <w:rPr>
                <w:webHidden/>
              </w:rPr>
              <w:t>9</w:t>
            </w:r>
            <w:r>
              <w:rPr>
                <w:webHidden/>
              </w:rPr>
              <w:fldChar w:fldCharType="end"/>
            </w:r>
          </w:hyperlink>
        </w:p>
        <w:p w14:paraId="33A3AFA8" w14:textId="057E165C"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18" w:history="1">
            <w:r w:rsidRPr="00AE54C7">
              <w:rPr>
                <w:rStyle w:val="Hyperlink"/>
              </w:rPr>
              <w:t>4.2.1</w:t>
            </w:r>
            <w:r>
              <w:rPr>
                <w:rFonts w:asciiTheme="minorHAnsi" w:eastAsiaTheme="minorEastAsia" w:hAnsiTheme="minorHAnsi" w:cstheme="minorBidi"/>
                <w:color w:val="auto"/>
                <w:kern w:val="2"/>
                <w14:ligatures w14:val="standardContextual"/>
              </w:rPr>
              <w:tab/>
            </w:r>
            <w:r w:rsidRPr="00AE54C7">
              <w:rPr>
                <w:rStyle w:val="Hyperlink"/>
              </w:rPr>
              <w:t>Overview</w:t>
            </w:r>
            <w:r>
              <w:rPr>
                <w:webHidden/>
              </w:rPr>
              <w:tab/>
            </w:r>
            <w:r>
              <w:rPr>
                <w:webHidden/>
              </w:rPr>
              <w:fldChar w:fldCharType="begin"/>
            </w:r>
            <w:r>
              <w:rPr>
                <w:webHidden/>
              </w:rPr>
              <w:instrText xml:space="preserve"> PAGEREF _Toc160795818 \h </w:instrText>
            </w:r>
            <w:r>
              <w:rPr>
                <w:webHidden/>
              </w:rPr>
            </w:r>
            <w:r>
              <w:rPr>
                <w:webHidden/>
              </w:rPr>
              <w:fldChar w:fldCharType="separate"/>
            </w:r>
            <w:r>
              <w:rPr>
                <w:webHidden/>
              </w:rPr>
              <w:t>9</w:t>
            </w:r>
            <w:r>
              <w:rPr>
                <w:webHidden/>
              </w:rPr>
              <w:fldChar w:fldCharType="end"/>
            </w:r>
          </w:hyperlink>
        </w:p>
        <w:p w14:paraId="29969F91" w14:textId="0A0BEE60"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19" w:history="1">
            <w:r w:rsidRPr="00AE54C7">
              <w:rPr>
                <w:rStyle w:val="Hyperlink"/>
              </w:rPr>
              <w:t>4.2.2</w:t>
            </w:r>
            <w:r>
              <w:rPr>
                <w:rFonts w:asciiTheme="minorHAnsi" w:eastAsiaTheme="minorEastAsia" w:hAnsiTheme="minorHAnsi" w:cstheme="minorBidi"/>
                <w:color w:val="auto"/>
                <w:kern w:val="2"/>
                <w14:ligatures w14:val="standardContextual"/>
              </w:rPr>
              <w:tab/>
            </w:r>
            <w:r w:rsidRPr="00AE54C7">
              <w:rPr>
                <w:rStyle w:val="Hyperlink"/>
              </w:rPr>
              <w:t>Defender for Cloud Cost Optimisation Checklist</w:t>
            </w:r>
            <w:r>
              <w:rPr>
                <w:webHidden/>
              </w:rPr>
              <w:tab/>
            </w:r>
            <w:r>
              <w:rPr>
                <w:webHidden/>
              </w:rPr>
              <w:fldChar w:fldCharType="begin"/>
            </w:r>
            <w:r>
              <w:rPr>
                <w:webHidden/>
              </w:rPr>
              <w:instrText xml:space="preserve"> PAGEREF _Toc160795819 \h </w:instrText>
            </w:r>
            <w:r>
              <w:rPr>
                <w:webHidden/>
              </w:rPr>
            </w:r>
            <w:r>
              <w:rPr>
                <w:webHidden/>
              </w:rPr>
              <w:fldChar w:fldCharType="separate"/>
            </w:r>
            <w:r>
              <w:rPr>
                <w:webHidden/>
              </w:rPr>
              <w:t>9</w:t>
            </w:r>
            <w:r>
              <w:rPr>
                <w:webHidden/>
              </w:rPr>
              <w:fldChar w:fldCharType="end"/>
            </w:r>
          </w:hyperlink>
        </w:p>
        <w:p w14:paraId="127447DC" w14:textId="233EB506" w:rsidR="001F3198" w:rsidRDefault="001F3198">
          <w:pPr>
            <w:pStyle w:val="TOC2"/>
            <w:rPr>
              <w:rFonts w:asciiTheme="minorHAnsi" w:eastAsiaTheme="minorEastAsia" w:hAnsiTheme="minorHAnsi" w:cstheme="minorBidi"/>
              <w:color w:val="auto"/>
              <w:kern w:val="2"/>
              <w14:ligatures w14:val="standardContextual"/>
            </w:rPr>
          </w:pPr>
          <w:hyperlink w:anchor="_Toc160795820" w:history="1">
            <w:r w:rsidRPr="00AE54C7">
              <w:rPr>
                <w:rStyle w:val="Hyperlink"/>
                <w:spacing w:val="-8"/>
              </w:rPr>
              <w:t>4.3</w:t>
            </w:r>
            <w:r>
              <w:rPr>
                <w:rFonts w:asciiTheme="minorHAnsi" w:eastAsiaTheme="minorEastAsia" w:hAnsiTheme="minorHAnsi" w:cstheme="minorBidi"/>
                <w:color w:val="auto"/>
                <w:kern w:val="2"/>
                <w14:ligatures w14:val="standardContextual"/>
              </w:rPr>
              <w:tab/>
            </w:r>
            <w:r w:rsidRPr="00AE54C7">
              <w:rPr>
                <w:rStyle w:val="Hyperlink"/>
              </w:rPr>
              <w:t>Operational Excellence</w:t>
            </w:r>
            <w:r>
              <w:rPr>
                <w:webHidden/>
              </w:rPr>
              <w:tab/>
            </w:r>
            <w:r>
              <w:rPr>
                <w:webHidden/>
              </w:rPr>
              <w:fldChar w:fldCharType="begin"/>
            </w:r>
            <w:r>
              <w:rPr>
                <w:webHidden/>
              </w:rPr>
              <w:instrText xml:space="preserve"> PAGEREF _Toc160795820 \h </w:instrText>
            </w:r>
            <w:r>
              <w:rPr>
                <w:webHidden/>
              </w:rPr>
            </w:r>
            <w:r>
              <w:rPr>
                <w:webHidden/>
              </w:rPr>
              <w:fldChar w:fldCharType="separate"/>
            </w:r>
            <w:r>
              <w:rPr>
                <w:webHidden/>
              </w:rPr>
              <w:t>10</w:t>
            </w:r>
            <w:r>
              <w:rPr>
                <w:webHidden/>
              </w:rPr>
              <w:fldChar w:fldCharType="end"/>
            </w:r>
          </w:hyperlink>
        </w:p>
        <w:p w14:paraId="11F56FA8" w14:textId="38BFFF2D"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1" w:history="1">
            <w:r w:rsidRPr="00AE54C7">
              <w:rPr>
                <w:rStyle w:val="Hyperlink"/>
              </w:rPr>
              <w:t>4.3.1</w:t>
            </w:r>
            <w:r>
              <w:rPr>
                <w:rFonts w:asciiTheme="minorHAnsi" w:eastAsiaTheme="minorEastAsia" w:hAnsiTheme="minorHAnsi" w:cstheme="minorBidi"/>
                <w:color w:val="auto"/>
                <w:kern w:val="2"/>
                <w14:ligatures w14:val="standardContextual"/>
              </w:rPr>
              <w:tab/>
            </w:r>
            <w:r w:rsidRPr="00AE54C7">
              <w:rPr>
                <w:rStyle w:val="Hyperlink"/>
              </w:rPr>
              <w:t>Overview</w:t>
            </w:r>
            <w:r>
              <w:rPr>
                <w:webHidden/>
              </w:rPr>
              <w:tab/>
            </w:r>
            <w:r>
              <w:rPr>
                <w:webHidden/>
              </w:rPr>
              <w:fldChar w:fldCharType="begin"/>
            </w:r>
            <w:r>
              <w:rPr>
                <w:webHidden/>
              </w:rPr>
              <w:instrText xml:space="preserve"> PAGEREF _Toc160795821 \h </w:instrText>
            </w:r>
            <w:r>
              <w:rPr>
                <w:webHidden/>
              </w:rPr>
            </w:r>
            <w:r>
              <w:rPr>
                <w:webHidden/>
              </w:rPr>
              <w:fldChar w:fldCharType="separate"/>
            </w:r>
            <w:r>
              <w:rPr>
                <w:webHidden/>
              </w:rPr>
              <w:t>10</w:t>
            </w:r>
            <w:r>
              <w:rPr>
                <w:webHidden/>
              </w:rPr>
              <w:fldChar w:fldCharType="end"/>
            </w:r>
          </w:hyperlink>
        </w:p>
        <w:p w14:paraId="0FC9445E" w14:textId="55FC0844"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2" w:history="1">
            <w:r w:rsidRPr="00AE54C7">
              <w:rPr>
                <w:rStyle w:val="Hyperlink"/>
              </w:rPr>
              <w:t>4.3.2</w:t>
            </w:r>
            <w:r>
              <w:rPr>
                <w:rFonts w:asciiTheme="minorHAnsi" w:eastAsiaTheme="minorEastAsia" w:hAnsiTheme="minorHAnsi" w:cstheme="minorBidi"/>
                <w:color w:val="auto"/>
                <w:kern w:val="2"/>
                <w14:ligatures w14:val="standardContextual"/>
              </w:rPr>
              <w:tab/>
            </w:r>
            <w:r w:rsidRPr="00AE54C7">
              <w:rPr>
                <w:rStyle w:val="Hyperlink"/>
              </w:rPr>
              <w:t>Defender for Cloud Operational Excellence Checklist</w:t>
            </w:r>
            <w:r>
              <w:rPr>
                <w:webHidden/>
              </w:rPr>
              <w:tab/>
            </w:r>
            <w:r>
              <w:rPr>
                <w:webHidden/>
              </w:rPr>
              <w:fldChar w:fldCharType="begin"/>
            </w:r>
            <w:r>
              <w:rPr>
                <w:webHidden/>
              </w:rPr>
              <w:instrText xml:space="preserve"> PAGEREF _Toc160795822 \h </w:instrText>
            </w:r>
            <w:r>
              <w:rPr>
                <w:webHidden/>
              </w:rPr>
            </w:r>
            <w:r>
              <w:rPr>
                <w:webHidden/>
              </w:rPr>
              <w:fldChar w:fldCharType="separate"/>
            </w:r>
            <w:r>
              <w:rPr>
                <w:webHidden/>
              </w:rPr>
              <w:t>10</w:t>
            </w:r>
            <w:r>
              <w:rPr>
                <w:webHidden/>
              </w:rPr>
              <w:fldChar w:fldCharType="end"/>
            </w:r>
          </w:hyperlink>
        </w:p>
        <w:p w14:paraId="375096CD" w14:textId="5A6A7B90" w:rsidR="001F3198" w:rsidRDefault="001F3198">
          <w:pPr>
            <w:pStyle w:val="TOC2"/>
            <w:rPr>
              <w:rFonts w:asciiTheme="minorHAnsi" w:eastAsiaTheme="minorEastAsia" w:hAnsiTheme="minorHAnsi" w:cstheme="minorBidi"/>
              <w:color w:val="auto"/>
              <w:kern w:val="2"/>
              <w14:ligatures w14:val="standardContextual"/>
            </w:rPr>
          </w:pPr>
          <w:hyperlink w:anchor="_Toc160795823" w:history="1">
            <w:r w:rsidRPr="00AE54C7">
              <w:rPr>
                <w:rStyle w:val="Hyperlink"/>
                <w:spacing w:val="-8"/>
              </w:rPr>
              <w:t>4.4</w:t>
            </w:r>
            <w:r>
              <w:rPr>
                <w:rFonts w:asciiTheme="minorHAnsi" w:eastAsiaTheme="minorEastAsia" w:hAnsiTheme="minorHAnsi" w:cstheme="minorBidi"/>
                <w:color w:val="auto"/>
                <w:kern w:val="2"/>
                <w14:ligatures w14:val="standardContextual"/>
              </w:rPr>
              <w:tab/>
            </w:r>
            <w:r w:rsidRPr="00AE54C7">
              <w:rPr>
                <w:rStyle w:val="Hyperlink"/>
              </w:rPr>
              <w:t>Performance Efficiency</w:t>
            </w:r>
            <w:r>
              <w:rPr>
                <w:webHidden/>
              </w:rPr>
              <w:tab/>
            </w:r>
            <w:r>
              <w:rPr>
                <w:webHidden/>
              </w:rPr>
              <w:fldChar w:fldCharType="begin"/>
            </w:r>
            <w:r>
              <w:rPr>
                <w:webHidden/>
              </w:rPr>
              <w:instrText xml:space="preserve"> PAGEREF _Toc160795823 \h </w:instrText>
            </w:r>
            <w:r>
              <w:rPr>
                <w:webHidden/>
              </w:rPr>
            </w:r>
            <w:r>
              <w:rPr>
                <w:webHidden/>
              </w:rPr>
              <w:fldChar w:fldCharType="separate"/>
            </w:r>
            <w:r>
              <w:rPr>
                <w:webHidden/>
              </w:rPr>
              <w:t>10</w:t>
            </w:r>
            <w:r>
              <w:rPr>
                <w:webHidden/>
              </w:rPr>
              <w:fldChar w:fldCharType="end"/>
            </w:r>
          </w:hyperlink>
        </w:p>
        <w:p w14:paraId="29B60958" w14:textId="7027B92E"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4" w:history="1">
            <w:r w:rsidRPr="00AE54C7">
              <w:rPr>
                <w:rStyle w:val="Hyperlink"/>
              </w:rPr>
              <w:t>4.4.1</w:t>
            </w:r>
            <w:r>
              <w:rPr>
                <w:rFonts w:asciiTheme="minorHAnsi" w:eastAsiaTheme="minorEastAsia" w:hAnsiTheme="minorHAnsi" w:cstheme="minorBidi"/>
                <w:color w:val="auto"/>
                <w:kern w:val="2"/>
                <w14:ligatures w14:val="standardContextual"/>
              </w:rPr>
              <w:tab/>
            </w:r>
            <w:r w:rsidRPr="00AE54C7">
              <w:rPr>
                <w:rStyle w:val="Hyperlink"/>
              </w:rPr>
              <w:t>Overview</w:t>
            </w:r>
            <w:r>
              <w:rPr>
                <w:webHidden/>
              </w:rPr>
              <w:tab/>
            </w:r>
            <w:r>
              <w:rPr>
                <w:webHidden/>
              </w:rPr>
              <w:fldChar w:fldCharType="begin"/>
            </w:r>
            <w:r>
              <w:rPr>
                <w:webHidden/>
              </w:rPr>
              <w:instrText xml:space="preserve"> PAGEREF _Toc160795824 \h </w:instrText>
            </w:r>
            <w:r>
              <w:rPr>
                <w:webHidden/>
              </w:rPr>
            </w:r>
            <w:r>
              <w:rPr>
                <w:webHidden/>
              </w:rPr>
              <w:fldChar w:fldCharType="separate"/>
            </w:r>
            <w:r>
              <w:rPr>
                <w:webHidden/>
              </w:rPr>
              <w:t>10</w:t>
            </w:r>
            <w:r>
              <w:rPr>
                <w:webHidden/>
              </w:rPr>
              <w:fldChar w:fldCharType="end"/>
            </w:r>
          </w:hyperlink>
        </w:p>
        <w:p w14:paraId="47914AC3" w14:textId="037C48BE"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5" w:history="1">
            <w:r w:rsidRPr="00AE54C7">
              <w:rPr>
                <w:rStyle w:val="Hyperlink"/>
              </w:rPr>
              <w:t>4.4.2</w:t>
            </w:r>
            <w:r>
              <w:rPr>
                <w:rFonts w:asciiTheme="minorHAnsi" w:eastAsiaTheme="minorEastAsia" w:hAnsiTheme="minorHAnsi" w:cstheme="minorBidi"/>
                <w:color w:val="auto"/>
                <w:kern w:val="2"/>
                <w14:ligatures w14:val="standardContextual"/>
              </w:rPr>
              <w:tab/>
            </w:r>
            <w:r w:rsidRPr="00AE54C7">
              <w:rPr>
                <w:rStyle w:val="Hyperlink"/>
              </w:rPr>
              <w:t>Defender for Cloud Performance Efficiency Checklist</w:t>
            </w:r>
            <w:r>
              <w:rPr>
                <w:webHidden/>
              </w:rPr>
              <w:tab/>
            </w:r>
            <w:r>
              <w:rPr>
                <w:webHidden/>
              </w:rPr>
              <w:fldChar w:fldCharType="begin"/>
            </w:r>
            <w:r>
              <w:rPr>
                <w:webHidden/>
              </w:rPr>
              <w:instrText xml:space="preserve"> PAGEREF _Toc160795825 \h </w:instrText>
            </w:r>
            <w:r>
              <w:rPr>
                <w:webHidden/>
              </w:rPr>
            </w:r>
            <w:r>
              <w:rPr>
                <w:webHidden/>
              </w:rPr>
              <w:fldChar w:fldCharType="separate"/>
            </w:r>
            <w:r>
              <w:rPr>
                <w:webHidden/>
              </w:rPr>
              <w:t>10</w:t>
            </w:r>
            <w:r>
              <w:rPr>
                <w:webHidden/>
              </w:rPr>
              <w:fldChar w:fldCharType="end"/>
            </w:r>
          </w:hyperlink>
        </w:p>
        <w:p w14:paraId="2BEDF3DB" w14:textId="54606EBD" w:rsidR="001F3198" w:rsidRDefault="001F3198">
          <w:pPr>
            <w:pStyle w:val="TOC2"/>
            <w:rPr>
              <w:rFonts w:asciiTheme="minorHAnsi" w:eastAsiaTheme="minorEastAsia" w:hAnsiTheme="minorHAnsi" w:cstheme="minorBidi"/>
              <w:color w:val="auto"/>
              <w:kern w:val="2"/>
              <w14:ligatures w14:val="standardContextual"/>
            </w:rPr>
          </w:pPr>
          <w:hyperlink w:anchor="_Toc160795826" w:history="1">
            <w:r w:rsidRPr="00AE54C7">
              <w:rPr>
                <w:rStyle w:val="Hyperlink"/>
                <w:spacing w:val="-8"/>
              </w:rPr>
              <w:t>4.5</w:t>
            </w:r>
            <w:r>
              <w:rPr>
                <w:rFonts w:asciiTheme="minorHAnsi" w:eastAsiaTheme="minorEastAsia" w:hAnsiTheme="minorHAnsi" w:cstheme="minorBidi"/>
                <w:color w:val="auto"/>
                <w:kern w:val="2"/>
                <w14:ligatures w14:val="standardContextual"/>
              </w:rPr>
              <w:tab/>
            </w:r>
            <w:r w:rsidRPr="00AE54C7">
              <w:rPr>
                <w:rStyle w:val="Hyperlink"/>
              </w:rPr>
              <w:t>Security</w:t>
            </w:r>
            <w:r>
              <w:rPr>
                <w:webHidden/>
              </w:rPr>
              <w:tab/>
            </w:r>
            <w:r>
              <w:rPr>
                <w:webHidden/>
              </w:rPr>
              <w:fldChar w:fldCharType="begin"/>
            </w:r>
            <w:r>
              <w:rPr>
                <w:webHidden/>
              </w:rPr>
              <w:instrText xml:space="preserve"> PAGEREF _Toc160795826 \h </w:instrText>
            </w:r>
            <w:r>
              <w:rPr>
                <w:webHidden/>
              </w:rPr>
            </w:r>
            <w:r>
              <w:rPr>
                <w:webHidden/>
              </w:rPr>
              <w:fldChar w:fldCharType="separate"/>
            </w:r>
            <w:r>
              <w:rPr>
                <w:webHidden/>
              </w:rPr>
              <w:t>11</w:t>
            </w:r>
            <w:r>
              <w:rPr>
                <w:webHidden/>
              </w:rPr>
              <w:fldChar w:fldCharType="end"/>
            </w:r>
          </w:hyperlink>
        </w:p>
        <w:p w14:paraId="62B0EA4E" w14:textId="1B1E8D37"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7" w:history="1">
            <w:r w:rsidRPr="00AE54C7">
              <w:rPr>
                <w:rStyle w:val="Hyperlink"/>
              </w:rPr>
              <w:t>4.5.1</w:t>
            </w:r>
            <w:r>
              <w:rPr>
                <w:rFonts w:asciiTheme="minorHAnsi" w:eastAsiaTheme="minorEastAsia" w:hAnsiTheme="minorHAnsi" w:cstheme="minorBidi"/>
                <w:color w:val="auto"/>
                <w:kern w:val="2"/>
                <w14:ligatures w14:val="standardContextual"/>
              </w:rPr>
              <w:tab/>
            </w:r>
            <w:r w:rsidRPr="00AE54C7">
              <w:rPr>
                <w:rStyle w:val="Hyperlink"/>
              </w:rPr>
              <w:t>Overview</w:t>
            </w:r>
            <w:r>
              <w:rPr>
                <w:webHidden/>
              </w:rPr>
              <w:tab/>
            </w:r>
            <w:r>
              <w:rPr>
                <w:webHidden/>
              </w:rPr>
              <w:fldChar w:fldCharType="begin"/>
            </w:r>
            <w:r>
              <w:rPr>
                <w:webHidden/>
              </w:rPr>
              <w:instrText xml:space="preserve"> PAGEREF _Toc160795827 \h </w:instrText>
            </w:r>
            <w:r>
              <w:rPr>
                <w:webHidden/>
              </w:rPr>
            </w:r>
            <w:r>
              <w:rPr>
                <w:webHidden/>
              </w:rPr>
              <w:fldChar w:fldCharType="separate"/>
            </w:r>
            <w:r>
              <w:rPr>
                <w:webHidden/>
              </w:rPr>
              <w:t>11</w:t>
            </w:r>
            <w:r>
              <w:rPr>
                <w:webHidden/>
              </w:rPr>
              <w:fldChar w:fldCharType="end"/>
            </w:r>
          </w:hyperlink>
        </w:p>
        <w:p w14:paraId="381992B2" w14:textId="3B3AA7D4"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28" w:history="1">
            <w:r w:rsidRPr="00AE54C7">
              <w:rPr>
                <w:rStyle w:val="Hyperlink"/>
              </w:rPr>
              <w:t>4.5.2</w:t>
            </w:r>
            <w:r>
              <w:rPr>
                <w:rFonts w:asciiTheme="minorHAnsi" w:eastAsiaTheme="minorEastAsia" w:hAnsiTheme="minorHAnsi" w:cstheme="minorBidi"/>
                <w:color w:val="auto"/>
                <w:kern w:val="2"/>
                <w14:ligatures w14:val="standardContextual"/>
              </w:rPr>
              <w:tab/>
            </w:r>
            <w:r w:rsidRPr="00AE54C7">
              <w:rPr>
                <w:rStyle w:val="Hyperlink"/>
              </w:rPr>
              <w:t>Defender for Cloud Security Checklist</w:t>
            </w:r>
            <w:r>
              <w:rPr>
                <w:webHidden/>
              </w:rPr>
              <w:tab/>
            </w:r>
            <w:r>
              <w:rPr>
                <w:webHidden/>
              </w:rPr>
              <w:fldChar w:fldCharType="begin"/>
            </w:r>
            <w:r>
              <w:rPr>
                <w:webHidden/>
              </w:rPr>
              <w:instrText xml:space="preserve"> PAGEREF _Toc160795828 \h </w:instrText>
            </w:r>
            <w:r>
              <w:rPr>
                <w:webHidden/>
              </w:rPr>
            </w:r>
            <w:r>
              <w:rPr>
                <w:webHidden/>
              </w:rPr>
              <w:fldChar w:fldCharType="separate"/>
            </w:r>
            <w:r>
              <w:rPr>
                <w:webHidden/>
              </w:rPr>
              <w:t>11</w:t>
            </w:r>
            <w:r>
              <w:rPr>
                <w:webHidden/>
              </w:rPr>
              <w:fldChar w:fldCharType="end"/>
            </w:r>
          </w:hyperlink>
        </w:p>
        <w:p w14:paraId="481D80C5" w14:textId="6F93D83E"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29" w:history="1">
            <w:r w:rsidRPr="00AE54C7">
              <w:rPr>
                <w:rStyle w:val="Hyperlink"/>
                <w:rFonts w:cs="Arial"/>
              </w:rPr>
              <w:t>5.</w:t>
            </w:r>
            <w:r>
              <w:rPr>
                <w:rFonts w:asciiTheme="minorHAnsi" w:eastAsiaTheme="minorEastAsia" w:hAnsiTheme="minorHAnsi" w:cstheme="minorBidi"/>
                <w:color w:val="auto"/>
                <w:kern w:val="2"/>
                <w14:ligatures w14:val="standardContextual"/>
              </w:rPr>
              <w:tab/>
            </w:r>
            <w:r w:rsidRPr="00AE54C7">
              <w:rPr>
                <w:rStyle w:val="Hyperlink"/>
                <w:rFonts w:cs="Arial"/>
              </w:rPr>
              <w:t>Architecture Summary</w:t>
            </w:r>
            <w:r>
              <w:rPr>
                <w:webHidden/>
              </w:rPr>
              <w:tab/>
            </w:r>
            <w:r>
              <w:rPr>
                <w:webHidden/>
              </w:rPr>
              <w:fldChar w:fldCharType="begin"/>
            </w:r>
            <w:r>
              <w:rPr>
                <w:webHidden/>
              </w:rPr>
              <w:instrText xml:space="preserve"> PAGEREF _Toc160795829 \h </w:instrText>
            </w:r>
            <w:r>
              <w:rPr>
                <w:webHidden/>
              </w:rPr>
            </w:r>
            <w:r>
              <w:rPr>
                <w:webHidden/>
              </w:rPr>
              <w:fldChar w:fldCharType="separate"/>
            </w:r>
            <w:r>
              <w:rPr>
                <w:webHidden/>
              </w:rPr>
              <w:t>12</w:t>
            </w:r>
            <w:r>
              <w:rPr>
                <w:webHidden/>
              </w:rPr>
              <w:fldChar w:fldCharType="end"/>
            </w:r>
          </w:hyperlink>
        </w:p>
        <w:p w14:paraId="2EE1D1B2" w14:textId="66244EEB" w:rsidR="001F3198" w:rsidRDefault="001F3198">
          <w:pPr>
            <w:pStyle w:val="TOC2"/>
            <w:rPr>
              <w:rFonts w:asciiTheme="minorHAnsi" w:eastAsiaTheme="minorEastAsia" w:hAnsiTheme="minorHAnsi" w:cstheme="minorBidi"/>
              <w:color w:val="auto"/>
              <w:kern w:val="2"/>
              <w14:ligatures w14:val="standardContextual"/>
            </w:rPr>
          </w:pPr>
          <w:hyperlink w:anchor="_Toc160795830" w:history="1">
            <w:r w:rsidRPr="00AE54C7">
              <w:rPr>
                <w:rStyle w:val="Hyperlink"/>
                <w:spacing w:val="-8"/>
              </w:rPr>
              <w:t>5.1</w:t>
            </w:r>
            <w:r>
              <w:rPr>
                <w:rFonts w:asciiTheme="minorHAnsi" w:eastAsiaTheme="minorEastAsia" w:hAnsiTheme="minorHAnsi" w:cstheme="minorBidi"/>
                <w:color w:val="auto"/>
                <w:kern w:val="2"/>
                <w14:ligatures w14:val="standardContextual"/>
              </w:rPr>
              <w:tab/>
            </w:r>
            <w:r w:rsidRPr="00AE54C7">
              <w:rPr>
                <w:rStyle w:val="Hyperlink"/>
              </w:rPr>
              <w:t>Resource Overview</w:t>
            </w:r>
            <w:r>
              <w:rPr>
                <w:webHidden/>
              </w:rPr>
              <w:tab/>
            </w:r>
            <w:r>
              <w:rPr>
                <w:webHidden/>
              </w:rPr>
              <w:fldChar w:fldCharType="begin"/>
            </w:r>
            <w:r>
              <w:rPr>
                <w:webHidden/>
              </w:rPr>
              <w:instrText xml:space="preserve"> PAGEREF _Toc160795830 \h </w:instrText>
            </w:r>
            <w:r>
              <w:rPr>
                <w:webHidden/>
              </w:rPr>
            </w:r>
            <w:r>
              <w:rPr>
                <w:webHidden/>
              </w:rPr>
              <w:fldChar w:fldCharType="separate"/>
            </w:r>
            <w:r>
              <w:rPr>
                <w:webHidden/>
              </w:rPr>
              <w:t>12</w:t>
            </w:r>
            <w:r>
              <w:rPr>
                <w:webHidden/>
              </w:rPr>
              <w:fldChar w:fldCharType="end"/>
            </w:r>
          </w:hyperlink>
        </w:p>
        <w:p w14:paraId="2836621F" w14:textId="5CBCB9FA"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31" w:history="1">
            <w:r w:rsidRPr="00AE54C7">
              <w:rPr>
                <w:rStyle w:val="Hyperlink"/>
              </w:rPr>
              <w:t>5.1.1</w:t>
            </w:r>
            <w:r>
              <w:rPr>
                <w:rFonts w:asciiTheme="minorHAnsi" w:eastAsiaTheme="minorEastAsia" w:hAnsiTheme="minorHAnsi" w:cstheme="minorBidi"/>
                <w:color w:val="auto"/>
                <w:kern w:val="2"/>
                <w14:ligatures w14:val="standardContextual"/>
              </w:rPr>
              <w:tab/>
            </w:r>
            <w:r w:rsidRPr="00AE54C7">
              <w:rPr>
                <w:rStyle w:val="Hyperlink"/>
              </w:rPr>
              <w:t>Defender CSPM</w:t>
            </w:r>
            <w:r>
              <w:rPr>
                <w:webHidden/>
              </w:rPr>
              <w:tab/>
            </w:r>
            <w:r>
              <w:rPr>
                <w:webHidden/>
              </w:rPr>
              <w:fldChar w:fldCharType="begin"/>
            </w:r>
            <w:r>
              <w:rPr>
                <w:webHidden/>
              </w:rPr>
              <w:instrText xml:space="preserve"> PAGEREF _Toc160795831 \h </w:instrText>
            </w:r>
            <w:r>
              <w:rPr>
                <w:webHidden/>
              </w:rPr>
            </w:r>
            <w:r>
              <w:rPr>
                <w:webHidden/>
              </w:rPr>
              <w:fldChar w:fldCharType="separate"/>
            </w:r>
            <w:r>
              <w:rPr>
                <w:webHidden/>
              </w:rPr>
              <w:t>12</w:t>
            </w:r>
            <w:r>
              <w:rPr>
                <w:webHidden/>
              </w:rPr>
              <w:fldChar w:fldCharType="end"/>
            </w:r>
          </w:hyperlink>
        </w:p>
        <w:p w14:paraId="495F0B8A" w14:textId="54DF62F5" w:rsidR="001F3198" w:rsidRDefault="001F3198">
          <w:pPr>
            <w:pStyle w:val="TOC2"/>
            <w:rPr>
              <w:rFonts w:asciiTheme="minorHAnsi" w:eastAsiaTheme="minorEastAsia" w:hAnsiTheme="minorHAnsi" w:cstheme="minorBidi"/>
              <w:color w:val="auto"/>
              <w:kern w:val="2"/>
              <w14:ligatures w14:val="standardContextual"/>
            </w:rPr>
          </w:pPr>
          <w:hyperlink w:anchor="_Toc160795832" w:history="1">
            <w:r w:rsidRPr="00AE54C7">
              <w:rPr>
                <w:rStyle w:val="Hyperlink"/>
                <w:spacing w:val="-8"/>
              </w:rPr>
              <w:t>5.2</w:t>
            </w:r>
            <w:r>
              <w:rPr>
                <w:rFonts w:asciiTheme="minorHAnsi" w:eastAsiaTheme="minorEastAsia" w:hAnsiTheme="minorHAnsi" w:cstheme="minorBidi"/>
                <w:color w:val="auto"/>
                <w:kern w:val="2"/>
                <w14:ligatures w14:val="standardContextual"/>
              </w:rPr>
              <w:tab/>
            </w:r>
            <w:r w:rsidRPr="00AE54C7">
              <w:rPr>
                <w:rStyle w:val="Hyperlink"/>
              </w:rPr>
              <w:t>RBAC</w:t>
            </w:r>
            <w:r>
              <w:rPr>
                <w:webHidden/>
              </w:rPr>
              <w:tab/>
            </w:r>
            <w:r>
              <w:rPr>
                <w:webHidden/>
              </w:rPr>
              <w:fldChar w:fldCharType="begin"/>
            </w:r>
            <w:r>
              <w:rPr>
                <w:webHidden/>
              </w:rPr>
              <w:instrText xml:space="preserve"> PAGEREF _Toc160795832 \h </w:instrText>
            </w:r>
            <w:r>
              <w:rPr>
                <w:webHidden/>
              </w:rPr>
            </w:r>
            <w:r>
              <w:rPr>
                <w:webHidden/>
              </w:rPr>
              <w:fldChar w:fldCharType="separate"/>
            </w:r>
            <w:r>
              <w:rPr>
                <w:webHidden/>
              </w:rPr>
              <w:t>13</w:t>
            </w:r>
            <w:r>
              <w:rPr>
                <w:webHidden/>
              </w:rPr>
              <w:fldChar w:fldCharType="end"/>
            </w:r>
          </w:hyperlink>
        </w:p>
        <w:p w14:paraId="5E4A8386" w14:textId="2A882863" w:rsidR="001F3198" w:rsidRDefault="001F3198">
          <w:pPr>
            <w:pStyle w:val="TOC2"/>
            <w:rPr>
              <w:rFonts w:asciiTheme="minorHAnsi" w:eastAsiaTheme="minorEastAsia" w:hAnsiTheme="minorHAnsi" w:cstheme="minorBidi"/>
              <w:color w:val="auto"/>
              <w:kern w:val="2"/>
              <w14:ligatures w14:val="standardContextual"/>
            </w:rPr>
          </w:pPr>
          <w:hyperlink w:anchor="_Toc160795833" w:history="1">
            <w:r w:rsidRPr="00AE54C7">
              <w:rPr>
                <w:rStyle w:val="Hyperlink"/>
                <w:spacing w:val="-8"/>
              </w:rPr>
              <w:t>5.3</w:t>
            </w:r>
            <w:r>
              <w:rPr>
                <w:rFonts w:asciiTheme="minorHAnsi" w:eastAsiaTheme="minorEastAsia" w:hAnsiTheme="minorHAnsi" w:cstheme="minorBidi"/>
                <w:color w:val="auto"/>
                <w:kern w:val="2"/>
                <w14:ligatures w14:val="standardContextual"/>
              </w:rPr>
              <w:tab/>
            </w:r>
            <w:r w:rsidRPr="00AE54C7">
              <w:rPr>
                <w:rStyle w:val="Hyperlink"/>
              </w:rPr>
              <w:t>Design Decisions and Justifications</w:t>
            </w:r>
            <w:r>
              <w:rPr>
                <w:webHidden/>
              </w:rPr>
              <w:tab/>
            </w:r>
            <w:r>
              <w:rPr>
                <w:webHidden/>
              </w:rPr>
              <w:fldChar w:fldCharType="begin"/>
            </w:r>
            <w:r>
              <w:rPr>
                <w:webHidden/>
              </w:rPr>
              <w:instrText xml:space="preserve"> PAGEREF _Toc160795833 \h </w:instrText>
            </w:r>
            <w:r>
              <w:rPr>
                <w:webHidden/>
              </w:rPr>
            </w:r>
            <w:r>
              <w:rPr>
                <w:webHidden/>
              </w:rPr>
              <w:fldChar w:fldCharType="separate"/>
            </w:r>
            <w:r>
              <w:rPr>
                <w:webHidden/>
              </w:rPr>
              <w:t>14</w:t>
            </w:r>
            <w:r>
              <w:rPr>
                <w:webHidden/>
              </w:rPr>
              <w:fldChar w:fldCharType="end"/>
            </w:r>
          </w:hyperlink>
        </w:p>
        <w:p w14:paraId="6BA49613" w14:textId="42B07E19"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34" w:history="1">
            <w:r w:rsidRPr="00AE54C7">
              <w:rPr>
                <w:rStyle w:val="Hyperlink"/>
              </w:rPr>
              <w:t>5.3.1</w:t>
            </w:r>
            <w:r>
              <w:rPr>
                <w:rFonts w:asciiTheme="minorHAnsi" w:eastAsiaTheme="minorEastAsia" w:hAnsiTheme="minorHAnsi" w:cstheme="minorBidi"/>
                <w:color w:val="auto"/>
                <w:kern w:val="2"/>
                <w14:ligatures w14:val="standardContextual"/>
              </w:rPr>
              <w:tab/>
            </w:r>
            <w:r w:rsidRPr="00AE54C7">
              <w:rPr>
                <w:rStyle w:val="Hyperlink"/>
              </w:rPr>
              <w:t>Enabling Defender on all resources</w:t>
            </w:r>
            <w:r>
              <w:rPr>
                <w:webHidden/>
              </w:rPr>
              <w:tab/>
            </w:r>
            <w:r>
              <w:rPr>
                <w:webHidden/>
              </w:rPr>
              <w:fldChar w:fldCharType="begin"/>
            </w:r>
            <w:r>
              <w:rPr>
                <w:webHidden/>
              </w:rPr>
              <w:instrText xml:space="preserve"> PAGEREF _Toc160795834 \h </w:instrText>
            </w:r>
            <w:r>
              <w:rPr>
                <w:webHidden/>
              </w:rPr>
            </w:r>
            <w:r>
              <w:rPr>
                <w:webHidden/>
              </w:rPr>
              <w:fldChar w:fldCharType="separate"/>
            </w:r>
            <w:r>
              <w:rPr>
                <w:webHidden/>
              </w:rPr>
              <w:t>14</w:t>
            </w:r>
            <w:r>
              <w:rPr>
                <w:webHidden/>
              </w:rPr>
              <w:fldChar w:fldCharType="end"/>
            </w:r>
          </w:hyperlink>
        </w:p>
        <w:p w14:paraId="241E5469" w14:textId="0E882F8E" w:rsidR="001F3198" w:rsidRDefault="001F3198">
          <w:pPr>
            <w:pStyle w:val="TOC3"/>
            <w:tabs>
              <w:tab w:val="left" w:pos="2552"/>
            </w:tabs>
            <w:rPr>
              <w:rFonts w:asciiTheme="minorHAnsi" w:eastAsiaTheme="minorEastAsia" w:hAnsiTheme="minorHAnsi" w:cstheme="minorBidi"/>
              <w:color w:val="auto"/>
              <w:kern w:val="2"/>
              <w14:ligatures w14:val="standardContextual"/>
            </w:rPr>
          </w:pPr>
          <w:hyperlink w:anchor="_Toc160795835" w:history="1">
            <w:r w:rsidRPr="00AE54C7">
              <w:rPr>
                <w:rStyle w:val="Hyperlink"/>
              </w:rPr>
              <w:t>5.3.2</w:t>
            </w:r>
            <w:r>
              <w:rPr>
                <w:rFonts w:asciiTheme="minorHAnsi" w:eastAsiaTheme="minorEastAsia" w:hAnsiTheme="minorHAnsi" w:cstheme="minorBidi"/>
                <w:color w:val="auto"/>
                <w:kern w:val="2"/>
                <w14:ligatures w14:val="standardContextual"/>
              </w:rPr>
              <w:tab/>
            </w:r>
            <w:r w:rsidRPr="00AE54C7">
              <w:rPr>
                <w:rStyle w:val="Hyperlink"/>
              </w:rPr>
              <w:t>Deployment via Policy</w:t>
            </w:r>
            <w:r>
              <w:rPr>
                <w:webHidden/>
              </w:rPr>
              <w:tab/>
            </w:r>
            <w:r>
              <w:rPr>
                <w:webHidden/>
              </w:rPr>
              <w:fldChar w:fldCharType="begin"/>
            </w:r>
            <w:r>
              <w:rPr>
                <w:webHidden/>
              </w:rPr>
              <w:instrText xml:space="preserve"> PAGEREF _Toc160795835 \h </w:instrText>
            </w:r>
            <w:r>
              <w:rPr>
                <w:webHidden/>
              </w:rPr>
            </w:r>
            <w:r>
              <w:rPr>
                <w:webHidden/>
              </w:rPr>
              <w:fldChar w:fldCharType="separate"/>
            </w:r>
            <w:r>
              <w:rPr>
                <w:webHidden/>
              </w:rPr>
              <w:t>14</w:t>
            </w:r>
            <w:r>
              <w:rPr>
                <w:webHidden/>
              </w:rPr>
              <w:fldChar w:fldCharType="end"/>
            </w:r>
          </w:hyperlink>
        </w:p>
        <w:p w14:paraId="3A98FD36" w14:textId="54C2DF44"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36" w:history="1">
            <w:r w:rsidRPr="00AE54C7">
              <w:rPr>
                <w:rStyle w:val="Hyperlink"/>
                <w:rFonts w:cs="Arial"/>
              </w:rPr>
              <w:t>6.</w:t>
            </w:r>
            <w:r>
              <w:rPr>
                <w:rFonts w:asciiTheme="minorHAnsi" w:eastAsiaTheme="minorEastAsia" w:hAnsiTheme="minorHAnsi" w:cstheme="minorBidi"/>
                <w:color w:val="auto"/>
                <w:kern w:val="2"/>
                <w14:ligatures w14:val="standardContextual"/>
              </w:rPr>
              <w:tab/>
            </w:r>
            <w:r w:rsidRPr="00AE54C7">
              <w:rPr>
                <w:rStyle w:val="Hyperlink"/>
                <w:rFonts w:cs="Arial"/>
              </w:rPr>
              <w:t>Azure Policies</w:t>
            </w:r>
            <w:r>
              <w:rPr>
                <w:webHidden/>
              </w:rPr>
              <w:tab/>
            </w:r>
            <w:r>
              <w:rPr>
                <w:webHidden/>
              </w:rPr>
              <w:fldChar w:fldCharType="begin"/>
            </w:r>
            <w:r>
              <w:rPr>
                <w:webHidden/>
              </w:rPr>
              <w:instrText xml:space="preserve"> PAGEREF _Toc160795836 \h </w:instrText>
            </w:r>
            <w:r>
              <w:rPr>
                <w:webHidden/>
              </w:rPr>
            </w:r>
            <w:r>
              <w:rPr>
                <w:webHidden/>
              </w:rPr>
              <w:fldChar w:fldCharType="separate"/>
            </w:r>
            <w:r>
              <w:rPr>
                <w:webHidden/>
              </w:rPr>
              <w:t>15</w:t>
            </w:r>
            <w:r>
              <w:rPr>
                <w:webHidden/>
              </w:rPr>
              <w:fldChar w:fldCharType="end"/>
            </w:r>
          </w:hyperlink>
        </w:p>
        <w:p w14:paraId="1A36DBE2" w14:textId="6EB4081D"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37" w:history="1">
            <w:r w:rsidRPr="00AE54C7">
              <w:rPr>
                <w:rStyle w:val="Hyperlink"/>
                <w:rFonts w:cs="Arial"/>
              </w:rPr>
              <w:t>7.</w:t>
            </w:r>
            <w:r>
              <w:rPr>
                <w:rFonts w:asciiTheme="minorHAnsi" w:eastAsiaTheme="minorEastAsia" w:hAnsiTheme="minorHAnsi" w:cstheme="minorBidi"/>
                <w:color w:val="auto"/>
                <w:kern w:val="2"/>
                <w14:ligatures w14:val="standardContextual"/>
              </w:rPr>
              <w:tab/>
            </w:r>
            <w:r w:rsidRPr="00AE54C7">
              <w:rPr>
                <w:rStyle w:val="Hyperlink"/>
                <w:rFonts w:cs="Arial"/>
              </w:rPr>
              <w:t>Configuration Template</w:t>
            </w:r>
            <w:r>
              <w:rPr>
                <w:webHidden/>
              </w:rPr>
              <w:tab/>
            </w:r>
            <w:r>
              <w:rPr>
                <w:webHidden/>
              </w:rPr>
              <w:fldChar w:fldCharType="begin"/>
            </w:r>
            <w:r>
              <w:rPr>
                <w:webHidden/>
              </w:rPr>
              <w:instrText xml:space="preserve"> PAGEREF _Toc160795837 \h </w:instrText>
            </w:r>
            <w:r>
              <w:rPr>
                <w:webHidden/>
              </w:rPr>
            </w:r>
            <w:r>
              <w:rPr>
                <w:webHidden/>
              </w:rPr>
              <w:fldChar w:fldCharType="separate"/>
            </w:r>
            <w:r>
              <w:rPr>
                <w:webHidden/>
              </w:rPr>
              <w:t>16</w:t>
            </w:r>
            <w:r>
              <w:rPr>
                <w:webHidden/>
              </w:rPr>
              <w:fldChar w:fldCharType="end"/>
            </w:r>
          </w:hyperlink>
        </w:p>
        <w:p w14:paraId="459E29B8" w14:textId="75FB576C" w:rsidR="001F3198" w:rsidRDefault="001F3198">
          <w:pPr>
            <w:pStyle w:val="TOC1"/>
            <w:tabs>
              <w:tab w:val="left" w:pos="851"/>
            </w:tabs>
            <w:rPr>
              <w:rFonts w:asciiTheme="minorHAnsi" w:eastAsiaTheme="minorEastAsia" w:hAnsiTheme="minorHAnsi" w:cstheme="minorBidi"/>
              <w:color w:val="auto"/>
              <w:kern w:val="2"/>
              <w14:ligatures w14:val="standardContextual"/>
            </w:rPr>
          </w:pPr>
          <w:hyperlink w:anchor="_Toc160795838" w:history="1">
            <w:r w:rsidRPr="00AE54C7">
              <w:rPr>
                <w:rStyle w:val="Hyperlink"/>
              </w:rPr>
              <w:t>8.</w:t>
            </w:r>
            <w:r>
              <w:rPr>
                <w:rFonts w:asciiTheme="minorHAnsi" w:eastAsiaTheme="minorEastAsia" w:hAnsiTheme="minorHAnsi" w:cstheme="minorBidi"/>
                <w:color w:val="auto"/>
                <w:kern w:val="2"/>
                <w14:ligatures w14:val="standardContextual"/>
              </w:rPr>
              <w:tab/>
            </w:r>
            <w:r w:rsidRPr="00AE54C7">
              <w:rPr>
                <w:rStyle w:val="Hyperlink"/>
              </w:rPr>
              <w:t>Acceptance</w:t>
            </w:r>
            <w:r>
              <w:rPr>
                <w:webHidden/>
              </w:rPr>
              <w:tab/>
            </w:r>
            <w:r>
              <w:rPr>
                <w:webHidden/>
              </w:rPr>
              <w:fldChar w:fldCharType="begin"/>
            </w:r>
            <w:r>
              <w:rPr>
                <w:webHidden/>
              </w:rPr>
              <w:instrText xml:space="preserve"> PAGEREF _Toc160795838 \h </w:instrText>
            </w:r>
            <w:r>
              <w:rPr>
                <w:webHidden/>
              </w:rPr>
            </w:r>
            <w:r>
              <w:rPr>
                <w:webHidden/>
              </w:rPr>
              <w:fldChar w:fldCharType="separate"/>
            </w:r>
            <w:r>
              <w:rPr>
                <w:webHidden/>
              </w:rPr>
              <w:t>17</w:t>
            </w:r>
            <w:r>
              <w:rPr>
                <w:webHidden/>
              </w:rPr>
              <w:fldChar w:fldCharType="end"/>
            </w:r>
          </w:hyperlink>
        </w:p>
        <w:p w14:paraId="62338099" w14:textId="5FB34FA8"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0795807"/>
      <w:r w:rsidRPr="00633B64">
        <w:rPr>
          <w:rFonts w:cs="Arial"/>
        </w:rPr>
        <w:t>Overview</w:t>
      </w:r>
      <w:bookmarkEnd w:id="0"/>
      <w:r w:rsidRPr="00633B64">
        <w:rPr>
          <w:rFonts w:cs="Arial"/>
        </w:rPr>
        <w:t xml:space="preserve"> </w:t>
      </w:r>
    </w:p>
    <w:p w14:paraId="7A66AFA1" w14:textId="71B6D65F"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eastAsia="Arial"/>
              <w:sz w:val="22"/>
              <w:szCs w:val="28"/>
            </w:rPr>
            <w:t>Defender for Cloud</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eastAsia="Arial"/>
              <w:sz w:val="22"/>
              <w:szCs w:val="28"/>
            </w:rPr>
            <w:t>Defender for Cloud</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eastAsia="Arial"/>
              <w:sz w:val="22"/>
              <w:szCs w:val="28"/>
            </w:rPr>
            <w:t>Defender for Cloud</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795808"/>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795809"/>
      <w:r w:rsidRPr="00633B64">
        <w:rPr>
          <w:rFonts w:cs="Arial"/>
        </w:rPr>
        <w:t xml:space="preserve">Scope </w:t>
      </w:r>
      <w:r w:rsidR="000B5FB3">
        <w:rPr>
          <w:rFonts w:cs="Arial"/>
        </w:rPr>
        <w:t>and Key Deliverables</w:t>
      </w:r>
      <w:bookmarkEnd w:id="2"/>
    </w:p>
    <w:p w14:paraId="1B652062" w14:textId="0A6F0FF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cs="Arial"/>
            </w:rPr>
            <w:t>Defender for Cloud</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795810"/>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538D032F" w:rsidR="00A81BF5" w:rsidRDefault="00411A13" w:rsidP="00411A13">
      <w:pPr>
        <w:pStyle w:val="Caption"/>
        <w:jc w:val="center"/>
        <w:rPr>
          <w:rFonts w:cs="Arial"/>
          <w:highlight w:val="yellow"/>
        </w:rPr>
      </w:pPr>
      <w:r>
        <w:t xml:space="preserve">Table </w:t>
      </w:r>
      <w:fldSimple w:instr=" SEQ Table \* ARABIC ">
        <w:r w:rsidR="006C1C76">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795811"/>
      <w:r w:rsidRPr="00633B64">
        <w:rPr>
          <w:rFonts w:cs="Arial"/>
        </w:rPr>
        <w:lastRenderedPageBreak/>
        <w:t>Executive Summar</w:t>
      </w:r>
      <w:r w:rsidR="00006C3A">
        <w:rPr>
          <w:rFonts w:cs="Arial"/>
        </w:rPr>
        <w:t>y</w:t>
      </w:r>
      <w:bookmarkEnd w:id="4"/>
    </w:p>
    <w:p w14:paraId="1CA06FD5" w14:textId="6E8A17C6"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3E078D">
            <w:rPr>
              <w:rFonts w:cs="Arial"/>
            </w:rPr>
            <w:t>Defender for Cloud</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73083D" w:rsidRDefault="00245C45" w:rsidP="00245C45">
      <w:pPr>
        <w:jc w:val="both"/>
        <w:rPr>
          <w:rFonts w:cs="Arial"/>
        </w:rPr>
      </w:pPr>
      <w:r>
        <w:rPr>
          <w:rFonts w:cs="Arial"/>
        </w:rPr>
        <w:t xml:space="preserve">This section contains a summary of the major design decisions that have been made for defining the baseline of this resource as an outcome of the WAF and Security analysis detailed </w:t>
      </w:r>
      <w:r w:rsidRPr="0073083D">
        <w:rPr>
          <w:rFonts w:cs="Arial"/>
        </w:rPr>
        <w:t>throughout this document.</w:t>
      </w:r>
    </w:p>
    <w:p w14:paraId="577A22AF" w14:textId="77777777" w:rsidR="00245C45" w:rsidRPr="0073083D" w:rsidRDefault="00245C45" w:rsidP="00245C45">
      <w:pPr>
        <w:jc w:val="both"/>
        <w:rPr>
          <w:rFonts w:cs="Arial"/>
        </w:rPr>
      </w:pPr>
    </w:p>
    <w:p w14:paraId="287E75DD" w14:textId="680D5BF8" w:rsidR="00245C45" w:rsidRPr="0073083D" w:rsidRDefault="00245C45" w:rsidP="00245C45">
      <w:pPr>
        <w:jc w:val="both"/>
        <w:rPr>
          <w:rFonts w:cs="Arial"/>
        </w:rPr>
      </w:pPr>
      <w:r w:rsidRPr="0073083D">
        <w:rPr>
          <w:rFonts w:cs="Arial"/>
        </w:rPr>
        <w:t xml:space="preserve">Of the five WAF Pillars, it was found </w:t>
      </w:r>
      <w:r w:rsidR="003E6D10" w:rsidRPr="0073083D">
        <w:rPr>
          <w:rFonts w:cs="Arial"/>
        </w:rPr>
        <w:t xml:space="preserve">that </w:t>
      </w:r>
      <w:r w:rsidR="002C2DC2" w:rsidRPr="0073083D">
        <w:rPr>
          <w:rFonts w:cs="Arial"/>
        </w:rPr>
        <w:t xml:space="preserve">Security was </w:t>
      </w:r>
      <w:r w:rsidR="003E6D10" w:rsidRPr="0073083D">
        <w:rPr>
          <w:rFonts w:cs="Arial"/>
        </w:rPr>
        <w:t>relevant</w:t>
      </w:r>
      <w:r w:rsidRPr="0073083D">
        <w:rPr>
          <w:rFonts w:cs="Arial"/>
        </w:rPr>
        <w:t>.</w:t>
      </w:r>
      <w:r w:rsidR="003E6D10" w:rsidRPr="0073083D">
        <w:rPr>
          <w:rFonts w:cs="Arial"/>
        </w:rPr>
        <w:t xml:space="preserve"> </w:t>
      </w:r>
    </w:p>
    <w:p w14:paraId="73D76A36" w14:textId="77777777" w:rsidR="00245C45" w:rsidRPr="0073083D" w:rsidRDefault="00245C45" w:rsidP="00245C45">
      <w:pPr>
        <w:jc w:val="both"/>
        <w:rPr>
          <w:rFonts w:cs="Arial"/>
        </w:rPr>
      </w:pPr>
    </w:p>
    <w:p w14:paraId="3E5413EA" w14:textId="751FF0F6" w:rsidR="00245C45" w:rsidRPr="0073083D" w:rsidRDefault="004F26FD" w:rsidP="00245C45">
      <w:pPr>
        <w:pStyle w:val="BodyText"/>
        <w:jc w:val="both"/>
      </w:pPr>
      <w:r w:rsidRPr="0073083D">
        <w:t xml:space="preserve">This feature dictates security across the environment across all resources, so it is assumed to always be a Platinum service. Some of the main configurations include: </w:t>
      </w:r>
    </w:p>
    <w:p w14:paraId="3A8CC7D8" w14:textId="2A0A9491" w:rsidR="00245C45" w:rsidRPr="0073083D" w:rsidRDefault="004F26FD" w:rsidP="00245C45">
      <w:pPr>
        <w:pStyle w:val="BodyText"/>
        <w:numPr>
          <w:ilvl w:val="0"/>
          <w:numId w:val="31"/>
        </w:numPr>
        <w:jc w:val="both"/>
      </w:pPr>
      <w:r w:rsidRPr="0073083D">
        <w:t>Defender for all resources will be enabled across all subscriptions</w:t>
      </w:r>
      <w:r w:rsidR="00367AEE">
        <w:t xml:space="preserve"> including Defender CSPM and Defender for workloads</w:t>
      </w:r>
      <w:r w:rsidR="00E75F39" w:rsidRPr="0073083D">
        <w:t>.</w:t>
      </w:r>
      <w:r w:rsidR="00FE2020">
        <w:t xml:space="preserve"> </w:t>
      </w:r>
    </w:p>
    <w:p w14:paraId="5ABEDDEF" w14:textId="24D5E7AD" w:rsidR="000F7B0A" w:rsidRPr="0073083D" w:rsidRDefault="00245C45" w:rsidP="00E87CEF">
      <w:pPr>
        <w:pStyle w:val="BodyText"/>
        <w:numPr>
          <w:ilvl w:val="0"/>
          <w:numId w:val="31"/>
        </w:numPr>
        <w:jc w:val="both"/>
      </w:pPr>
      <w:r w:rsidRPr="0073083D">
        <w:t>A</w:t>
      </w:r>
      <w:r w:rsidR="004F26FD" w:rsidRPr="0073083D">
        <w:t>zure Policy will be used to enforce Defender plans being enable</w:t>
      </w:r>
      <w:r w:rsidR="00976969" w:rsidRPr="0073083D">
        <w:t xml:space="preserve">d automatically. </w:t>
      </w:r>
    </w:p>
    <w:p w14:paraId="0122DF96" w14:textId="77777777" w:rsidR="00F32E41" w:rsidRPr="0073083D" w:rsidRDefault="00F32E41" w:rsidP="00F32E41">
      <w:pPr>
        <w:pStyle w:val="BodyText"/>
      </w:pPr>
    </w:p>
    <w:p w14:paraId="7DF75246" w14:textId="77777777" w:rsidR="00F32E41" w:rsidRDefault="00F32E41" w:rsidP="00F32E41">
      <w:pPr>
        <w:pStyle w:val="BodyText"/>
        <w:rPr>
          <w:highlight w:val="yellow"/>
        </w:rPr>
      </w:pPr>
    </w:p>
    <w:p w14:paraId="1A00BA1B" w14:textId="77777777" w:rsidR="00F32E41" w:rsidRDefault="00F32E41" w:rsidP="00F32E41">
      <w:pPr>
        <w:pStyle w:val="BodyText"/>
        <w:rPr>
          <w:highlight w:val="yellow"/>
        </w:rPr>
      </w:pPr>
    </w:p>
    <w:p w14:paraId="259F1860" w14:textId="77777777" w:rsidR="00F32E41" w:rsidRDefault="00F32E41" w:rsidP="00F32E41">
      <w:pPr>
        <w:pStyle w:val="BodyText"/>
        <w:rPr>
          <w:highlight w:val="yellow"/>
        </w:rPr>
      </w:pPr>
    </w:p>
    <w:p w14:paraId="63609BA1" w14:textId="77777777" w:rsidR="00F32E41" w:rsidRDefault="00F32E41" w:rsidP="00F32E41">
      <w:pPr>
        <w:pStyle w:val="BodyText"/>
        <w:rPr>
          <w:highlight w:val="yellow"/>
        </w:rPr>
      </w:pPr>
    </w:p>
    <w:p w14:paraId="73CA433A" w14:textId="77777777" w:rsidR="00F32E41" w:rsidRDefault="00F32E41" w:rsidP="00F32E41">
      <w:pPr>
        <w:pStyle w:val="BodyText"/>
        <w:rPr>
          <w:highlight w:val="yellow"/>
        </w:rPr>
      </w:pPr>
    </w:p>
    <w:p w14:paraId="62E36A00" w14:textId="77777777" w:rsidR="00F32E41" w:rsidRDefault="00F32E41" w:rsidP="00F32E41">
      <w:pPr>
        <w:pStyle w:val="BodyText"/>
        <w:rPr>
          <w:highlight w:val="yellow"/>
        </w:rPr>
      </w:pPr>
    </w:p>
    <w:p w14:paraId="7C337B58" w14:textId="77777777" w:rsidR="00F32E41" w:rsidRDefault="00F32E41" w:rsidP="00F32E41">
      <w:pPr>
        <w:pStyle w:val="BodyText"/>
        <w:rPr>
          <w:highlight w:val="yellow"/>
        </w:rPr>
      </w:pPr>
    </w:p>
    <w:p w14:paraId="21BACF1E" w14:textId="77777777" w:rsidR="00F32E41" w:rsidRDefault="00F32E41" w:rsidP="00F32E41">
      <w:pPr>
        <w:pStyle w:val="BodyText"/>
        <w:rPr>
          <w:highlight w:val="yellow"/>
        </w:rPr>
      </w:pPr>
    </w:p>
    <w:p w14:paraId="5571039B" w14:textId="77777777" w:rsidR="00F32E41" w:rsidRDefault="00F32E41" w:rsidP="00F32E41">
      <w:pPr>
        <w:pStyle w:val="BodyText"/>
        <w:rPr>
          <w:highlight w:val="yellow"/>
        </w:rPr>
      </w:pPr>
    </w:p>
    <w:p w14:paraId="1642E985" w14:textId="77777777" w:rsidR="00F32E41" w:rsidRDefault="00F32E41" w:rsidP="00F32E41">
      <w:pPr>
        <w:pStyle w:val="BodyText"/>
        <w:rPr>
          <w:highlight w:val="yellow"/>
        </w:rPr>
      </w:pPr>
    </w:p>
    <w:p w14:paraId="06F51A5A" w14:textId="77777777" w:rsidR="00F32E41" w:rsidRDefault="00F32E41" w:rsidP="00F32E41">
      <w:pPr>
        <w:pStyle w:val="BodyText"/>
        <w:rPr>
          <w:highlight w:val="yellow"/>
        </w:rPr>
      </w:pPr>
    </w:p>
    <w:p w14:paraId="26409055" w14:textId="77777777" w:rsidR="00F32E41" w:rsidRDefault="00F32E41" w:rsidP="00F32E41">
      <w:pPr>
        <w:pStyle w:val="BodyText"/>
        <w:rPr>
          <w:highlight w:val="yellow"/>
        </w:rPr>
      </w:pPr>
    </w:p>
    <w:p w14:paraId="5FF01296" w14:textId="77777777" w:rsidR="00F32E41" w:rsidRDefault="00F32E41" w:rsidP="00F32E41">
      <w:pPr>
        <w:pStyle w:val="BodyText"/>
        <w:rPr>
          <w:highlight w:val="yellow"/>
        </w:rPr>
      </w:pPr>
    </w:p>
    <w:p w14:paraId="37CCCAE9" w14:textId="77777777" w:rsidR="00F32E41" w:rsidRDefault="00F32E41" w:rsidP="00F32E41">
      <w:pPr>
        <w:pStyle w:val="BodyText"/>
        <w:rPr>
          <w:highlight w:val="yellow"/>
        </w:rPr>
      </w:pPr>
    </w:p>
    <w:p w14:paraId="4608DC8D" w14:textId="77777777" w:rsidR="00F32E41" w:rsidRDefault="00F32E41" w:rsidP="00F32E41">
      <w:pPr>
        <w:pStyle w:val="BodyText"/>
        <w:rPr>
          <w:highlight w:val="yellow"/>
        </w:rPr>
      </w:pPr>
    </w:p>
    <w:p w14:paraId="2D775D92" w14:textId="77777777" w:rsidR="00F32E41" w:rsidRDefault="00F32E41" w:rsidP="00F32E41">
      <w:pPr>
        <w:pStyle w:val="BodyText"/>
        <w:rPr>
          <w:highlight w:val="yellow"/>
        </w:rPr>
      </w:pPr>
    </w:p>
    <w:p w14:paraId="533F269E" w14:textId="77777777" w:rsidR="00F32E41" w:rsidRDefault="00F32E41" w:rsidP="00F32E41">
      <w:pPr>
        <w:pStyle w:val="BodyText"/>
        <w:rPr>
          <w:highlight w:val="yellow"/>
        </w:rPr>
      </w:pPr>
    </w:p>
    <w:p w14:paraId="39DC8D43" w14:textId="77777777" w:rsidR="00F32E41" w:rsidRDefault="00F32E41" w:rsidP="00F32E41">
      <w:pPr>
        <w:pStyle w:val="BodyText"/>
        <w:rPr>
          <w:highlight w:val="yellow"/>
        </w:rPr>
      </w:pPr>
    </w:p>
    <w:p w14:paraId="4DB9BCCC" w14:textId="77777777" w:rsidR="00F32E41" w:rsidRDefault="00F32E41" w:rsidP="00F32E41">
      <w:pPr>
        <w:pStyle w:val="BodyText"/>
        <w:rPr>
          <w:highlight w:val="yellow"/>
        </w:rPr>
      </w:pPr>
    </w:p>
    <w:p w14:paraId="558E018E" w14:textId="77777777" w:rsidR="00F32E41" w:rsidRDefault="00F32E41" w:rsidP="00F32E41">
      <w:pPr>
        <w:pStyle w:val="BodyText"/>
        <w:rPr>
          <w:highlight w:val="yellow"/>
        </w:rPr>
      </w:pPr>
    </w:p>
    <w:p w14:paraId="4879FAB8" w14:textId="77777777" w:rsidR="00F32E41" w:rsidRDefault="00F32E41" w:rsidP="00F32E41">
      <w:pPr>
        <w:pStyle w:val="BodyText"/>
        <w:rPr>
          <w:highlight w:val="yellow"/>
        </w:rPr>
      </w:pPr>
    </w:p>
    <w:p w14:paraId="752146A3" w14:textId="77777777" w:rsidR="00F32E41" w:rsidRDefault="00F32E41" w:rsidP="00F32E41">
      <w:pPr>
        <w:pStyle w:val="BodyText"/>
        <w:rPr>
          <w:highlight w:val="yellow"/>
        </w:rPr>
      </w:pPr>
    </w:p>
    <w:p w14:paraId="48B9DDB8" w14:textId="77777777" w:rsidR="00F32E41" w:rsidRPr="00891F46" w:rsidRDefault="00F32E41" w:rsidP="00F32E41">
      <w:pPr>
        <w:pStyle w:val="BodyText"/>
        <w:rPr>
          <w:highlight w:val="yellow"/>
        </w:rPr>
      </w:pPr>
    </w:p>
    <w:p w14:paraId="34673AF0" w14:textId="4E80902F" w:rsidR="008211CA" w:rsidRPr="00633B64" w:rsidRDefault="008211CA" w:rsidP="008211CA">
      <w:pPr>
        <w:pStyle w:val="Heading1"/>
        <w:rPr>
          <w:rFonts w:cs="Arial"/>
        </w:rPr>
      </w:pPr>
      <w:bookmarkStart w:id="5" w:name="_Toc160795812"/>
      <w:r>
        <w:rPr>
          <w:rFonts w:cs="Arial"/>
        </w:rPr>
        <w:lastRenderedPageBreak/>
        <w:t>Resource Cost</w:t>
      </w:r>
      <w:bookmarkEnd w:id="5"/>
    </w:p>
    <w:p w14:paraId="1980E5A5" w14:textId="638C9BFC" w:rsidR="00682115" w:rsidRDefault="003260A3" w:rsidP="001C26DD">
      <w:pPr>
        <w:pStyle w:val="BodyText"/>
      </w:pPr>
      <w:r w:rsidRPr="00591AF5">
        <w:t>Defender for Cloud pricing varies depending on the underlying resource type. Typically it is a per instance per unit of time pricing</w:t>
      </w:r>
      <w:r w:rsidR="00591AF5">
        <w:rPr>
          <w:rStyle w:val="FootnoteReference"/>
        </w:rPr>
        <w:footnoteReference w:id="3"/>
      </w:r>
      <w:r w:rsidRPr="00591AF5">
        <w:t xml:space="preserve">: </w:t>
      </w:r>
      <w:r w:rsidR="008211CA" w:rsidRPr="00591AF5">
        <w:t xml:space="preserve"> </w:t>
      </w:r>
    </w:p>
    <w:tbl>
      <w:tblPr>
        <w:tblStyle w:val="AVTable11"/>
        <w:tblW w:w="9639" w:type="dxa"/>
        <w:tblLook w:val="04A0" w:firstRow="1" w:lastRow="0" w:firstColumn="1" w:lastColumn="0" w:noHBand="0" w:noVBand="1"/>
      </w:tblPr>
      <w:tblGrid>
        <w:gridCol w:w="1560"/>
        <w:gridCol w:w="4394"/>
        <w:gridCol w:w="3685"/>
      </w:tblGrid>
      <w:tr w:rsidR="00682115" w:rsidRPr="00682115" w14:paraId="6D847038" w14:textId="77777777" w:rsidTr="00591AF5">
        <w:trPr>
          <w:cnfStyle w:val="100000000000" w:firstRow="1" w:lastRow="0" w:firstColumn="0" w:lastColumn="0" w:oddVBand="0" w:evenVBand="0" w:oddHBand="0" w:evenHBand="0" w:firstRowFirstColumn="0" w:firstRowLastColumn="0" w:lastRowFirstColumn="0" w:lastRowLastColumn="0"/>
          <w:trHeight w:val="504"/>
        </w:trPr>
        <w:tc>
          <w:tcPr>
            <w:tcW w:w="1560" w:type="dxa"/>
            <w:hideMark/>
          </w:tcPr>
          <w:p w14:paraId="40013F7C" w14:textId="77777777" w:rsidR="00682115" w:rsidRPr="00682115" w:rsidRDefault="00682115" w:rsidP="00682115">
            <w:pPr>
              <w:spacing w:after="360" w:line="240" w:lineRule="auto"/>
              <w:jc w:val="center"/>
              <w:rPr>
                <w:rFonts w:cs="Arial"/>
                <w:bCs/>
                <w:color w:val="auto"/>
              </w:rPr>
            </w:pPr>
            <w:r w:rsidRPr="00682115">
              <w:rPr>
                <w:rFonts w:cs="Arial"/>
                <w:bCs/>
                <w:color w:val="auto"/>
              </w:rPr>
              <w:t>Resource Type</w:t>
            </w:r>
          </w:p>
        </w:tc>
        <w:tc>
          <w:tcPr>
            <w:tcW w:w="4394" w:type="dxa"/>
            <w:hideMark/>
          </w:tcPr>
          <w:p w14:paraId="0AED6033" w14:textId="77777777" w:rsidR="00682115" w:rsidRPr="00682115" w:rsidRDefault="00682115" w:rsidP="00682115">
            <w:pPr>
              <w:spacing w:after="360" w:line="240" w:lineRule="auto"/>
              <w:jc w:val="center"/>
              <w:rPr>
                <w:rFonts w:cs="Arial"/>
                <w:bCs/>
                <w:color w:val="auto"/>
              </w:rPr>
            </w:pPr>
            <w:r w:rsidRPr="00682115">
              <w:rPr>
                <w:rFonts w:cs="Arial"/>
                <w:bCs/>
                <w:color w:val="auto"/>
              </w:rPr>
              <w:t>Resource</w:t>
            </w:r>
          </w:p>
        </w:tc>
        <w:tc>
          <w:tcPr>
            <w:tcW w:w="3685" w:type="dxa"/>
            <w:hideMark/>
          </w:tcPr>
          <w:p w14:paraId="4F904A6F" w14:textId="77777777" w:rsidR="00682115" w:rsidRPr="00682115" w:rsidRDefault="00682115" w:rsidP="00682115">
            <w:pPr>
              <w:spacing w:after="360" w:line="240" w:lineRule="auto"/>
              <w:jc w:val="center"/>
              <w:rPr>
                <w:rFonts w:cs="Arial"/>
                <w:bCs/>
                <w:color w:val="auto"/>
              </w:rPr>
            </w:pPr>
            <w:r w:rsidRPr="00682115">
              <w:rPr>
                <w:rFonts w:cs="Arial"/>
                <w:bCs/>
                <w:color w:val="auto"/>
              </w:rPr>
              <w:t>Price</w:t>
            </w:r>
          </w:p>
        </w:tc>
      </w:tr>
      <w:tr w:rsidR="00682115" w:rsidRPr="00682115" w14:paraId="41393EF5" w14:textId="77777777" w:rsidTr="003260A3">
        <w:tc>
          <w:tcPr>
            <w:tcW w:w="1560" w:type="dxa"/>
            <w:hideMark/>
          </w:tcPr>
          <w:p w14:paraId="0CD203C4" w14:textId="77777777" w:rsidR="00682115" w:rsidRPr="00682115" w:rsidRDefault="00682115" w:rsidP="00682115">
            <w:pPr>
              <w:spacing w:line="240" w:lineRule="auto"/>
              <w:rPr>
                <w:rFonts w:cs="Arial"/>
                <w:color w:val="auto"/>
              </w:rPr>
            </w:pPr>
            <w:r w:rsidRPr="00682115">
              <w:rPr>
                <w:rFonts w:cs="Arial"/>
                <w:color w:val="auto"/>
              </w:rPr>
              <w:t>Servers</w:t>
            </w:r>
          </w:p>
        </w:tc>
        <w:tc>
          <w:tcPr>
            <w:tcW w:w="4394" w:type="dxa"/>
            <w:hideMark/>
          </w:tcPr>
          <w:p w14:paraId="6FE72D93" w14:textId="77777777" w:rsidR="00682115" w:rsidRPr="00682115" w:rsidRDefault="00682115" w:rsidP="00682115">
            <w:pPr>
              <w:spacing w:line="240" w:lineRule="auto"/>
              <w:rPr>
                <w:rFonts w:cs="Arial"/>
                <w:color w:val="auto"/>
              </w:rPr>
            </w:pPr>
            <w:r w:rsidRPr="00682115">
              <w:rPr>
                <w:rFonts w:cs="Arial"/>
                <w:color w:val="auto"/>
              </w:rPr>
              <w:t>Microsoft Defender for Servers Plan 1</w:t>
            </w:r>
          </w:p>
        </w:tc>
        <w:tc>
          <w:tcPr>
            <w:tcW w:w="3685" w:type="dxa"/>
            <w:hideMark/>
          </w:tcPr>
          <w:p w14:paraId="12CC4329" w14:textId="77777777" w:rsidR="00682115" w:rsidRPr="00682115" w:rsidRDefault="00682115" w:rsidP="00682115">
            <w:pPr>
              <w:spacing w:line="240" w:lineRule="auto"/>
              <w:rPr>
                <w:rFonts w:cs="Arial"/>
                <w:color w:val="auto"/>
              </w:rPr>
            </w:pPr>
            <w:r w:rsidRPr="00682115">
              <w:rPr>
                <w:rFonts w:cs="Arial"/>
                <w:b/>
                <w:bCs/>
                <w:color w:val="auto"/>
              </w:rPr>
              <w:t>$0.011</w:t>
            </w:r>
            <w:r w:rsidRPr="00682115">
              <w:rPr>
                <w:rFonts w:cs="Arial"/>
                <w:color w:val="auto"/>
              </w:rPr>
              <w:t>/Server/hour</w:t>
            </w:r>
          </w:p>
        </w:tc>
      </w:tr>
      <w:tr w:rsidR="00682115" w:rsidRPr="00682115" w14:paraId="48223102" w14:textId="77777777" w:rsidTr="003260A3">
        <w:tc>
          <w:tcPr>
            <w:tcW w:w="1560" w:type="dxa"/>
            <w:hideMark/>
          </w:tcPr>
          <w:p w14:paraId="4C310649" w14:textId="77777777" w:rsidR="00682115" w:rsidRPr="00682115" w:rsidRDefault="00682115" w:rsidP="00682115">
            <w:pPr>
              <w:spacing w:line="240" w:lineRule="auto"/>
              <w:rPr>
                <w:rFonts w:cs="Arial"/>
                <w:color w:val="auto"/>
              </w:rPr>
            </w:pPr>
          </w:p>
        </w:tc>
        <w:tc>
          <w:tcPr>
            <w:tcW w:w="4394" w:type="dxa"/>
            <w:hideMark/>
          </w:tcPr>
          <w:p w14:paraId="0FCAEABA" w14:textId="77777777" w:rsidR="00682115" w:rsidRPr="00682115" w:rsidRDefault="00682115" w:rsidP="00682115">
            <w:pPr>
              <w:spacing w:line="240" w:lineRule="auto"/>
              <w:rPr>
                <w:rFonts w:cs="Arial"/>
                <w:color w:val="auto"/>
              </w:rPr>
            </w:pPr>
            <w:r w:rsidRPr="00682115">
              <w:rPr>
                <w:rFonts w:cs="Arial"/>
                <w:color w:val="auto"/>
              </w:rPr>
              <w:t>Microsoft Defender for Servers Plan 2</w:t>
            </w:r>
          </w:p>
        </w:tc>
        <w:tc>
          <w:tcPr>
            <w:tcW w:w="3685" w:type="dxa"/>
            <w:hideMark/>
          </w:tcPr>
          <w:p w14:paraId="769B8AA1" w14:textId="77777777" w:rsidR="00682115" w:rsidRPr="00682115" w:rsidRDefault="00682115" w:rsidP="00682115">
            <w:pPr>
              <w:spacing w:line="240" w:lineRule="auto"/>
              <w:rPr>
                <w:rFonts w:cs="Arial"/>
                <w:color w:val="auto"/>
              </w:rPr>
            </w:pPr>
            <w:r w:rsidRPr="00682115">
              <w:rPr>
                <w:rFonts w:cs="Arial"/>
                <w:b/>
                <w:bCs/>
                <w:color w:val="auto"/>
              </w:rPr>
              <w:t>$0.031</w:t>
            </w:r>
            <w:r w:rsidRPr="00682115">
              <w:rPr>
                <w:rFonts w:cs="Arial"/>
                <w:color w:val="auto"/>
              </w:rPr>
              <w:t>/Server/hour</w:t>
            </w:r>
          </w:p>
        </w:tc>
      </w:tr>
      <w:tr w:rsidR="00682115" w:rsidRPr="00682115" w14:paraId="7AC7BD51" w14:textId="77777777" w:rsidTr="003260A3">
        <w:tc>
          <w:tcPr>
            <w:tcW w:w="1560" w:type="dxa"/>
            <w:hideMark/>
          </w:tcPr>
          <w:p w14:paraId="62BEF091" w14:textId="77777777" w:rsidR="00682115" w:rsidRPr="00682115" w:rsidRDefault="00682115" w:rsidP="00682115">
            <w:pPr>
              <w:spacing w:line="240" w:lineRule="auto"/>
              <w:rPr>
                <w:rFonts w:cs="Arial"/>
                <w:color w:val="auto"/>
              </w:rPr>
            </w:pPr>
            <w:r w:rsidRPr="00682115">
              <w:rPr>
                <w:rFonts w:cs="Arial"/>
                <w:color w:val="auto"/>
              </w:rPr>
              <w:t>Containers</w:t>
            </w:r>
          </w:p>
        </w:tc>
        <w:tc>
          <w:tcPr>
            <w:tcW w:w="4394" w:type="dxa"/>
            <w:hideMark/>
          </w:tcPr>
          <w:p w14:paraId="521FD885" w14:textId="77777777" w:rsidR="00682115" w:rsidRPr="00682115" w:rsidRDefault="00682115" w:rsidP="00682115">
            <w:pPr>
              <w:spacing w:line="240" w:lineRule="auto"/>
              <w:rPr>
                <w:rFonts w:cs="Arial"/>
                <w:color w:val="auto"/>
              </w:rPr>
            </w:pPr>
            <w:r w:rsidRPr="00682115">
              <w:rPr>
                <w:rFonts w:cs="Arial"/>
                <w:color w:val="auto"/>
              </w:rPr>
              <w:t>Microsoft Defender for Containers</w:t>
            </w:r>
          </w:p>
        </w:tc>
        <w:tc>
          <w:tcPr>
            <w:tcW w:w="3685" w:type="dxa"/>
            <w:hideMark/>
          </w:tcPr>
          <w:p w14:paraId="2AC24B19" w14:textId="77777777" w:rsidR="00682115" w:rsidRPr="00682115" w:rsidRDefault="00682115" w:rsidP="00682115">
            <w:pPr>
              <w:spacing w:line="240" w:lineRule="auto"/>
              <w:rPr>
                <w:rFonts w:cs="Arial"/>
                <w:color w:val="auto"/>
              </w:rPr>
            </w:pPr>
            <w:r w:rsidRPr="00682115">
              <w:rPr>
                <w:rFonts w:cs="Arial"/>
                <w:b/>
                <w:bCs/>
                <w:color w:val="auto"/>
              </w:rPr>
              <w:t>$0.0144</w:t>
            </w:r>
            <w:r w:rsidRPr="00682115">
              <w:rPr>
                <w:rFonts w:cs="Arial"/>
                <w:color w:val="auto"/>
              </w:rPr>
              <w:t>/vCore/hour</w:t>
            </w:r>
            <w:r w:rsidRPr="00682115">
              <w:rPr>
                <w:rFonts w:cs="Arial"/>
                <w:color w:val="auto"/>
                <w:vertAlign w:val="superscript"/>
              </w:rPr>
              <w:t>4</w:t>
            </w:r>
          </w:p>
        </w:tc>
      </w:tr>
      <w:tr w:rsidR="00682115" w:rsidRPr="00682115" w14:paraId="16174C45" w14:textId="77777777" w:rsidTr="003260A3">
        <w:tc>
          <w:tcPr>
            <w:tcW w:w="1560" w:type="dxa"/>
            <w:hideMark/>
          </w:tcPr>
          <w:p w14:paraId="5BB6D851" w14:textId="77777777" w:rsidR="00682115" w:rsidRPr="00682115" w:rsidRDefault="00682115" w:rsidP="00682115">
            <w:pPr>
              <w:spacing w:line="240" w:lineRule="auto"/>
              <w:rPr>
                <w:rFonts w:cs="Arial"/>
                <w:color w:val="auto"/>
              </w:rPr>
            </w:pPr>
            <w:r w:rsidRPr="00682115">
              <w:rPr>
                <w:rFonts w:cs="Arial"/>
                <w:color w:val="auto"/>
              </w:rPr>
              <w:t>Databases</w:t>
            </w:r>
          </w:p>
        </w:tc>
        <w:tc>
          <w:tcPr>
            <w:tcW w:w="4394" w:type="dxa"/>
            <w:hideMark/>
          </w:tcPr>
          <w:p w14:paraId="10957A10" w14:textId="77777777" w:rsidR="00682115" w:rsidRPr="00682115" w:rsidRDefault="00682115" w:rsidP="00682115">
            <w:pPr>
              <w:spacing w:line="240" w:lineRule="auto"/>
              <w:rPr>
                <w:rFonts w:cs="Arial"/>
                <w:color w:val="auto"/>
              </w:rPr>
            </w:pPr>
            <w:r w:rsidRPr="00682115">
              <w:rPr>
                <w:rFonts w:cs="Arial"/>
                <w:color w:val="auto"/>
              </w:rPr>
              <w:t>Microsoft Defender for SQL on Azure-connected databases</w:t>
            </w:r>
          </w:p>
        </w:tc>
        <w:tc>
          <w:tcPr>
            <w:tcW w:w="3685" w:type="dxa"/>
            <w:hideMark/>
          </w:tcPr>
          <w:p w14:paraId="51787B19" w14:textId="77777777" w:rsidR="00682115" w:rsidRPr="00682115" w:rsidRDefault="00682115" w:rsidP="00682115">
            <w:pPr>
              <w:spacing w:line="240" w:lineRule="auto"/>
              <w:rPr>
                <w:rFonts w:cs="Arial"/>
                <w:color w:val="auto"/>
              </w:rPr>
            </w:pPr>
            <w:r w:rsidRPr="00682115">
              <w:rPr>
                <w:rFonts w:cs="Arial"/>
                <w:b/>
                <w:bCs/>
                <w:color w:val="auto"/>
              </w:rPr>
              <w:t>$0.032</w:t>
            </w:r>
            <w:r w:rsidRPr="00682115">
              <w:rPr>
                <w:rFonts w:cs="Arial"/>
                <w:color w:val="auto"/>
              </w:rPr>
              <w:t>/Instance/hour</w:t>
            </w:r>
            <w:r w:rsidRPr="00682115">
              <w:rPr>
                <w:rFonts w:cs="Arial"/>
                <w:color w:val="auto"/>
                <w:vertAlign w:val="superscript"/>
              </w:rPr>
              <w:t>2</w:t>
            </w:r>
          </w:p>
        </w:tc>
      </w:tr>
      <w:tr w:rsidR="00682115" w:rsidRPr="00682115" w14:paraId="1B36C5C6" w14:textId="77777777" w:rsidTr="003260A3">
        <w:tc>
          <w:tcPr>
            <w:tcW w:w="1560" w:type="dxa"/>
            <w:hideMark/>
          </w:tcPr>
          <w:p w14:paraId="16D5B2E8" w14:textId="77777777" w:rsidR="00682115" w:rsidRPr="00682115" w:rsidRDefault="00682115" w:rsidP="00682115">
            <w:pPr>
              <w:spacing w:line="240" w:lineRule="auto"/>
              <w:rPr>
                <w:rFonts w:cs="Arial"/>
                <w:color w:val="auto"/>
              </w:rPr>
            </w:pPr>
          </w:p>
        </w:tc>
        <w:tc>
          <w:tcPr>
            <w:tcW w:w="4394" w:type="dxa"/>
            <w:hideMark/>
          </w:tcPr>
          <w:p w14:paraId="1F3D3ED5" w14:textId="77777777" w:rsidR="00682115" w:rsidRPr="00682115" w:rsidRDefault="00682115" w:rsidP="00682115">
            <w:pPr>
              <w:spacing w:line="240" w:lineRule="auto"/>
              <w:rPr>
                <w:rFonts w:cs="Arial"/>
                <w:color w:val="auto"/>
              </w:rPr>
            </w:pPr>
            <w:r w:rsidRPr="00682115">
              <w:rPr>
                <w:rFonts w:cs="Arial"/>
                <w:color w:val="auto"/>
              </w:rPr>
              <w:t>Microsoft Defender for SQL outside Azure</w:t>
            </w:r>
          </w:p>
        </w:tc>
        <w:tc>
          <w:tcPr>
            <w:tcW w:w="3685" w:type="dxa"/>
            <w:hideMark/>
          </w:tcPr>
          <w:p w14:paraId="0BA02EF9" w14:textId="77777777" w:rsidR="00682115" w:rsidRPr="00682115" w:rsidRDefault="00682115" w:rsidP="00682115">
            <w:pPr>
              <w:spacing w:line="240" w:lineRule="auto"/>
              <w:rPr>
                <w:rFonts w:cs="Arial"/>
                <w:color w:val="auto"/>
              </w:rPr>
            </w:pPr>
            <w:r w:rsidRPr="00682115">
              <w:rPr>
                <w:rFonts w:cs="Arial"/>
                <w:b/>
                <w:bCs/>
                <w:color w:val="auto"/>
              </w:rPr>
              <w:t>$0.023</w:t>
            </w:r>
            <w:r w:rsidRPr="00682115">
              <w:rPr>
                <w:rFonts w:cs="Arial"/>
                <w:color w:val="auto"/>
              </w:rPr>
              <w:t>/Instance/vCore/hour</w:t>
            </w:r>
            <w:r w:rsidRPr="00682115">
              <w:rPr>
                <w:rFonts w:cs="Arial"/>
                <w:color w:val="auto"/>
                <w:vertAlign w:val="superscript"/>
              </w:rPr>
              <w:t>3</w:t>
            </w:r>
          </w:p>
        </w:tc>
      </w:tr>
      <w:tr w:rsidR="00682115" w:rsidRPr="00682115" w14:paraId="11763020" w14:textId="77777777" w:rsidTr="003260A3">
        <w:tc>
          <w:tcPr>
            <w:tcW w:w="1560" w:type="dxa"/>
            <w:hideMark/>
          </w:tcPr>
          <w:p w14:paraId="1F4E0311" w14:textId="77777777" w:rsidR="00682115" w:rsidRPr="00682115" w:rsidRDefault="00682115" w:rsidP="00682115">
            <w:pPr>
              <w:spacing w:line="240" w:lineRule="auto"/>
              <w:rPr>
                <w:rFonts w:cs="Arial"/>
                <w:color w:val="auto"/>
              </w:rPr>
            </w:pPr>
          </w:p>
        </w:tc>
        <w:tc>
          <w:tcPr>
            <w:tcW w:w="4394" w:type="dxa"/>
            <w:hideMark/>
          </w:tcPr>
          <w:p w14:paraId="0ED85741" w14:textId="77777777" w:rsidR="00682115" w:rsidRPr="00682115" w:rsidRDefault="00682115" w:rsidP="00682115">
            <w:pPr>
              <w:spacing w:line="240" w:lineRule="auto"/>
              <w:rPr>
                <w:rFonts w:cs="Arial"/>
                <w:color w:val="auto"/>
              </w:rPr>
            </w:pPr>
            <w:r w:rsidRPr="00682115">
              <w:rPr>
                <w:rFonts w:cs="Arial"/>
                <w:color w:val="auto"/>
              </w:rPr>
              <w:t>Microsoft Defender for MySQL</w:t>
            </w:r>
          </w:p>
        </w:tc>
        <w:tc>
          <w:tcPr>
            <w:tcW w:w="3685" w:type="dxa"/>
            <w:hideMark/>
          </w:tcPr>
          <w:p w14:paraId="1C98154F" w14:textId="77777777" w:rsidR="00682115" w:rsidRPr="00682115" w:rsidRDefault="00682115" w:rsidP="00682115">
            <w:pPr>
              <w:spacing w:line="240" w:lineRule="auto"/>
              <w:rPr>
                <w:rFonts w:cs="Arial"/>
                <w:color w:val="auto"/>
              </w:rPr>
            </w:pPr>
            <w:r w:rsidRPr="00682115">
              <w:rPr>
                <w:rFonts w:cs="Arial"/>
                <w:b/>
                <w:bCs/>
                <w:color w:val="auto"/>
              </w:rPr>
              <w:t>$0.032</w:t>
            </w:r>
            <w:r w:rsidRPr="00682115">
              <w:rPr>
                <w:rFonts w:cs="Arial"/>
                <w:color w:val="auto"/>
              </w:rPr>
              <w:t>/Instance/hour</w:t>
            </w:r>
          </w:p>
        </w:tc>
      </w:tr>
      <w:tr w:rsidR="00682115" w:rsidRPr="00682115" w14:paraId="56C70FA9" w14:textId="77777777" w:rsidTr="003260A3">
        <w:tc>
          <w:tcPr>
            <w:tcW w:w="1560" w:type="dxa"/>
            <w:hideMark/>
          </w:tcPr>
          <w:p w14:paraId="7E20E67B" w14:textId="77777777" w:rsidR="00682115" w:rsidRPr="00682115" w:rsidRDefault="00682115" w:rsidP="00682115">
            <w:pPr>
              <w:spacing w:line="240" w:lineRule="auto"/>
              <w:rPr>
                <w:rFonts w:cs="Arial"/>
                <w:color w:val="auto"/>
              </w:rPr>
            </w:pPr>
          </w:p>
        </w:tc>
        <w:tc>
          <w:tcPr>
            <w:tcW w:w="4394" w:type="dxa"/>
            <w:hideMark/>
          </w:tcPr>
          <w:p w14:paraId="4F36F8FD" w14:textId="77777777" w:rsidR="00682115" w:rsidRPr="00682115" w:rsidRDefault="00682115" w:rsidP="00682115">
            <w:pPr>
              <w:spacing w:line="240" w:lineRule="auto"/>
              <w:rPr>
                <w:rFonts w:cs="Arial"/>
                <w:color w:val="auto"/>
              </w:rPr>
            </w:pPr>
            <w:r w:rsidRPr="00682115">
              <w:rPr>
                <w:rFonts w:cs="Arial"/>
                <w:color w:val="auto"/>
              </w:rPr>
              <w:t>Microsoft Defender for PostgreSQL</w:t>
            </w:r>
          </w:p>
        </w:tc>
        <w:tc>
          <w:tcPr>
            <w:tcW w:w="3685" w:type="dxa"/>
            <w:hideMark/>
          </w:tcPr>
          <w:p w14:paraId="0AFAE8F1" w14:textId="77777777" w:rsidR="00682115" w:rsidRPr="00682115" w:rsidRDefault="00682115" w:rsidP="00682115">
            <w:pPr>
              <w:spacing w:line="240" w:lineRule="auto"/>
              <w:rPr>
                <w:rFonts w:cs="Arial"/>
                <w:color w:val="auto"/>
              </w:rPr>
            </w:pPr>
            <w:r w:rsidRPr="00682115">
              <w:rPr>
                <w:rFonts w:cs="Arial"/>
                <w:b/>
                <w:bCs/>
                <w:color w:val="auto"/>
              </w:rPr>
              <w:t>$0.032</w:t>
            </w:r>
            <w:r w:rsidRPr="00682115">
              <w:rPr>
                <w:rFonts w:cs="Arial"/>
                <w:color w:val="auto"/>
              </w:rPr>
              <w:t>/Instance/hour</w:t>
            </w:r>
          </w:p>
        </w:tc>
      </w:tr>
      <w:tr w:rsidR="00682115" w:rsidRPr="00682115" w14:paraId="23C8655D" w14:textId="77777777" w:rsidTr="003260A3">
        <w:tc>
          <w:tcPr>
            <w:tcW w:w="1560" w:type="dxa"/>
            <w:hideMark/>
          </w:tcPr>
          <w:p w14:paraId="2DB0A362" w14:textId="77777777" w:rsidR="00682115" w:rsidRPr="00682115" w:rsidRDefault="00682115" w:rsidP="00682115">
            <w:pPr>
              <w:spacing w:line="240" w:lineRule="auto"/>
              <w:rPr>
                <w:rFonts w:cs="Arial"/>
                <w:color w:val="auto"/>
              </w:rPr>
            </w:pPr>
          </w:p>
        </w:tc>
        <w:tc>
          <w:tcPr>
            <w:tcW w:w="4394" w:type="dxa"/>
            <w:hideMark/>
          </w:tcPr>
          <w:p w14:paraId="6C78AA09" w14:textId="77777777" w:rsidR="00682115" w:rsidRPr="00682115" w:rsidRDefault="00682115" w:rsidP="00682115">
            <w:pPr>
              <w:spacing w:line="240" w:lineRule="auto"/>
              <w:rPr>
                <w:rFonts w:cs="Arial"/>
                <w:color w:val="auto"/>
              </w:rPr>
            </w:pPr>
            <w:r w:rsidRPr="00682115">
              <w:rPr>
                <w:rFonts w:cs="Arial"/>
                <w:color w:val="auto"/>
              </w:rPr>
              <w:t>Microsoft Defender for MariaDB</w:t>
            </w:r>
          </w:p>
        </w:tc>
        <w:tc>
          <w:tcPr>
            <w:tcW w:w="3685" w:type="dxa"/>
            <w:hideMark/>
          </w:tcPr>
          <w:p w14:paraId="6C200764" w14:textId="77777777" w:rsidR="00682115" w:rsidRPr="00682115" w:rsidRDefault="00682115" w:rsidP="00682115">
            <w:pPr>
              <w:spacing w:line="240" w:lineRule="auto"/>
              <w:rPr>
                <w:rFonts w:cs="Arial"/>
                <w:color w:val="auto"/>
              </w:rPr>
            </w:pPr>
            <w:r w:rsidRPr="00682115">
              <w:rPr>
                <w:rFonts w:cs="Arial"/>
                <w:b/>
                <w:bCs/>
                <w:color w:val="auto"/>
              </w:rPr>
              <w:t>$0.031</w:t>
            </w:r>
            <w:r w:rsidRPr="00682115">
              <w:rPr>
                <w:rFonts w:cs="Arial"/>
                <w:color w:val="auto"/>
              </w:rPr>
              <w:t>/Instance/hour</w:t>
            </w:r>
          </w:p>
        </w:tc>
      </w:tr>
      <w:tr w:rsidR="00682115" w:rsidRPr="00682115" w14:paraId="2F5F5CAC" w14:textId="77777777" w:rsidTr="003260A3">
        <w:tc>
          <w:tcPr>
            <w:tcW w:w="1560" w:type="dxa"/>
            <w:hideMark/>
          </w:tcPr>
          <w:p w14:paraId="59E57920" w14:textId="77777777" w:rsidR="00682115" w:rsidRPr="00682115" w:rsidRDefault="00682115" w:rsidP="00682115">
            <w:pPr>
              <w:spacing w:line="240" w:lineRule="auto"/>
              <w:rPr>
                <w:rFonts w:cs="Arial"/>
                <w:color w:val="auto"/>
              </w:rPr>
            </w:pPr>
          </w:p>
        </w:tc>
        <w:tc>
          <w:tcPr>
            <w:tcW w:w="4394" w:type="dxa"/>
            <w:hideMark/>
          </w:tcPr>
          <w:p w14:paraId="5364A062" w14:textId="77777777" w:rsidR="00682115" w:rsidRPr="00682115" w:rsidRDefault="00682115" w:rsidP="00682115">
            <w:pPr>
              <w:spacing w:line="240" w:lineRule="auto"/>
              <w:rPr>
                <w:rFonts w:cs="Arial"/>
                <w:color w:val="auto"/>
              </w:rPr>
            </w:pPr>
            <w:r w:rsidRPr="00682115">
              <w:rPr>
                <w:rFonts w:cs="Arial"/>
                <w:color w:val="auto"/>
              </w:rPr>
              <w:t>Microsoft Defender for Azure Cosmos DB</w:t>
            </w:r>
            <w:r w:rsidRPr="00682115">
              <w:rPr>
                <w:rFonts w:cs="Arial"/>
                <w:color w:val="auto"/>
                <w:vertAlign w:val="superscript"/>
              </w:rPr>
              <w:t>5</w:t>
            </w:r>
          </w:p>
        </w:tc>
        <w:tc>
          <w:tcPr>
            <w:tcW w:w="3685" w:type="dxa"/>
            <w:hideMark/>
          </w:tcPr>
          <w:p w14:paraId="5669AEAF" w14:textId="77777777" w:rsidR="00682115" w:rsidRPr="00682115" w:rsidRDefault="00682115" w:rsidP="00682115">
            <w:pPr>
              <w:spacing w:line="240" w:lineRule="auto"/>
              <w:rPr>
                <w:rFonts w:cs="Arial"/>
                <w:color w:val="auto"/>
              </w:rPr>
            </w:pPr>
            <w:r w:rsidRPr="00682115">
              <w:rPr>
                <w:rFonts w:cs="Arial"/>
                <w:b/>
                <w:bCs/>
                <w:color w:val="auto"/>
              </w:rPr>
              <w:t>$0.0019</w:t>
            </w:r>
            <w:r w:rsidRPr="00682115">
              <w:rPr>
                <w:rFonts w:cs="Arial"/>
                <w:color w:val="auto"/>
              </w:rPr>
              <w:t> per 100 RU/S/hour</w:t>
            </w:r>
          </w:p>
        </w:tc>
      </w:tr>
      <w:tr w:rsidR="00682115" w:rsidRPr="00682115" w14:paraId="1D66D9E3" w14:textId="77777777" w:rsidTr="003260A3">
        <w:tc>
          <w:tcPr>
            <w:tcW w:w="1560" w:type="dxa"/>
            <w:hideMark/>
          </w:tcPr>
          <w:p w14:paraId="7872F7F1" w14:textId="77777777" w:rsidR="00682115" w:rsidRPr="00682115" w:rsidRDefault="00682115" w:rsidP="00682115">
            <w:pPr>
              <w:spacing w:line="240" w:lineRule="auto"/>
              <w:rPr>
                <w:rFonts w:cs="Arial"/>
                <w:color w:val="auto"/>
              </w:rPr>
            </w:pPr>
            <w:r w:rsidRPr="00682115">
              <w:rPr>
                <w:rFonts w:cs="Arial"/>
                <w:color w:val="auto"/>
              </w:rPr>
              <w:t>Storage</w:t>
            </w:r>
          </w:p>
        </w:tc>
        <w:tc>
          <w:tcPr>
            <w:tcW w:w="4394" w:type="dxa"/>
            <w:hideMark/>
          </w:tcPr>
          <w:p w14:paraId="6D9EC100" w14:textId="77777777" w:rsidR="00682115" w:rsidRPr="00682115" w:rsidRDefault="00682115" w:rsidP="00682115">
            <w:pPr>
              <w:spacing w:line="240" w:lineRule="auto"/>
              <w:rPr>
                <w:rFonts w:cs="Arial"/>
                <w:color w:val="auto"/>
              </w:rPr>
            </w:pPr>
            <w:r w:rsidRPr="00682115">
              <w:rPr>
                <w:rFonts w:cs="Arial"/>
                <w:color w:val="auto"/>
              </w:rPr>
              <w:t>Microsoft Defender for Storage</w:t>
            </w:r>
            <w:r w:rsidRPr="00682115">
              <w:rPr>
                <w:rFonts w:cs="Arial"/>
                <w:color w:val="auto"/>
                <w:vertAlign w:val="superscript"/>
              </w:rPr>
              <w:t>1</w:t>
            </w:r>
          </w:p>
        </w:tc>
        <w:tc>
          <w:tcPr>
            <w:tcW w:w="3685" w:type="dxa"/>
            <w:hideMark/>
          </w:tcPr>
          <w:p w14:paraId="7E5EFEEE" w14:textId="0A8E26CE" w:rsidR="00682115" w:rsidRPr="00682115" w:rsidRDefault="00682115" w:rsidP="00682115">
            <w:pPr>
              <w:spacing w:line="240" w:lineRule="auto"/>
              <w:rPr>
                <w:rFonts w:cs="Arial"/>
                <w:color w:val="auto"/>
              </w:rPr>
            </w:pPr>
            <w:r w:rsidRPr="00682115">
              <w:rPr>
                <w:rFonts w:cs="Arial"/>
                <w:b/>
                <w:bCs/>
                <w:color w:val="auto"/>
              </w:rPr>
              <w:t>$0.0205</w:t>
            </w:r>
            <w:r w:rsidRPr="00682115">
              <w:rPr>
                <w:rFonts w:cs="Arial"/>
                <w:color w:val="auto"/>
              </w:rPr>
              <w:t> per storage account/hour</w:t>
            </w:r>
            <w:r w:rsidRPr="00682115">
              <w:rPr>
                <w:rFonts w:cs="Arial"/>
                <w:color w:val="auto"/>
                <w:vertAlign w:val="superscript"/>
              </w:rPr>
              <w:t>6</w:t>
            </w:r>
          </w:p>
        </w:tc>
      </w:tr>
      <w:tr w:rsidR="00682115" w:rsidRPr="00682115" w14:paraId="0ABFBF85" w14:textId="77777777" w:rsidTr="003260A3">
        <w:tc>
          <w:tcPr>
            <w:tcW w:w="1560" w:type="dxa"/>
            <w:hideMark/>
          </w:tcPr>
          <w:p w14:paraId="0DC1A2D3" w14:textId="77777777" w:rsidR="00682115" w:rsidRPr="00682115" w:rsidRDefault="00682115" w:rsidP="00682115">
            <w:pPr>
              <w:spacing w:line="240" w:lineRule="auto"/>
              <w:rPr>
                <w:rFonts w:cs="Arial"/>
                <w:color w:val="auto"/>
              </w:rPr>
            </w:pPr>
          </w:p>
        </w:tc>
        <w:tc>
          <w:tcPr>
            <w:tcW w:w="4394" w:type="dxa"/>
            <w:hideMark/>
          </w:tcPr>
          <w:p w14:paraId="58902575" w14:textId="77777777" w:rsidR="00682115" w:rsidRPr="00682115" w:rsidRDefault="00682115" w:rsidP="00682115">
            <w:pPr>
              <w:spacing w:line="240" w:lineRule="auto"/>
              <w:rPr>
                <w:rFonts w:cs="Arial"/>
                <w:color w:val="auto"/>
              </w:rPr>
            </w:pPr>
            <w:r w:rsidRPr="00682115">
              <w:rPr>
                <w:rFonts w:cs="Arial"/>
                <w:color w:val="auto"/>
              </w:rPr>
              <w:t>Malware Scanning</w:t>
            </w:r>
            <w:r w:rsidRPr="00682115">
              <w:rPr>
                <w:rFonts w:cs="Arial"/>
                <w:color w:val="auto"/>
                <w:vertAlign w:val="superscript"/>
              </w:rPr>
              <w:t>7</w:t>
            </w:r>
            <w:r w:rsidRPr="00682115">
              <w:rPr>
                <w:rFonts w:cs="Arial"/>
                <w:color w:val="auto"/>
              </w:rPr>
              <w:br/>
              <w:t>(add-on to Defender for Storage)</w:t>
            </w:r>
          </w:p>
        </w:tc>
        <w:tc>
          <w:tcPr>
            <w:tcW w:w="3685" w:type="dxa"/>
            <w:hideMark/>
          </w:tcPr>
          <w:p w14:paraId="2CF9EB2C" w14:textId="77777777" w:rsidR="00682115" w:rsidRPr="00682115" w:rsidRDefault="00682115" w:rsidP="00682115">
            <w:pPr>
              <w:spacing w:line="240" w:lineRule="auto"/>
              <w:rPr>
                <w:rFonts w:cs="Arial"/>
                <w:color w:val="auto"/>
              </w:rPr>
            </w:pPr>
            <w:r w:rsidRPr="00682115">
              <w:rPr>
                <w:rFonts w:cs="Arial"/>
                <w:b/>
                <w:bCs/>
                <w:color w:val="auto"/>
              </w:rPr>
              <w:t>$0.230</w:t>
            </w:r>
            <w:r w:rsidRPr="00682115">
              <w:rPr>
                <w:rFonts w:cs="Arial"/>
                <w:color w:val="auto"/>
              </w:rPr>
              <w:t>/GB of data scanned</w:t>
            </w:r>
          </w:p>
        </w:tc>
      </w:tr>
      <w:tr w:rsidR="00682115" w:rsidRPr="00682115" w14:paraId="64B61976" w14:textId="77777777" w:rsidTr="003260A3">
        <w:tc>
          <w:tcPr>
            <w:tcW w:w="1560" w:type="dxa"/>
            <w:hideMark/>
          </w:tcPr>
          <w:p w14:paraId="7922FE32" w14:textId="77777777" w:rsidR="00682115" w:rsidRPr="00682115" w:rsidRDefault="00682115" w:rsidP="00682115">
            <w:pPr>
              <w:spacing w:line="240" w:lineRule="auto"/>
              <w:rPr>
                <w:rFonts w:cs="Arial"/>
                <w:color w:val="auto"/>
              </w:rPr>
            </w:pPr>
            <w:r w:rsidRPr="00682115">
              <w:rPr>
                <w:rFonts w:cs="Arial"/>
                <w:color w:val="auto"/>
              </w:rPr>
              <w:t>Service Layer</w:t>
            </w:r>
          </w:p>
        </w:tc>
        <w:tc>
          <w:tcPr>
            <w:tcW w:w="4394" w:type="dxa"/>
            <w:hideMark/>
          </w:tcPr>
          <w:p w14:paraId="4E7EBCCC" w14:textId="77777777" w:rsidR="00682115" w:rsidRPr="00682115" w:rsidRDefault="00682115" w:rsidP="00682115">
            <w:pPr>
              <w:spacing w:line="240" w:lineRule="auto"/>
              <w:rPr>
                <w:rFonts w:cs="Arial"/>
                <w:color w:val="auto"/>
              </w:rPr>
            </w:pPr>
            <w:r w:rsidRPr="00682115">
              <w:rPr>
                <w:rFonts w:cs="Arial"/>
                <w:color w:val="auto"/>
              </w:rPr>
              <w:t>Microsoft Defender for App Service</w:t>
            </w:r>
          </w:p>
        </w:tc>
        <w:tc>
          <w:tcPr>
            <w:tcW w:w="3685" w:type="dxa"/>
            <w:hideMark/>
          </w:tcPr>
          <w:p w14:paraId="6F1DC908" w14:textId="77777777" w:rsidR="00682115" w:rsidRPr="00682115" w:rsidRDefault="00682115" w:rsidP="00682115">
            <w:pPr>
              <w:spacing w:line="240" w:lineRule="auto"/>
              <w:rPr>
                <w:rFonts w:cs="Arial"/>
                <w:color w:val="auto"/>
              </w:rPr>
            </w:pPr>
            <w:r w:rsidRPr="00682115">
              <w:rPr>
                <w:rFonts w:cs="Arial"/>
                <w:b/>
                <w:bCs/>
                <w:color w:val="auto"/>
              </w:rPr>
              <w:t>$0.031</w:t>
            </w:r>
            <w:r w:rsidRPr="00682115">
              <w:rPr>
                <w:rFonts w:cs="Arial"/>
                <w:color w:val="auto"/>
              </w:rPr>
              <w:t>/Instance/hour</w:t>
            </w:r>
          </w:p>
        </w:tc>
      </w:tr>
      <w:tr w:rsidR="00682115" w:rsidRPr="00682115" w14:paraId="4ACBEC0B" w14:textId="77777777" w:rsidTr="003260A3">
        <w:tc>
          <w:tcPr>
            <w:tcW w:w="1560" w:type="dxa"/>
            <w:hideMark/>
          </w:tcPr>
          <w:p w14:paraId="38FBB0E3" w14:textId="77777777" w:rsidR="00682115" w:rsidRPr="00682115" w:rsidRDefault="00682115" w:rsidP="00682115">
            <w:pPr>
              <w:spacing w:line="240" w:lineRule="auto"/>
              <w:rPr>
                <w:rFonts w:cs="Arial"/>
                <w:color w:val="auto"/>
              </w:rPr>
            </w:pPr>
          </w:p>
        </w:tc>
        <w:tc>
          <w:tcPr>
            <w:tcW w:w="4394" w:type="dxa"/>
            <w:hideMark/>
          </w:tcPr>
          <w:p w14:paraId="2ABDD952" w14:textId="77777777" w:rsidR="00682115" w:rsidRPr="00682115" w:rsidRDefault="00682115" w:rsidP="00682115">
            <w:pPr>
              <w:spacing w:line="240" w:lineRule="auto"/>
              <w:rPr>
                <w:rFonts w:cs="Arial"/>
                <w:color w:val="auto"/>
              </w:rPr>
            </w:pPr>
            <w:r w:rsidRPr="00682115">
              <w:rPr>
                <w:rFonts w:cs="Arial"/>
                <w:color w:val="auto"/>
              </w:rPr>
              <w:t>Microsoft Defender for Key Vault</w:t>
            </w:r>
          </w:p>
        </w:tc>
        <w:tc>
          <w:tcPr>
            <w:tcW w:w="3685" w:type="dxa"/>
            <w:hideMark/>
          </w:tcPr>
          <w:p w14:paraId="5046E4FF" w14:textId="77777777" w:rsidR="00682115" w:rsidRPr="00682115" w:rsidRDefault="00682115" w:rsidP="00682115">
            <w:pPr>
              <w:spacing w:line="240" w:lineRule="auto"/>
              <w:rPr>
                <w:rFonts w:cs="Arial"/>
                <w:color w:val="auto"/>
              </w:rPr>
            </w:pPr>
            <w:r w:rsidRPr="00682115">
              <w:rPr>
                <w:rFonts w:cs="Arial"/>
                <w:b/>
                <w:bCs/>
                <w:color w:val="auto"/>
              </w:rPr>
              <w:t>$0.38</w:t>
            </w:r>
            <w:r w:rsidRPr="00682115">
              <w:rPr>
                <w:rFonts w:cs="Arial"/>
                <w:color w:val="auto"/>
              </w:rPr>
              <w:t>/Vault/month</w:t>
            </w:r>
          </w:p>
        </w:tc>
      </w:tr>
      <w:tr w:rsidR="00682115" w:rsidRPr="00682115" w14:paraId="136BE4A5" w14:textId="77777777" w:rsidTr="003260A3">
        <w:tc>
          <w:tcPr>
            <w:tcW w:w="1560" w:type="dxa"/>
            <w:hideMark/>
          </w:tcPr>
          <w:p w14:paraId="0C2B40EF" w14:textId="77777777" w:rsidR="00682115" w:rsidRPr="00682115" w:rsidRDefault="00682115" w:rsidP="00682115">
            <w:pPr>
              <w:spacing w:line="240" w:lineRule="auto"/>
              <w:rPr>
                <w:rFonts w:cs="Arial"/>
                <w:color w:val="auto"/>
              </w:rPr>
            </w:pPr>
          </w:p>
        </w:tc>
        <w:tc>
          <w:tcPr>
            <w:tcW w:w="4394" w:type="dxa"/>
            <w:hideMark/>
          </w:tcPr>
          <w:p w14:paraId="7266C99E" w14:textId="77777777" w:rsidR="00682115" w:rsidRPr="00682115" w:rsidRDefault="00682115" w:rsidP="00682115">
            <w:pPr>
              <w:spacing w:line="240" w:lineRule="auto"/>
              <w:rPr>
                <w:rFonts w:cs="Arial"/>
                <w:color w:val="auto"/>
              </w:rPr>
            </w:pPr>
            <w:r w:rsidRPr="00682115">
              <w:rPr>
                <w:rFonts w:cs="Arial"/>
                <w:color w:val="auto"/>
              </w:rPr>
              <w:t>Microsoft Defender for Resource Manager</w:t>
            </w:r>
          </w:p>
        </w:tc>
        <w:tc>
          <w:tcPr>
            <w:tcW w:w="3685" w:type="dxa"/>
            <w:hideMark/>
          </w:tcPr>
          <w:p w14:paraId="6C51A676" w14:textId="77777777" w:rsidR="00682115" w:rsidRPr="00682115" w:rsidRDefault="00682115" w:rsidP="00E16BF7">
            <w:pPr>
              <w:keepNext/>
              <w:spacing w:line="240" w:lineRule="auto"/>
              <w:rPr>
                <w:rFonts w:cs="Arial"/>
                <w:color w:val="auto"/>
              </w:rPr>
            </w:pPr>
            <w:r w:rsidRPr="00682115">
              <w:rPr>
                <w:rFonts w:cs="Arial"/>
                <w:b/>
                <w:bCs/>
                <w:color w:val="auto"/>
              </w:rPr>
              <w:t>$7.70</w:t>
            </w:r>
            <w:r w:rsidRPr="00682115">
              <w:rPr>
                <w:rFonts w:cs="Arial"/>
                <w:color w:val="auto"/>
              </w:rPr>
              <w:t>/Subscription/month</w:t>
            </w:r>
          </w:p>
        </w:tc>
      </w:tr>
    </w:tbl>
    <w:p w14:paraId="10591E59" w14:textId="27C1F9A8" w:rsidR="00682115" w:rsidRDefault="00E16BF7" w:rsidP="00E16BF7">
      <w:pPr>
        <w:pStyle w:val="Caption"/>
        <w:jc w:val="center"/>
      </w:pPr>
      <w:r>
        <w:t xml:space="preserve">Table </w:t>
      </w:r>
      <w:fldSimple w:instr=" SEQ Table \* ARABIC ">
        <w:r w:rsidR="006C1C76">
          <w:rPr>
            <w:noProof/>
          </w:rPr>
          <w:t>2</w:t>
        </w:r>
      </w:fldSimple>
      <w:r>
        <w:t>: Pricing construct for Defender for Cloud</w:t>
      </w:r>
    </w:p>
    <w:p w14:paraId="4C5817F2" w14:textId="77777777" w:rsidR="00711EB4" w:rsidRPr="00711EB4" w:rsidRDefault="00711EB4" w:rsidP="00711EB4"/>
    <w:p w14:paraId="7CA67623" w14:textId="70C06BA1" w:rsidR="00150AD0" w:rsidRDefault="007D289F" w:rsidP="00150AD0">
      <w:pPr>
        <w:pStyle w:val="Heading1"/>
        <w:jc w:val="both"/>
        <w:rPr>
          <w:rFonts w:cs="Arial"/>
        </w:rPr>
      </w:pPr>
      <w:bookmarkStart w:id="6" w:name="_Toc160795813"/>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60795814"/>
      <w:r w:rsidRPr="00050F61">
        <w:rPr>
          <w:sz w:val="40"/>
          <w:szCs w:val="40"/>
        </w:rPr>
        <w:lastRenderedPageBreak/>
        <w:t>Reliability</w:t>
      </w:r>
      <w:bookmarkEnd w:id="7"/>
    </w:p>
    <w:p w14:paraId="37BED485" w14:textId="0FFDA7AB" w:rsidR="005C31FB" w:rsidRDefault="000F3B77" w:rsidP="009937DD">
      <w:pPr>
        <w:pStyle w:val="Heading3"/>
        <w:numPr>
          <w:ilvl w:val="2"/>
          <w:numId w:val="7"/>
        </w:numPr>
      </w:pPr>
      <w:bookmarkStart w:id="8" w:name="_Toc160795815"/>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Toc160795816"/>
    <w:p w14:paraId="7E917FA8" w14:textId="127901D1"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rsidR="00A57121">
        <w:t xml:space="preserve"> </w:t>
      </w:r>
      <w:r w:rsidR="002348C5">
        <w:t>Reliability Checklist</w:t>
      </w:r>
      <w:bookmarkEnd w:id="9"/>
    </w:p>
    <w:p w14:paraId="1D7BC0B3" w14:textId="577D6525" w:rsidR="00F32E41" w:rsidRDefault="00F32E41" w:rsidP="00F32E41">
      <w:pPr>
        <w:pStyle w:val="BodyText10ptAbove"/>
      </w:pPr>
      <w:r>
        <w:t xml:space="preserve">There is no specific guidance for Defender for Cloud under the Reliability pillar of the Well Architected Framework. </w:t>
      </w:r>
    </w:p>
    <w:p w14:paraId="0275DB6D" w14:textId="77777777" w:rsidR="00DD6259" w:rsidRDefault="00DD6259" w:rsidP="00F32E41">
      <w:pPr>
        <w:pStyle w:val="BodyText10ptAbove"/>
      </w:pPr>
    </w:p>
    <w:p w14:paraId="7A30FF92" w14:textId="1ACE6CCD" w:rsidR="00442D9E" w:rsidRPr="00050F61" w:rsidRDefault="00442D9E" w:rsidP="00442D9E">
      <w:pPr>
        <w:pStyle w:val="Heading2"/>
        <w:rPr>
          <w:sz w:val="40"/>
          <w:szCs w:val="40"/>
        </w:rPr>
      </w:pPr>
      <w:bookmarkStart w:id="10" w:name="_Toc160795817"/>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60795818"/>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2" w:name="_Toc160795819"/>
    <w:p w14:paraId="5115B1F0" w14:textId="3A674395"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rsidR="002B1410">
        <w:t xml:space="preserve"> Cost Optimisation Checklist</w:t>
      </w:r>
      <w:bookmarkEnd w:id="12"/>
    </w:p>
    <w:p w14:paraId="30533E4A" w14:textId="7A5206B7" w:rsidR="007A4F44" w:rsidRDefault="007A4F44" w:rsidP="007A4F44">
      <w:pPr>
        <w:pStyle w:val="BodyText"/>
      </w:pPr>
      <w:r>
        <w:t xml:space="preserve">There is no specific guidance for Defender for Cloud under the Cost Optimisation pillar of the Well Architected Framework. </w:t>
      </w:r>
    </w:p>
    <w:p w14:paraId="76742129" w14:textId="77777777" w:rsidR="00050F61" w:rsidRDefault="00050F61" w:rsidP="00050F61">
      <w:pPr>
        <w:pStyle w:val="BodyText"/>
      </w:pPr>
    </w:p>
    <w:p w14:paraId="783B0CB3"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3" w:name="_Toc160795820"/>
      <w:r w:rsidRPr="00050F61">
        <w:rPr>
          <w:sz w:val="40"/>
          <w:szCs w:val="40"/>
        </w:rPr>
        <w:lastRenderedPageBreak/>
        <w:t>Operational Excellence</w:t>
      </w:r>
      <w:bookmarkEnd w:id="13"/>
    </w:p>
    <w:p w14:paraId="05CC32DA" w14:textId="32EB56EE" w:rsidR="002348C5" w:rsidRDefault="002348C5">
      <w:pPr>
        <w:pStyle w:val="Heading3"/>
        <w:numPr>
          <w:ilvl w:val="2"/>
          <w:numId w:val="7"/>
        </w:numPr>
      </w:pPr>
      <w:r>
        <w:t xml:space="preserve"> </w:t>
      </w:r>
      <w:bookmarkStart w:id="14" w:name="_Toc160795821"/>
      <w:r w:rsidRPr="002348C5">
        <w:t>Overview</w:t>
      </w:r>
      <w:bookmarkEnd w:id="14"/>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5" w:name="_Toc160795822"/>
    <w:p w14:paraId="78EFAA12" w14:textId="238EFC0B"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rsidR="002B1410">
        <w:t xml:space="preserve"> Operational Excellence Checklist</w:t>
      </w:r>
      <w:bookmarkEnd w:id="15"/>
    </w:p>
    <w:p w14:paraId="47B19F2F" w14:textId="565FC4D7" w:rsidR="003778C5" w:rsidRDefault="003778C5" w:rsidP="003778C5">
      <w:pPr>
        <w:pStyle w:val="BodyText10ptAbove"/>
      </w:pPr>
      <w:r>
        <w:t xml:space="preserve">There is no specific guidance for Defender for Cloud under the Operational Excellence pillar of the Well Architected Framework. </w:t>
      </w: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6" w:name="_Toc160795823"/>
      <w:r w:rsidRPr="00050F61">
        <w:rPr>
          <w:sz w:val="40"/>
          <w:szCs w:val="40"/>
        </w:rPr>
        <w:t>Performance Efficiency</w:t>
      </w:r>
      <w:bookmarkEnd w:id="16"/>
    </w:p>
    <w:p w14:paraId="3A46ECA4" w14:textId="77777777" w:rsidR="00050F61" w:rsidRDefault="00050F61" w:rsidP="00050F61">
      <w:pPr>
        <w:pStyle w:val="Heading3"/>
        <w:numPr>
          <w:ilvl w:val="2"/>
          <w:numId w:val="7"/>
        </w:numPr>
      </w:pPr>
      <w:bookmarkStart w:id="17" w:name="_Toc160795824"/>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60795825"/>
    <w:p w14:paraId="33F4EEB7" w14:textId="406C3AC7"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rsidR="008E30DC">
        <w:t xml:space="preserve"> Performance Efficiency Checklist</w:t>
      </w:r>
      <w:bookmarkEnd w:id="18"/>
    </w:p>
    <w:p w14:paraId="19A2B1E4" w14:textId="111C3A29" w:rsidR="00DD6259" w:rsidRDefault="003778C5" w:rsidP="00050F61">
      <w:pPr>
        <w:pStyle w:val="BodyText"/>
      </w:pPr>
      <w:r>
        <w:t xml:space="preserve">There is no specific guidance for Defender for Cloud under the Performance Efficiency pillar of the Well Architected Framework. </w:t>
      </w: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77777777" w:rsidR="00535B30" w:rsidRDefault="00535B30" w:rsidP="00050F61">
      <w:pPr>
        <w:pStyle w:val="BodyText"/>
      </w:pPr>
    </w:p>
    <w:p w14:paraId="5A521988" w14:textId="77777777" w:rsidR="00535B30" w:rsidRDefault="00535B30" w:rsidP="00050F61">
      <w:pPr>
        <w:pStyle w:val="BodyText"/>
      </w:pPr>
    </w:p>
    <w:p w14:paraId="1F6E6333" w14:textId="5710D6B5" w:rsidR="00442D9E" w:rsidRPr="00050F61" w:rsidRDefault="00442D9E">
      <w:pPr>
        <w:pStyle w:val="Heading2"/>
        <w:rPr>
          <w:sz w:val="40"/>
          <w:szCs w:val="40"/>
        </w:rPr>
      </w:pPr>
      <w:bookmarkStart w:id="19" w:name="_Toc160795826"/>
      <w:r w:rsidRPr="00050F61">
        <w:rPr>
          <w:sz w:val="40"/>
          <w:szCs w:val="40"/>
        </w:rPr>
        <w:lastRenderedPageBreak/>
        <w:t>Security</w:t>
      </w:r>
      <w:bookmarkEnd w:id="19"/>
    </w:p>
    <w:p w14:paraId="7C4DECDC" w14:textId="77777777" w:rsidR="00050F61" w:rsidRDefault="00050F61" w:rsidP="007D289F">
      <w:pPr>
        <w:pStyle w:val="Heading3"/>
        <w:numPr>
          <w:ilvl w:val="2"/>
          <w:numId w:val="7"/>
        </w:numPr>
        <w:jc w:val="both"/>
      </w:pPr>
      <w:bookmarkStart w:id="20" w:name="_Toc160795827"/>
      <w:r w:rsidRPr="002348C5">
        <w:t>Overview</w:t>
      </w:r>
      <w:bookmarkEnd w:id="20"/>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id="21" w:name="_Toc160795828"/>
    <w:p w14:paraId="1F376AAC" w14:textId="3733E867" w:rsidR="00DD6259" w:rsidRDefault="00000000"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rsidR="00DD6259">
        <w:t xml:space="preserve"> Security Checklist</w:t>
      </w:r>
      <w:bookmarkEnd w:id="21"/>
    </w:p>
    <w:p w14:paraId="69BF166D" w14:textId="1D6E9E7E" w:rsidR="00DA6DA9" w:rsidRPr="00F45A13" w:rsidRDefault="00891F46" w:rsidP="00442D9E">
      <w:pPr>
        <w:pStyle w:val="BodyText"/>
      </w:pPr>
      <w:r>
        <w:t xml:space="preserve">There is no specific guidance for Defender for Cloud. However, it supports meeting the </w:t>
      </w:r>
      <w:r w:rsidRPr="00F45A13">
        <w:t xml:space="preserve">following Microsoft Security Benchmark items across all supported resources: </w:t>
      </w:r>
    </w:p>
    <w:p w14:paraId="4E5E75B9" w14:textId="6D828746" w:rsidR="00891F46" w:rsidRPr="00F45A13" w:rsidRDefault="00891F46" w:rsidP="00891F46">
      <w:pPr>
        <w:pStyle w:val="BodyText"/>
        <w:numPr>
          <w:ilvl w:val="0"/>
          <w:numId w:val="34"/>
        </w:numPr>
      </w:pPr>
      <w:r w:rsidRPr="00F45A13">
        <w:t>LT-1 Enable threat detecti</w:t>
      </w:r>
      <w:r w:rsidR="00956A2B" w:rsidRPr="00F45A13">
        <w:t>on</w:t>
      </w:r>
      <w:r w:rsidR="00403B16">
        <w:t>.</w:t>
      </w: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2790DA83" w14:textId="77777777" w:rsidR="00602014" w:rsidRDefault="00602014" w:rsidP="00442D9E">
      <w:pPr>
        <w:pStyle w:val="BodyText"/>
      </w:pPr>
    </w:p>
    <w:p w14:paraId="6B80B8AE" w14:textId="77777777" w:rsidR="00602014" w:rsidRDefault="00602014" w:rsidP="00442D9E">
      <w:pPr>
        <w:pStyle w:val="BodyText"/>
      </w:pPr>
    </w:p>
    <w:p w14:paraId="7A853038" w14:textId="77777777" w:rsidR="00602014" w:rsidRDefault="00602014" w:rsidP="00442D9E">
      <w:pPr>
        <w:pStyle w:val="BodyText"/>
      </w:pPr>
    </w:p>
    <w:p w14:paraId="7717E14A" w14:textId="77777777" w:rsidR="00602014" w:rsidRDefault="00602014" w:rsidP="00442D9E">
      <w:pPr>
        <w:pStyle w:val="BodyText"/>
      </w:pPr>
    </w:p>
    <w:p w14:paraId="059BDE66" w14:textId="77777777" w:rsidR="00602014" w:rsidRDefault="00602014" w:rsidP="00442D9E">
      <w:pPr>
        <w:pStyle w:val="BodyText"/>
      </w:pPr>
    </w:p>
    <w:p w14:paraId="38822700" w14:textId="77777777" w:rsidR="00602014" w:rsidRDefault="00602014" w:rsidP="00442D9E">
      <w:pPr>
        <w:pStyle w:val="BodyText"/>
      </w:pPr>
    </w:p>
    <w:p w14:paraId="64B061C9" w14:textId="77777777" w:rsidR="00602014" w:rsidRDefault="00602014" w:rsidP="00442D9E">
      <w:pPr>
        <w:pStyle w:val="BodyText"/>
      </w:pPr>
    </w:p>
    <w:p w14:paraId="46C070EF" w14:textId="77777777" w:rsidR="00DA6DA9" w:rsidRDefault="00DA6DA9" w:rsidP="00442D9E">
      <w:pPr>
        <w:pStyle w:val="BodyText"/>
      </w:pPr>
    </w:p>
    <w:p w14:paraId="64A7B83D" w14:textId="77777777" w:rsidR="00891F46" w:rsidRDefault="00891F46" w:rsidP="00442D9E">
      <w:pPr>
        <w:pStyle w:val="BodyText"/>
      </w:pPr>
    </w:p>
    <w:p w14:paraId="5A539801" w14:textId="77777777" w:rsidR="00891F46" w:rsidRDefault="00891F46" w:rsidP="00442D9E">
      <w:pPr>
        <w:pStyle w:val="BodyText"/>
      </w:pPr>
    </w:p>
    <w:p w14:paraId="6B448DFD" w14:textId="77777777" w:rsidR="00525B21" w:rsidRDefault="00525B21" w:rsidP="00525B21">
      <w:pPr>
        <w:pStyle w:val="Heading1"/>
        <w:jc w:val="both"/>
        <w:rPr>
          <w:rFonts w:cs="Arial"/>
        </w:rPr>
      </w:pPr>
      <w:bookmarkStart w:id="22" w:name="_Toc160795829"/>
      <w:r>
        <w:rPr>
          <w:rFonts w:cs="Arial"/>
        </w:rPr>
        <w:lastRenderedPageBreak/>
        <w:t>Architecture Summary</w:t>
      </w:r>
      <w:bookmarkEnd w:id="22"/>
    </w:p>
    <w:p w14:paraId="43739DFB" w14:textId="77777777" w:rsidR="00116140" w:rsidRDefault="00116140" w:rsidP="00116140">
      <w:pPr>
        <w:pStyle w:val="Heading2"/>
      </w:pPr>
      <w:bookmarkStart w:id="23" w:name="_Toc150966124"/>
      <w:bookmarkStart w:id="24" w:name="_Toc160795830"/>
      <w:r>
        <w:t>Resource Overview</w:t>
      </w:r>
      <w:bookmarkEnd w:id="23"/>
      <w:bookmarkEnd w:id="24"/>
    </w:p>
    <w:p w14:paraId="1730BA9C" w14:textId="69719D63" w:rsidR="00116140" w:rsidRDefault="00E30EFD" w:rsidP="00116140">
      <w:pPr>
        <w:pStyle w:val="BodyText"/>
      </w:pPr>
      <w:r>
        <w:t xml:space="preserve">Defender for Cloud is the Azure native threat detection </w:t>
      </w:r>
      <w:r w:rsidR="00E5312D">
        <w:t>and protection capability, with inbuilt security measures and practices that are designed to protect the Cloud from various threats. Within it are capabilities for</w:t>
      </w:r>
      <w:r w:rsidR="00896A71">
        <w:rPr>
          <w:rStyle w:val="FootnoteReference"/>
        </w:rPr>
        <w:footnoteReference w:id="8"/>
      </w:r>
      <w:r w:rsidR="00E5312D">
        <w:t xml:space="preserve">: </w:t>
      </w:r>
    </w:p>
    <w:p w14:paraId="152B5C5C" w14:textId="77777777" w:rsidR="00992191" w:rsidRDefault="00992191" w:rsidP="00992191">
      <w:pPr>
        <w:pStyle w:val="BodyText"/>
        <w:numPr>
          <w:ilvl w:val="0"/>
          <w:numId w:val="34"/>
        </w:numPr>
      </w:pPr>
      <w:r>
        <w:t>A cloud security posture management (CSPM) solution that surfaces actions that you can take to prevent breaches</w:t>
      </w:r>
    </w:p>
    <w:p w14:paraId="648003FD" w14:textId="3B82E587" w:rsidR="00E5312D" w:rsidRDefault="00992191" w:rsidP="00992191">
      <w:pPr>
        <w:pStyle w:val="BodyText"/>
        <w:numPr>
          <w:ilvl w:val="0"/>
          <w:numId w:val="34"/>
        </w:numPr>
      </w:pPr>
      <w:r>
        <w:t>A cloud workload protection platform (CWPP) with specific protections for servers, containers, storage, databases, and other workloads</w:t>
      </w:r>
    </w:p>
    <w:p w14:paraId="465F4C4B" w14:textId="77777777" w:rsidR="00053130" w:rsidRDefault="00053130" w:rsidP="00053130">
      <w:pPr>
        <w:pStyle w:val="BodyText"/>
      </w:pPr>
    </w:p>
    <w:p w14:paraId="38F85A42" w14:textId="77777777" w:rsidR="00053130" w:rsidRDefault="00053130" w:rsidP="00053130">
      <w:pPr>
        <w:pStyle w:val="BodyText"/>
        <w:keepNext/>
      </w:pPr>
      <w:r>
        <w:rPr>
          <w:noProof/>
        </w:rPr>
        <w:drawing>
          <wp:inline distT="0" distB="0" distL="0" distR="0" wp14:anchorId="1339456D" wp14:editId="00EBBCB6">
            <wp:extent cx="5732145" cy="2128520"/>
            <wp:effectExtent l="0" t="0" r="1905" b="5080"/>
            <wp:docPr id="1748280190" name="Picture 1" descr="Diagram that shows the core functionality of Microsoft Defender for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core functionality of Microsoft Defender for Clou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128520"/>
                    </a:xfrm>
                    <a:prstGeom prst="rect">
                      <a:avLst/>
                    </a:prstGeom>
                    <a:noFill/>
                    <a:ln>
                      <a:noFill/>
                    </a:ln>
                  </pic:spPr>
                </pic:pic>
              </a:graphicData>
            </a:graphic>
          </wp:inline>
        </w:drawing>
      </w:r>
    </w:p>
    <w:p w14:paraId="538882ED" w14:textId="544184BB" w:rsidR="00053130" w:rsidRDefault="00053130" w:rsidP="00053130">
      <w:pPr>
        <w:pStyle w:val="Caption"/>
        <w:jc w:val="center"/>
      </w:pPr>
      <w:r>
        <w:t xml:space="preserve">Figure </w:t>
      </w:r>
      <w:fldSimple w:instr=" SEQ Figure \* ARABIC ">
        <w:r>
          <w:rPr>
            <w:noProof/>
          </w:rPr>
          <w:t>1</w:t>
        </w:r>
      </w:fldSimple>
      <w:r>
        <w:t>: Defender for Cloud capabilities</w:t>
      </w:r>
    </w:p>
    <w:p w14:paraId="23BD491C" w14:textId="77777777" w:rsidR="00675875" w:rsidRPr="00675875" w:rsidRDefault="00675875" w:rsidP="00675875"/>
    <w:p w14:paraId="31AFC0DC" w14:textId="1624BB74" w:rsidR="0004184A" w:rsidRPr="007230FA" w:rsidRDefault="0048697F" w:rsidP="001244F7">
      <w:pPr>
        <w:pStyle w:val="Heading3"/>
        <w:numPr>
          <w:ilvl w:val="2"/>
          <w:numId w:val="7"/>
        </w:numPr>
      </w:pPr>
      <w:bookmarkStart w:id="25" w:name="_Toc160795831"/>
      <w:r w:rsidRPr="007230FA">
        <w:t>Defender C</w:t>
      </w:r>
      <w:r w:rsidR="004A7963" w:rsidRPr="007230FA">
        <w:t>SPM</w:t>
      </w:r>
      <w:bookmarkEnd w:id="25"/>
    </w:p>
    <w:p w14:paraId="6C90F7B4" w14:textId="60108266" w:rsidR="004A7963" w:rsidRDefault="004A7963" w:rsidP="0004184A">
      <w:r>
        <w:t xml:space="preserve">Defender Cloud Security Posture Management </w:t>
      </w:r>
      <w:r w:rsidR="008F00BE">
        <w:t>is a solution that is aimed at improving security posture</w:t>
      </w:r>
      <w:r w:rsidR="000D799E">
        <w:t xml:space="preserve"> overall. There are some foundational free capabilities that are default on the platform, with more advanced capabilities that can be enabled. </w:t>
      </w:r>
    </w:p>
    <w:p w14:paraId="6FE7A71D" w14:textId="77777777" w:rsidR="009F6A20" w:rsidRDefault="009F6A20" w:rsidP="0004184A"/>
    <w:tbl>
      <w:tblPr>
        <w:tblStyle w:val="AVTable1"/>
        <w:tblW w:w="0" w:type="auto"/>
        <w:tblLook w:val="04A0" w:firstRow="1" w:lastRow="0" w:firstColumn="1" w:lastColumn="0" w:noHBand="0" w:noVBand="1"/>
      </w:tblPr>
      <w:tblGrid>
        <w:gridCol w:w="6"/>
        <w:gridCol w:w="2978"/>
        <w:gridCol w:w="2965"/>
        <w:gridCol w:w="2972"/>
        <w:gridCol w:w="106"/>
      </w:tblGrid>
      <w:tr w:rsidR="000651FD" w14:paraId="7AE021F1" w14:textId="77777777" w:rsidTr="000651FD">
        <w:trPr>
          <w:gridBefore w:val="1"/>
          <w:cnfStyle w:val="100000000000" w:firstRow="1" w:lastRow="0" w:firstColumn="0" w:lastColumn="0" w:oddVBand="0" w:evenVBand="0" w:oddHBand="0" w:evenHBand="0" w:firstRowFirstColumn="0" w:firstRowLastColumn="0" w:lastRowFirstColumn="0" w:lastRowLastColumn="0"/>
        </w:trPr>
        <w:tc>
          <w:tcPr>
            <w:tcW w:w="3009" w:type="dxa"/>
          </w:tcPr>
          <w:p w14:paraId="77A1CB4C" w14:textId="13B09E4F" w:rsidR="000651FD" w:rsidRPr="000651FD" w:rsidRDefault="000651FD" w:rsidP="00100451">
            <w:pPr>
              <w:rPr>
                <w:color w:val="FFFFFF" w:themeColor="background1"/>
              </w:rPr>
            </w:pPr>
            <w:r w:rsidRPr="000651FD">
              <w:rPr>
                <w:color w:val="FFFFFF" w:themeColor="background1"/>
              </w:rPr>
              <w:t>Capability</w:t>
            </w:r>
          </w:p>
        </w:tc>
        <w:tc>
          <w:tcPr>
            <w:tcW w:w="3009" w:type="dxa"/>
          </w:tcPr>
          <w:p w14:paraId="150113E7" w14:textId="3B0294B4" w:rsidR="000651FD" w:rsidRPr="000651FD" w:rsidRDefault="000651FD" w:rsidP="00100451">
            <w:pPr>
              <w:ind w:left="0"/>
              <w:jc w:val="center"/>
              <w:rPr>
                <w:color w:val="FFFFFF" w:themeColor="background1"/>
              </w:rPr>
            </w:pPr>
            <w:r w:rsidRPr="000651FD">
              <w:rPr>
                <w:color w:val="FFFFFF" w:themeColor="background1"/>
              </w:rPr>
              <w:t>CPSM (Free)</w:t>
            </w:r>
          </w:p>
        </w:tc>
        <w:tc>
          <w:tcPr>
            <w:tcW w:w="3009" w:type="dxa"/>
            <w:gridSpan w:val="2"/>
          </w:tcPr>
          <w:p w14:paraId="656550F8" w14:textId="416A4230" w:rsidR="000651FD" w:rsidRPr="000651FD" w:rsidRDefault="000651FD" w:rsidP="00100451">
            <w:pPr>
              <w:jc w:val="center"/>
              <w:rPr>
                <w:color w:val="FFFFFF" w:themeColor="background1"/>
              </w:rPr>
            </w:pPr>
            <w:r w:rsidRPr="000651FD">
              <w:rPr>
                <w:color w:val="FFFFFF" w:themeColor="background1"/>
              </w:rPr>
              <w:t>Defender CSPM</w:t>
            </w:r>
          </w:p>
        </w:tc>
      </w:tr>
      <w:tr w:rsidR="000651FD" w14:paraId="3C6D79B6" w14:textId="77777777" w:rsidTr="000651FD">
        <w:trPr>
          <w:gridAfter w:val="1"/>
          <w:wAfter w:w="108" w:type="dxa"/>
        </w:trPr>
        <w:tc>
          <w:tcPr>
            <w:tcW w:w="3009" w:type="dxa"/>
            <w:gridSpan w:val="2"/>
          </w:tcPr>
          <w:p w14:paraId="03831151" w14:textId="6D9B6E9C" w:rsidR="000651FD" w:rsidRDefault="000651FD" w:rsidP="000651FD">
            <w:r w:rsidRPr="00AE53A5">
              <w:t>Centralized policy management</w:t>
            </w:r>
          </w:p>
        </w:tc>
        <w:tc>
          <w:tcPr>
            <w:tcW w:w="3009" w:type="dxa"/>
            <w:vAlign w:val="center"/>
          </w:tcPr>
          <w:p w14:paraId="563C0027" w14:textId="79B5FE7C" w:rsidR="000651FD" w:rsidRPr="00100451" w:rsidRDefault="000651FD" w:rsidP="000651FD">
            <w:pPr>
              <w:jc w:val="center"/>
              <w:rPr>
                <w:rFonts w:ascii="Webdings" w:hAnsi="Webdings"/>
                <w:sz w:val="36"/>
                <w:szCs w:val="36"/>
              </w:rPr>
            </w:pPr>
            <w:r w:rsidRPr="00100451">
              <w:rPr>
                <w:rFonts w:ascii="Webdings" w:hAnsi="Webdings"/>
                <w:sz w:val="36"/>
                <w:szCs w:val="36"/>
              </w:rPr>
              <w:t>a</w:t>
            </w:r>
          </w:p>
        </w:tc>
        <w:tc>
          <w:tcPr>
            <w:tcW w:w="3009" w:type="dxa"/>
            <w:vAlign w:val="center"/>
          </w:tcPr>
          <w:p w14:paraId="56DECD0E" w14:textId="274B8E60" w:rsidR="000651FD" w:rsidRPr="00100451" w:rsidRDefault="000651FD" w:rsidP="000651FD">
            <w:pPr>
              <w:jc w:val="center"/>
              <w:rPr>
                <w:sz w:val="36"/>
                <w:szCs w:val="36"/>
              </w:rPr>
            </w:pPr>
            <w:r w:rsidRPr="00100451">
              <w:rPr>
                <w:rFonts w:ascii="Webdings" w:hAnsi="Webdings"/>
                <w:sz w:val="36"/>
                <w:szCs w:val="36"/>
              </w:rPr>
              <w:t>a</w:t>
            </w:r>
          </w:p>
        </w:tc>
      </w:tr>
      <w:tr w:rsidR="000651FD" w14:paraId="6EA8815E" w14:textId="77777777" w:rsidTr="000651FD">
        <w:trPr>
          <w:gridAfter w:val="1"/>
          <w:wAfter w:w="108" w:type="dxa"/>
        </w:trPr>
        <w:tc>
          <w:tcPr>
            <w:tcW w:w="3009" w:type="dxa"/>
            <w:gridSpan w:val="2"/>
          </w:tcPr>
          <w:p w14:paraId="3B810247" w14:textId="7EEF55AC" w:rsidR="000651FD" w:rsidRDefault="000651FD" w:rsidP="000651FD">
            <w:r w:rsidRPr="00AE53A5">
              <w:t>Secure score</w:t>
            </w:r>
          </w:p>
        </w:tc>
        <w:tc>
          <w:tcPr>
            <w:tcW w:w="3009" w:type="dxa"/>
            <w:vAlign w:val="center"/>
          </w:tcPr>
          <w:p w14:paraId="5F411EC1" w14:textId="5005D702" w:rsidR="000651FD" w:rsidRPr="00100451" w:rsidRDefault="000651FD" w:rsidP="000651FD">
            <w:pPr>
              <w:jc w:val="center"/>
              <w:rPr>
                <w:sz w:val="36"/>
                <w:szCs w:val="36"/>
              </w:rPr>
            </w:pPr>
            <w:r w:rsidRPr="00100451">
              <w:rPr>
                <w:rFonts w:ascii="Webdings" w:hAnsi="Webdings"/>
                <w:sz w:val="36"/>
                <w:szCs w:val="36"/>
              </w:rPr>
              <w:t>a</w:t>
            </w:r>
          </w:p>
        </w:tc>
        <w:tc>
          <w:tcPr>
            <w:tcW w:w="3009" w:type="dxa"/>
            <w:vAlign w:val="center"/>
          </w:tcPr>
          <w:p w14:paraId="6045BE75" w14:textId="18A1D244" w:rsidR="000651FD" w:rsidRPr="00100451" w:rsidRDefault="000651FD" w:rsidP="000651FD">
            <w:pPr>
              <w:jc w:val="center"/>
              <w:rPr>
                <w:sz w:val="36"/>
                <w:szCs w:val="36"/>
              </w:rPr>
            </w:pPr>
            <w:r w:rsidRPr="00100451">
              <w:rPr>
                <w:rFonts w:ascii="Webdings" w:hAnsi="Webdings"/>
                <w:sz w:val="36"/>
                <w:szCs w:val="36"/>
              </w:rPr>
              <w:t>a</w:t>
            </w:r>
          </w:p>
        </w:tc>
      </w:tr>
      <w:tr w:rsidR="000651FD" w14:paraId="6658732E" w14:textId="77777777" w:rsidTr="000651FD">
        <w:trPr>
          <w:gridAfter w:val="1"/>
          <w:wAfter w:w="108" w:type="dxa"/>
        </w:trPr>
        <w:tc>
          <w:tcPr>
            <w:tcW w:w="3009" w:type="dxa"/>
            <w:gridSpan w:val="2"/>
          </w:tcPr>
          <w:p w14:paraId="3526390B" w14:textId="3EB6A331" w:rsidR="000651FD" w:rsidRDefault="000651FD" w:rsidP="000651FD">
            <w:r w:rsidRPr="00AE53A5">
              <w:t>Multicloud coverage</w:t>
            </w:r>
          </w:p>
        </w:tc>
        <w:tc>
          <w:tcPr>
            <w:tcW w:w="3009" w:type="dxa"/>
            <w:vAlign w:val="center"/>
          </w:tcPr>
          <w:p w14:paraId="16672015" w14:textId="0B165427" w:rsidR="000651FD" w:rsidRPr="00100451" w:rsidRDefault="000651FD" w:rsidP="000651FD">
            <w:pPr>
              <w:jc w:val="center"/>
              <w:rPr>
                <w:sz w:val="36"/>
                <w:szCs w:val="36"/>
              </w:rPr>
            </w:pPr>
            <w:r w:rsidRPr="00100451">
              <w:rPr>
                <w:rFonts w:ascii="Webdings" w:hAnsi="Webdings"/>
                <w:sz w:val="36"/>
                <w:szCs w:val="36"/>
              </w:rPr>
              <w:t>a</w:t>
            </w:r>
          </w:p>
        </w:tc>
        <w:tc>
          <w:tcPr>
            <w:tcW w:w="3009" w:type="dxa"/>
            <w:vAlign w:val="center"/>
          </w:tcPr>
          <w:p w14:paraId="0D468B3E" w14:textId="130C48EE" w:rsidR="000651FD" w:rsidRPr="00100451" w:rsidRDefault="000651FD" w:rsidP="000651FD">
            <w:pPr>
              <w:jc w:val="center"/>
              <w:rPr>
                <w:sz w:val="36"/>
                <w:szCs w:val="36"/>
              </w:rPr>
            </w:pPr>
            <w:r w:rsidRPr="00100451">
              <w:rPr>
                <w:rFonts w:ascii="Webdings" w:hAnsi="Webdings"/>
                <w:sz w:val="36"/>
                <w:szCs w:val="36"/>
              </w:rPr>
              <w:t>a</w:t>
            </w:r>
          </w:p>
        </w:tc>
      </w:tr>
      <w:tr w:rsidR="000651FD" w14:paraId="6E3F5E04" w14:textId="77777777" w:rsidTr="000651FD">
        <w:trPr>
          <w:gridAfter w:val="1"/>
          <w:wAfter w:w="108" w:type="dxa"/>
        </w:trPr>
        <w:tc>
          <w:tcPr>
            <w:tcW w:w="3009" w:type="dxa"/>
            <w:gridSpan w:val="2"/>
          </w:tcPr>
          <w:p w14:paraId="3F763059" w14:textId="6E8D195F" w:rsidR="000651FD" w:rsidRPr="00AE53A5" w:rsidRDefault="000651FD" w:rsidP="000651FD">
            <w:r w:rsidRPr="004F6B99">
              <w:t>Cloud Security Posture Management (CSPM)</w:t>
            </w:r>
          </w:p>
        </w:tc>
        <w:tc>
          <w:tcPr>
            <w:tcW w:w="3009" w:type="dxa"/>
            <w:vAlign w:val="center"/>
          </w:tcPr>
          <w:p w14:paraId="3429A69E" w14:textId="72A70946" w:rsidR="000651FD" w:rsidRPr="00100451" w:rsidRDefault="000651FD" w:rsidP="000651FD">
            <w:pPr>
              <w:jc w:val="center"/>
              <w:rPr>
                <w:sz w:val="36"/>
                <w:szCs w:val="36"/>
              </w:rPr>
            </w:pPr>
            <w:r w:rsidRPr="00100451">
              <w:rPr>
                <w:rFonts w:ascii="Webdings" w:hAnsi="Webdings"/>
                <w:sz w:val="36"/>
                <w:szCs w:val="36"/>
              </w:rPr>
              <w:t>a</w:t>
            </w:r>
          </w:p>
        </w:tc>
        <w:tc>
          <w:tcPr>
            <w:tcW w:w="3009" w:type="dxa"/>
            <w:vAlign w:val="center"/>
          </w:tcPr>
          <w:p w14:paraId="3CE9BE89" w14:textId="59569E36" w:rsidR="000651FD" w:rsidRPr="00100451" w:rsidRDefault="000651FD" w:rsidP="000651FD">
            <w:pPr>
              <w:jc w:val="center"/>
              <w:rPr>
                <w:sz w:val="36"/>
                <w:szCs w:val="36"/>
              </w:rPr>
            </w:pPr>
            <w:r w:rsidRPr="00100451">
              <w:rPr>
                <w:rFonts w:ascii="Webdings" w:hAnsi="Webdings"/>
                <w:sz w:val="36"/>
                <w:szCs w:val="36"/>
              </w:rPr>
              <w:t>a</w:t>
            </w:r>
          </w:p>
        </w:tc>
      </w:tr>
      <w:tr w:rsidR="000651FD" w14:paraId="17DC60A1" w14:textId="77777777" w:rsidTr="000651FD">
        <w:trPr>
          <w:gridAfter w:val="1"/>
          <w:wAfter w:w="108" w:type="dxa"/>
        </w:trPr>
        <w:tc>
          <w:tcPr>
            <w:tcW w:w="3009" w:type="dxa"/>
            <w:gridSpan w:val="2"/>
          </w:tcPr>
          <w:p w14:paraId="4E61F68C" w14:textId="3613438E" w:rsidR="000651FD" w:rsidRPr="00AE53A5" w:rsidRDefault="000651FD" w:rsidP="000651FD">
            <w:r w:rsidRPr="004F6B99">
              <w:t>Advanced Cloud Security Posture Management</w:t>
            </w:r>
          </w:p>
        </w:tc>
        <w:tc>
          <w:tcPr>
            <w:tcW w:w="3009" w:type="dxa"/>
          </w:tcPr>
          <w:p w14:paraId="1F3C4043" w14:textId="77777777" w:rsidR="000651FD" w:rsidRPr="00100451" w:rsidRDefault="000651FD" w:rsidP="000651FD">
            <w:pPr>
              <w:rPr>
                <w:sz w:val="36"/>
                <w:szCs w:val="36"/>
              </w:rPr>
            </w:pPr>
          </w:p>
        </w:tc>
        <w:tc>
          <w:tcPr>
            <w:tcW w:w="3009" w:type="dxa"/>
            <w:vAlign w:val="center"/>
          </w:tcPr>
          <w:p w14:paraId="657A174A" w14:textId="6B006FF5" w:rsidR="000651FD" w:rsidRPr="00100451" w:rsidRDefault="000651FD" w:rsidP="000651FD">
            <w:pPr>
              <w:jc w:val="center"/>
              <w:rPr>
                <w:sz w:val="36"/>
                <w:szCs w:val="36"/>
              </w:rPr>
            </w:pPr>
            <w:r w:rsidRPr="00100451">
              <w:rPr>
                <w:rFonts w:ascii="Webdings" w:hAnsi="Webdings"/>
                <w:sz w:val="36"/>
                <w:szCs w:val="36"/>
              </w:rPr>
              <w:t>a</w:t>
            </w:r>
          </w:p>
        </w:tc>
      </w:tr>
      <w:tr w:rsidR="000651FD" w14:paraId="00BD7D45" w14:textId="77777777" w:rsidTr="000651FD">
        <w:trPr>
          <w:gridAfter w:val="1"/>
          <w:wAfter w:w="108" w:type="dxa"/>
        </w:trPr>
        <w:tc>
          <w:tcPr>
            <w:tcW w:w="3009" w:type="dxa"/>
            <w:gridSpan w:val="2"/>
          </w:tcPr>
          <w:p w14:paraId="27E7AF6B" w14:textId="1C1363BF" w:rsidR="000651FD" w:rsidRPr="00AE53A5" w:rsidRDefault="000651FD" w:rsidP="000651FD">
            <w:r w:rsidRPr="004F6B99">
              <w:lastRenderedPageBreak/>
              <w:t>Data-aware Security Posture</w:t>
            </w:r>
          </w:p>
        </w:tc>
        <w:tc>
          <w:tcPr>
            <w:tcW w:w="3009" w:type="dxa"/>
          </w:tcPr>
          <w:p w14:paraId="7E416FF0" w14:textId="77777777" w:rsidR="000651FD" w:rsidRPr="00100451" w:rsidRDefault="000651FD" w:rsidP="000651FD">
            <w:pPr>
              <w:rPr>
                <w:sz w:val="36"/>
                <w:szCs w:val="36"/>
              </w:rPr>
            </w:pPr>
          </w:p>
        </w:tc>
        <w:tc>
          <w:tcPr>
            <w:tcW w:w="3009" w:type="dxa"/>
            <w:vAlign w:val="center"/>
          </w:tcPr>
          <w:p w14:paraId="2F7042C0" w14:textId="0AD3EAE4" w:rsidR="000651FD" w:rsidRPr="00100451" w:rsidRDefault="000651FD" w:rsidP="000651FD">
            <w:pPr>
              <w:jc w:val="center"/>
              <w:rPr>
                <w:sz w:val="36"/>
                <w:szCs w:val="36"/>
              </w:rPr>
            </w:pPr>
            <w:r w:rsidRPr="00100451">
              <w:rPr>
                <w:rFonts w:ascii="Webdings" w:hAnsi="Webdings"/>
                <w:sz w:val="36"/>
                <w:szCs w:val="36"/>
              </w:rPr>
              <w:t>a</w:t>
            </w:r>
          </w:p>
        </w:tc>
      </w:tr>
      <w:tr w:rsidR="000651FD" w14:paraId="6AD45200" w14:textId="77777777" w:rsidTr="000651FD">
        <w:trPr>
          <w:gridAfter w:val="1"/>
          <w:wAfter w:w="108" w:type="dxa"/>
        </w:trPr>
        <w:tc>
          <w:tcPr>
            <w:tcW w:w="3009" w:type="dxa"/>
            <w:gridSpan w:val="2"/>
          </w:tcPr>
          <w:p w14:paraId="00853CB5" w14:textId="55C9D803" w:rsidR="000651FD" w:rsidRPr="004F6B99" w:rsidRDefault="000651FD" w:rsidP="000651FD">
            <w:r w:rsidRPr="00EE2ED8">
              <w:t>Attack path analysis</w:t>
            </w:r>
          </w:p>
        </w:tc>
        <w:tc>
          <w:tcPr>
            <w:tcW w:w="3009" w:type="dxa"/>
          </w:tcPr>
          <w:p w14:paraId="12768B27" w14:textId="77777777" w:rsidR="000651FD" w:rsidRPr="00100451" w:rsidRDefault="000651FD" w:rsidP="000651FD">
            <w:pPr>
              <w:rPr>
                <w:sz w:val="36"/>
                <w:szCs w:val="36"/>
              </w:rPr>
            </w:pPr>
          </w:p>
        </w:tc>
        <w:tc>
          <w:tcPr>
            <w:tcW w:w="3009" w:type="dxa"/>
            <w:vAlign w:val="center"/>
          </w:tcPr>
          <w:p w14:paraId="68C50EC4" w14:textId="7EE6DB0E" w:rsidR="000651FD" w:rsidRPr="00100451" w:rsidRDefault="000651FD" w:rsidP="000651FD">
            <w:pPr>
              <w:jc w:val="center"/>
              <w:rPr>
                <w:sz w:val="36"/>
                <w:szCs w:val="36"/>
              </w:rPr>
            </w:pPr>
            <w:r w:rsidRPr="00100451">
              <w:rPr>
                <w:rFonts w:ascii="Webdings" w:hAnsi="Webdings"/>
                <w:sz w:val="36"/>
                <w:szCs w:val="36"/>
              </w:rPr>
              <w:t>a</w:t>
            </w:r>
          </w:p>
        </w:tc>
      </w:tr>
      <w:tr w:rsidR="000651FD" w14:paraId="54D76998" w14:textId="77777777" w:rsidTr="000651FD">
        <w:trPr>
          <w:gridAfter w:val="1"/>
          <w:wAfter w:w="108" w:type="dxa"/>
        </w:trPr>
        <w:tc>
          <w:tcPr>
            <w:tcW w:w="3009" w:type="dxa"/>
            <w:gridSpan w:val="2"/>
          </w:tcPr>
          <w:p w14:paraId="4373A27D" w14:textId="3B70BEF0" w:rsidR="000651FD" w:rsidRPr="004F6B99" w:rsidRDefault="000651FD" w:rsidP="000651FD">
            <w:r w:rsidRPr="00EE2ED8">
              <w:t>Cloud Security Explorer</w:t>
            </w:r>
          </w:p>
        </w:tc>
        <w:tc>
          <w:tcPr>
            <w:tcW w:w="3009" w:type="dxa"/>
          </w:tcPr>
          <w:p w14:paraId="462D7518" w14:textId="77777777" w:rsidR="000651FD" w:rsidRPr="00100451" w:rsidRDefault="000651FD" w:rsidP="000651FD">
            <w:pPr>
              <w:rPr>
                <w:sz w:val="36"/>
                <w:szCs w:val="36"/>
              </w:rPr>
            </w:pPr>
          </w:p>
        </w:tc>
        <w:tc>
          <w:tcPr>
            <w:tcW w:w="3009" w:type="dxa"/>
            <w:vAlign w:val="center"/>
          </w:tcPr>
          <w:p w14:paraId="58F1F1D5" w14:textId="796EAB0F" w:rsidR="000651FD" w:rsidRPr="00100451" w:rsidRDefault="000651FD" w:rsidP="000651FD">
            <w:pPr>
              <w:jc w:val="center"/>
              <w:rPr>
                <w:sz w:val="36"/>
                <w:szCs w:val="36"/>
              </w:rPr>
            </w:pPr>
            <w:r w:rsidRPr="00100451">
              <w:rPr>
                <w:rFonts w:ascii="Webdings" w:hAnsi="Webdings"/>
                <w:sz w:val="36"/>
                <w:szCs w:val="36"/>
              </w:rPr>
              <w:t>a</w:t>
            </w:r>
          </w:p>
        </w:tc>
      </w:tr>
      <w:tr w:rsidR="000651FD" w14:paraId="60F79315" w14:textId="77777777" w:rsidTr="000651FD">
        <w:trPr>
          <w:gridAfter w:val="1"/>
          <w:wAfter w:w="108" w:type="dxa"/>
        </w:trPr>
        <w:tc>
          <w:tcPr>
            <w:tcW w:w="3009" w:type="dxa"/>
            <w:gridSpan w:val="2"/>
          </w:tcPr>
          <w:p w14:paraId="6D999946" w14:textId="5B81B373" w:rsidR="000651FD" w:rsidRPr="00EE2ED8" w:rsidRDefault="000651FD" w:rsidP="000651FD">
            <w:r w:rsidRPr="00FB1044">
              <w:t>Security governance</w:t>
            </w:r>
          </w:p>
        </w:tc>
        <w:tc>
          <w:tcPr>
            <w:tcW w:w="3009" w:type="dxa"/>
          </w:tcPr>
          <w:p w14:paraId="3899F7CF" w14:textId="77777777" w:rsidR="000651FD" w:rsidRPr="00100451" w:rsidRDefault="000651FD" w:rsidP="000651FD">
            <w:pPr>
              <w:rPr>
                <w:sz w:val="36"/>
                <w:szCs w:val="36"/>
              </w:rPr>
            </w:pPr>
          </w:p>
        </w:tc>
        <w:tc>
          <w:tcPr>
            <w:tcW w:w="3009" w:type="dxa"/>
            <w:vAlign w:val="center"/>
          </w:tcPr>
          <w:p w14:paraId="05C490E7" w14:textId="25A54BC6" w:rsidR="000651FD" w:rsidRPr="00100451" w:rsidRDefault="000651FD" w:rsidP="000651FD">
            <w:pPr>
              <w:jc w:val="center"/>
              <w:rPr>
                <w:sz w:val="36"/>
                <w:szCs w:val="36"/>
              </w:rPr>
            </w:pPr>
            <w:r w:rsidRPr="00100451">
              <w:rPr>
                <w:rFonts w:ascii="Webdings" w:hAnsi="Webdings"/>
                <w:sz w:val="36"/>
                <w:szCs w:val="36"/>
              </w:rPr>
              <w:t>a</w:t>
            </w:r>
          </w:p>
        </w:tc>
      </w:tr>
      <w:tr w:rsidR="000651FD" w14:paraId="1B73F6A7" w14:textId="77777777" w:rsidTr="000651FD">
        <w:trPr>
          <w:gridAfter w:val="1"/>
          <w:wAfter w:w="108" w:type="dxa"/>
        </w:trPr>
        <w:tc>
          <w:tcPr>
            <w:tcW w:w="3009" w:type="dxa"/>
            <w:gridSpan w:val="2"/>
          </w:tcPr>
          <w:p w14:paraId="1713EA5A" w14:textId="19CE1A85" w:rsidR="000651FD" w:rsidRPr="00EE2ED8" w:rsidRDefault="000651FD" w:rsidP="000651FD">
            <w:r w:rsidRPr="00FB1044">
              <w:t>Microsoft Entra Permissions Management</w:t>
            </w:r>
          </w:p>
        </w:tc>
        <w:tc>
          <w:tcPr>
            <w:tcW w:w="3009" w:type="dxa"/>
          </w:tcPr>
          <w:p w14:paraId="721249FF" w14:textId="77777777" w:rsidR="000651FD" w:rsidRPr="00100451" w:rsidRDefault="000651FD" w:rsidP="000651FD">
            <w:pPr>
              <w:rPr>
                <w:sz w:val="36"/>
                <w:szCs w:val="36"/>
              </w:rPr>
            </w:pPr>
          </w:p>
        </w:tc>
        <w:tc>
          <w:tcPr>
            <w:tcW w:w="3009" w:type="dxa"/>
            <w:vAlign w:val="center"/>
          </w:tcPr>
          <w:p w14:paraId="42ADAA88" w14:textId="51589F01" w:rsidR="000651FD" w:rsidRPr="00100451" w:rsidRDefault="000651FD" w:rsidP="000651FD">
            <w:pPr>
              <w:jc w:val="center"/>
              <w:rPr>
                <w:sz w:val="36"/>
                <w:szCs w:val="36"/>
              </w:rPr>
            </w:pPr>
            <w:r w:rsidRPr="00100451">
              <w:rPr>
                <w:rFonts w:ascii="Webdings" w:hAnsi="Webdings"/>
                <w:sz w:val="36"/>
                <w:szCs w:val="36"/>
              </w:rPr>
              <w:t>a</w:t>
            </w:r>
          </w:p>
        </w:tc>
      </w:tr>
      <w:tr w:rsidR="000651FD" w14:paraId="4EB6F357" w14:textId="77777777" w:rsidTr="000651FD">
        <w:trPr>
          <w:gridAfter w:val="1"/>
          <w:wAfter w:w="108" w:type="dxa"/>
        </w:trPr>
        <w:tc>
          <w:tcPr>
            <w:tcW w:w="3009" w:type="dxa"/>
            <w:gridSpan w:val="2"/>
          </w:tcPr>
          <w:p w14:paraId="1D005FAA" w14:textId="12DC2EB2" w:rsidR="000651FD" w:rsidRPr="00EE2ED8" w:rsidRDefault="000651FD" w:rsidP="000651FD">
            <w:r w:rsidRPr="00FB1044">
              <w:t>Security governance</w:t>
            </w:r>
          </w:p>
        </w:tc>
        <w:tc>
          <w:tcPr>
            <w:tcW w:w="3009" w:type="dxa"/>
          </w:tcPr>
          <w:p w14:paraId="3262AC90" w14:textId="77777777" w:rsidR="000651FD" w:rsidRPr="00100451" w:rsidRDefault="000651FD" w:rsidP="000651FD">
            <w:pPr>
              <w:rPr>
                <w:sz w:val="36"/>
                <w:szCs w:val="36"/>
              </w:rPr>
            </w:pPr>
          </w:p>
        </w:tc>
        <w:tc>
          <w:tcPr>
            <w:tcW w:w="3009" w:type="dxa"/>
            <w:vAlign w:val="center"/>
          </w:tcPr>
          <w:p w14:paraId="0E82E5CF" w14:textId="4FD8CC6B" w:rsidR="000651FD" w:rsidRPr="00100451" w:rsidRDefault="000651FD" w:rsidP="006C1C76">
            <w:pPr>
              <w:keepNext/>
              <w:jc w:val="center"/>
              <w:rPr>
                <w:sz w:val="36"/>
                <w:szCs w:val="36"/>
              </w:rPr>
            </w:pPr>
            <w:r w:rsidRPr="00100451">
              <w:rPr>
                <w:rFonts w:ascii="Webdings" w:hAnsi="Webdings"/>
                <w:sz w:val="36"/>
                <w:szCs w:val="36"/>
              </w:rPr>
              <w:t>a</w:t>
            </w:r>
          </w:p>
        </w:tc>
      </w:tr>
    </w:tbl>
    <w:p w14:paraId="7E268D40" w14:textId="658C1554" w:rsidR="009F6A20" w:rsidRDefault="006C1C76" w:rsidP="006C1C76">
      <w:pPr>
        <w:pStyle w:val="Caption"/>
        <w:jc w:val="center"/>
      </w:pPr>
      <w:r>
        <w:t xml:space="preserve">Table </w:t>
      </w:r>
      <w:fldSimple w:instr=" SEQ Table \* ARABIC ">
        <w:r>
          <w:rPr>
            <w:noProof/>
          </w:rPr>
          <w:t>3</w:t>
        </w:r>
      </w:fldSimple>
      <w:r>
        <w:t>: Feature comparison of CPSM free tier vs paid tier</w:t>
      </w:r>
    </w:p>
    <w:p w14:paraId="353AAEDC" w14:textId="77777777" w:rsidR="0004184A" w:rsidRPr="0004184A" w:rsidRDefault="0004184A" w:rsidP="0004184A"/>
    <w:p w14:paraId="38923C70" w14:textId="77777777" w:rsidR="00E30EFD" w:rsidRDefault="00E30EFD" w:rsidP="00116140">
      <w:pPr>
        <w:pStyle w:val="BodyText"/>
      </w:pPr>
    </w:p>
    <w:p w14:paraId="392B427B" w14:textId="29F8962C" w:rsidR="00BB11AE" w:rsidRPr="00B96AF7" w:rsidRDefault="00BB11AE">
      <w:pPr>
        <w:pStyle w:val="Heading2"/>
      </w:pPr>
      <w:bookmarkStart w:id="26" w:name="_Toc160795832"/>
      <w:r w:rsidRPr="00B96AF7">
        <w:t>RBAC</w:t>
      </w:r>
      <w:bookmarkEnd w:id="26"/>
    </w:p>
    <w:p w14:paraId="4783E2C2" w14:textId="0BD10D0C" w:rsidR="00CB76E0" w:rsidRPr="005251A3" w:rsidRDefault="0089311C" w:rsidP="00CB76E0">
      <w:pPr>
        <w:pStyle w:val="BodyText"/>
        <w:jc w:val="both"/>
      </w:pPr>
      <w:r w:rsidRPr="005251A3">
        <w:t xml:space="preserve">The following roles can be applied </w:t>
      </w:r>
      <w:r w:rsidR="00B96AF7" w:rsidRPr="005251A3">
        <w:t>to Defender for Cloud</w:t>
      </w:r>
      <w:r w:rsidR="005F1994">
        <w:rPr>
          <w:rStyle w:val="FootnoteReference"/>
        </w:rPr>
        <w:footnoteReference w:id="9"/>
      </w:r>
      <w:r w:rsidR="00B96AF7" w:rsidRPr="005251A3">
        <w:t xml:space="preserve">: </w:t>
      </w:r>
    </w:p>
    <w:tbl>
      <w:tblPr>
        <w:tblStyle w:val="AVTable1"/>
        <w:tblW w:w="0" w:type="auto"/>
        <w:tblLook w:val="04A0" w:firstRow="1" w:lastRow="0" w:firstColumn="1" w:lastColumn="0" w:noHBand="0" w:noVBand="1"/>
      </w:tblPr>
      <w:tblGrid>
        <w:gridCol w:w="3402"/>
        <w:gridCol w:w="5625"/>
      </w:tblGrid>
      <w:tr w:rsidR="00CB76E0" w:rsidRPr="005251A3"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5251A3" w:rsidRDefault="00CB76E0">
            <w:pPr>
              <w:pStyle w:val="BodyText"/>
              <w:jc w:val="both"/>
              <w:rPr>
                <w:color w:val="FFFFFF" w:themeColor="background1"/>
              </w:rPr>
            </w:pPr>
            <w:r w:rsidRPr="005251A3">
              <w:rPr>
                <w:color w:val="FFFFFF" w:themeColor="background1"/>
              </w:rPr>
              <w:t>Role Name</w:t>
            </w:r>
          </w:p>
        </w:tc>
        <w:tc>
          <w:tcPr>
            <w:tcW w:w="5625" w:type="dxa"/>
          </w:tcPr>
          <w:p w14:paraId="564ED140" w14:textId="77777777" w:rsidR="00CB76E0" w:rsidRPr="005251A3" w:rsidRDefault="00CB76E0">
            <w:pPr>
              <w:pStyle w:val="BodyText"/>
              <w:jc w:val="both"/>
              <w:rPr>
                <w:color w:val="FFFFFF" w:themeColor="background1"/>
              </w:rPr>
            </w:pPr>
            <w:r w:rsidRPr="005251A3">
              <w:rPr>
                <w:color w:val="FFFFFF" w:themeColor="background1"/>
              </w:rPr>
              <w:t>Description</w:t>
            </w:r>
          </w:p>
        </w:tc>
      </w:tr>
      <w:tr w:rsidR="00CB76E0" w:rsidRPr="005251A3" w14:paraId="11665B16" w14:textId="77777777">
        <w:tc>
          <w:tcPr>
            <w:tcW w:w="3402" w:type="dxa"/>
          </w:tcPr>
          <w:p w14:paraId="2B1DDF2A" w14:textId="7381F5E5" w:rsidR="00CB76E0" w:rsidRPr="005251A3" w:rsidRDefault="007570EB">
            <w:pPr>
              <w:pStyle w:val="BodyText"/>
              <w:jc w:val="both"/>
            </w:pPr>
            <w:r w:rsidRPr="005251A3">
              <w:t>Security Admin</w:t>
            </w:r>
          </w:p>
        </w:tc>
        <w:tc>
          <w:tcPr>
            <w:tcW w:w="5625" w:type="dxa"/>
          </w:tcPr>
          <w:p w14:paraId="340726C0" w14:textId="66E20CF3" w:rsidR="00CB76E0" w:rsidRPr="005251A3" w:rsidRDefault="0089311C">
            <w:pPr>
              <w:spacing w:line="240" w:lineRule="auto"/>
              <w:jc w:val="both"/>
              <w:rPr>
                <w:rFonts w:cs="Arial"/>
                <w:color w:val="161616"/>
              </w:rPr>
            </w:pPr>
            <w:r w:rsidRPr="005251A3">
              <w:rPr>
                <w:rFonts w:cs="Arial"/>
                <w:color w:val="161616"/>
              </w:rPr>
              <w:t>View and update permissions for Microsoft Defender for Cloud. Same permissions as the Security Reader role and can also update the security policy and dismiss alerts and recommendations.</w:t>
            </w:r>
          </w:p>
        </w:tc>
      </w:tr>
      <w:tr w:rsidR="00CB76E0" w:rsidRPr="005251A3" w14:paraId="6B9EF577" w14:textId="77777777">
        <w:tc>
          <w:tcPr>
            <w:tcW w:w="3402" w:type="dxa"/>
          </w:tcPr>
          <w:p w14:paraId="1EC10B79" w14:textId="75A3EEBB" w:rsidR="00CB76E0" w:rsidRPr="005251A3" w:rsidRDefault="00B96AF7">
            <w:pPr>
              <w:pStyle w:val="BodyText"/>
              <w:jc w:val="both"/>
            </w:pPr>
            <w:r w:rsidRPr="005251A3">
              <w:t>Security Assessment Contributor</w:t>
            </w:r>
          </w:p>
        </w:tc>
        <w:tc>
          <w:tcPr>
            <w:tcW w:w="5625" w:type="dxa"/>
          </w:tcPr>
          <w:p w14:paraId="6EE1E870" w14:textId="279B544D" w:rsidR="00CB76E0" w:rsidRPr="005251A3" w:rsidRDefault="00B96AF7">
            <w:pPr>
              <w:pStyle w:val="BodyText"/>
              <w:keepNext/>
              <w:jc w:val="both"/>
              <w:rPr>
                <w:rFonts w:cs="Arial"/>
              </w:rPr>
            </w:pPr>
            <w:r w:rsidRPr="005251A3">
              <w:rPr>
                <w:rFonts w:cs="Arial"/>
                <w:color w:val="161616"/>
                <w:shd w:val="clear" w:color="auto" w:fill="FFFFFF"/>
              </w:rPr>
              <w:t>Lets you push assessments to Microsoft Defender for Cloud</w:t>
            </w:r>
          </w:p>
        </w:tc>
      </w:tr>
      <w:tr w:rsidR="0005148E" w:rsidRPr="005251A3" w14:paraId="48FDAA86" w14:textId="77777777">
        <w:tc>
          <w:tcPr>
            <w:tcW w:w="3402" w:type="dxa"/>
          </w:tcPr>
          <w:p w14:paraId="4B915397" w14:textId="1DBCFC30" w:rsidR="0005148E" w:rsidRPr="005251A3" w:rsidRDefault="001F0075">
            <w:pPr>
              <w:pStyle w:val="BodyText"/>
              <w:jc w:val="both"/>
            </w:pPr>
            <w:r w:rsidRPr="005251A3">
              <w:t>Security Reader</w:t>
            </w:r>
          </w:p>
        </w:tc>
        <w:tc>
          <w:tcPr>
            <w:tcW w:w="5625" w:type="dxa"/>
          </w:tcPr>
          <w:p w14:paraId="2140AB70" w14:textId="595B3EA8" w:rsidR="0005148E" w:rsidRPr="005251A3" w:rsidRDefault="00C15115">
            <w:pPr>
              <w:pStyle w:val="BodyText"/>
              <w:keepNext/>
              <w:jc w:val="both"/>
              <w:rPr>
                <w:rFonts w:cs="Arial"/>
                <w:color w:val="161616"/>
                <w:shd w:val="clear" w:color="auto" w:fill="FFFFFF"/>
              </w:rPr>
            </w:pPr>
            <w:r w:rsidRPr="005251A3">
              <w:rPr>
                <w:rFonts w:cs="Arial"/>
                <w:color w:val="161616"/>
                <w:shd w:val="clear" w:color="auto" w:fill="FFFFFF"/>
              </w:rPr>
              <w:t>View permissions for Microsoft Defender for Cloud. Can view recommendations, alerts, a security policy, and security states, but cannot make changes.</w:t>
            </w:r>
          </w:p>
        </w:tc>
      </w:tr>
    </w:tbl>
    <w:p w14:paraId="4C3BBBE8" w14:textId="0E6827A7" w:rsidR="00CB76E0" w:rsidRDefault="00CB76E0" w:rsidP="00CB76E0">
      <w:pPr>
        <w:pStyle w:val="Caption"/>
        <w:jc w:val="center"/>
      </w:pPr>
      <w:r w:rsidRPr="005251A3">
        <w:t xml:space="preserve">Table </w:t>
      </w:r>
      <w:fldSimple w:instr=" SEQ Table \* ARABIC ">
        <w:r w:rsidR="006C1C76" w:rsidRPr="005251A3">
          <w:rPr>
            <w:noProof/>
          </w:rPr>
          <w:t>4</w:t>
        </w:r>
      </w:fldSimple>
      <w:r w:rsidRPr="005251A3">
        <w:t>: RBAC roles relevant for this core service</w:t>
      </w:r>
    </w:p>
    <w:p w14:paraId="31B290AD" w14:textId="77777777" w:rsidR="00733BB1" w:rsidRDefault="00733BB1" w:rsidP="00CB76E0">
      <w:pPr>
        <w:pStyle w:val="BodyText"/>
      </w:pPr>
    </w:p>
    <w:p w14:paraId="7EAE9E8D" w14:textId="77777777" w:rsidR="00945405" w:rsidRDefault="00945405" w:rsidP="00CB76E0">
      <w:pPr>
        <w:pStyle w:val="BodyText"/>
      </w:pPr>
    </w:p>
    <w:p w14:paraId="47E797D9" w14:textId="77777777" w:rsidR="00945405" w:rsidRDefault="00945405" w:rsidP="00CB76E0">
      <w:pPr>
        <w:pStyle w:val="BodyText"/>
      </w:pPr>
    </w:p>
    <w:p w14:paraId="68EB6800" w14:textId="77777777" w:rsidR="00945405" w:rsidRDefault="00945405" w:rsidP="00CB76E0">
      <w:pPr>
        <w:pStyle w:val="BodyText"/>
      </w:pPr>
    </w:p>
    <w:p w14:paraId="58DC681A" w14:textId="77777777" w:rsidR="00945405" w:rsidRDefault="00945405" w:rsidP="00CB76E0">
      <w:pPr>
        <w:pStyle w:val="BodyText"/>
      </w:pPr>
    </w:p>
    <w:p w14:paraId="33F659DF" w14:textId="77777777" w:rsidR="00945405" w:rsidRDefault="00945405" w:rsidP="00CB76E0">
      <w:pPr>
        <w:pStyle w:val="BodyText"/>
      </w:pPr>
    </w:p>
    <w:p w14:paraId="27A5B0C5" w14:textId="77777777" w:rsidR="00945405" w:rsidRDefault="00945405" w:rsidP="00CB76E0">
      <w:pPr>
        <w:pStyle w:val="BodyText"/>
      </w:pPr>
    </w:p>
    <w:p w14:paraId="471F3088" w14:textId="77777777" w:rsidR="00945405" w:rsidRDefault="00945405" w:rsidP="00CB76E0">
      <w:pPr>
        <w:pStyle w:val="BodyText"/>
      </w:pPr>
    </w:p>
    <w:p w14:paraId="2EB566D2" w14:textId="77777777" w:rsidR="00945405" w:rsidRDefault="00945405" w:rsidP="00CB76E0">
      <w:pPr>
        <w:pStyle w:val="BodyText"/>
      </w:pPr>
    </w:p>
    <w:p w14:paraId="76D4AAC1" w14:textId="7FFDADE1" w:rsidR="00525B21" w:rsidRDefault="00525B21" w:rsidP="00525B21">
      <w:pPr>
        <w:pStyle w:val="Heading2"/>
      </w:pPr>
      <w:bookmarkStart w:id="27" w:name="_Toc160795833"/>
      <w:r>
        <w:lastRenderedPageBreak/>
        <w:t>Design Decisions and Justifications</w:t>
      </w:r>
      <w:bookmarkEnd w:id="27"/>
    </w:p>
    <w:p w14:paraId="427E9337" w14:textId="14D77324"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3E078D">
            <w:t>Defender for Cloud</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705CCBFF" w:rsidR="00DA6DA9" w:rsidRPr="008B7613" w:rsidRDefault="00801C20" w:rsidP="007D289F">
      <w:pPr>
        <w:pStyle w:val="Heading3"/>
        <w:numPr>
          <w:ilvl w:val="2"/>
          <w:numId w:val="7"/>
        </w:numPr>
        <w:jc w:val="both"/>
      </w:pPr>
      <w:bookmarkStart w:id="28" w:name="_Toc160795834"/>
      <w:r>
        <w:t>Enabling Defender on all resources</w:t>
      </w:r>
      <w:bookmarkEnd w:id="28"/>
    </w:p>
    <w:p w14:paraId="25D6AE94" w14:textId="65DEFC85" w:rsidR="00DA6DA9" w:rsidRDefault="00DA6DA9" w:rsidP="007D289F">
      <w:pPr>
        <w:pStyle w:val="BodyText"/>
        <w:jc w:val="both"/>
      </w:pPr>
      <w:r w:rsidRPr="008B7613">
        <w:rPr>
          <w:b/>
          <w:bCs/>
        </w:rPr>
        <w:t>Design Decision</w:t>
      </w:r>
      <w:r>
        <w:t xml:space="preserve">: </w:t>
      </w:r>
      <w:r w:rsidR="00516390">
        <w:t xml:space="preserve">All Defender plans will be enabled for each subscription. </w:t>
      </w:r>
    </w:p>
    <w:p w14:paraId="37F41E6F" w14:textId="77777777" w:rsidR="00DA6DA9" w:rsidRDefault="00DA6DA9" w:rsidP="007D289F">
      <w:pPr>
        <w:pStyle w:val="BodyText"/>
        <w:jc w:val="both"/>
      </w:pPr>
    </w:p>
    <w:p w14:paraId="2B406AC8" w14:textId="51F3362C" w:rsidR="00DA6DA9" w:rsidRDefault="00DA6DA9" w:rsidP="007D289F">
      <w:pPr>
        <w:pStyle w:val="BodyText"/>
        <w:jc w:val="both"/>
      </w:pPr>
      <w:r w:rsidRPr="008B7613">
        <w:rPr>
          <w:b/>
          <w:bCs/>
        </w:rPr>
        <w:t>Design Justification</w:t>
      </w:r>
      <w:r>
        <w:t xml:space="preserve">: </w:t>
      </w:r>
      <w:r w:rsidR="008669C0">
        <w:t>All available plans will be enabled for the following resources:</w:t>
      </w:r>
    </w:p>
    <w:p w14:paraId="56509B78" w14:textId="7FD33DDD" w:rsidR="008669C0" w:rsidRDefault="00296F2D" w:rsidP="008669C0">
      <w:pPr>
        <w:pStyle w:val="BodyText"/>
        <w:numPr>
          <w:ilvl w:val="0"/>
          <w:numId w:val="36"/>
        </w:numPr>
        <w:jc w:val="both"/>
      </w:pPr>
      <w:r>
        <w:t>Defender for Servers</w:t>
      </w:r>
    </w:p>
    <w:p w14:paraId="2632C3DA" w14:textId="1DE4290A" w:rsidR="00296F2D" w:rsidRDefault="00296F2D" w:rsidP="008669C0">
      <w:pPr>
        <w:pStyle w:val="BodyText"/>
        <w:numPr>
          <w:ilvl w:val="0"/>
          <w:numId w:val="36"/>
        </w:numPr>
        <w:jc w:val="both"/>
      </w:pPr>
      <w:r>
        <w:t>Defender for App Service</w:t>
      </w:r>
    </w:p>
    <w:p w14:paraId="10312DF0" w14:textId="606EB213" w:rsidR="00296F2D" w:rsidRDefault="00296F2D" w:rsidP="008669C0">
      <w:pPr>
        <w:pStyle w:val="BodyText"/>
        <w:numPr>
          <w:ilvl w:val="0"/>
          <w:numId w:val="36"/>
        </w:numPr>
        <w:jc w:val="both"/>
      </w:pPr>
      <w:r>
        <w:t>Defender for Databases</w:t>
      </w:r>
    </w:p>
    <w:p w14:paraId="02A55650" w14:textId="177DB52D" w:rsidR="00296F2D" w:rsidRDefault="00296F2D" w:rsidP="008669C0">
      <w:pPr>
        <w:pStyle w:val="BodyText"/>
        <w:numPr>
          <w:ilvl w:val="0"/>
          <w:numId w:val="36"/>
        </w:numPr>
        <w:jc w:val="both"/>
      </w:pPr>
      <w:r>
        <w:t>Defender for Storage</w:t>
      </w:r>
    </w:p>
    <w:p w14:paraId="1E794449" w14:textId="4DEF2F15" w:rsidR="00296F2D" w:rsidRDefault="00296F2D" w:rsidP="008669C0">
      <w:pPr>
        <w:pStyle w:val="BodyText"/>
        <w:numPr>
          <w:ilvl w:val="0"/>
          <w:numId w:val="36"/>
        </w:numPr>
        <w:jc w:val="both"/>
      </w:pPr>
      <w:r>
        <w:t>Defender for Containers</w:t>
      </w:r>
    </w:p>
    <w:p w14:paraId="25A969E4" w14:textId="5E2CEE35" w:rsidR="00296F2D" w:rsidRDefault="00296F2D" w:rsidP="008669C0">
      <w:pPr>
        <w:pStyle w:val="BodyText"/>
        <w:numPr>
          <w:ilvl w:val="0"/>
          <w:numId w:val="36"/>
        </w:numPr>
        <w:jc w:val="both"/>
      </w:pPr>
      <w:r>
        <w:t>Defender for Key Vault</w:t>
      </w:r>
    </w:p>
    <w:p w14:paraId="38F06E0B" w14:textId="0D042BF9" w:rsidR="00296F2D" w:rsidRDefault="00296F2D" w:rsidP="008669C0">
      <w:pPr>
        <w:pStyle w:val="BodyText"/>
        <w:numPr>
          <w:ilvl w:val="0"/>
          <w:numId w:val="36"/>
        </w:numPr>
        <w:jc w:val="both"/>
      </w:pPr>
      <w:r>
        <w:t>Defender for Resource manager</w:t>
      </w:r>
    </w:p>
    <w:p w14:paraId="4C1FC1FC" w14:textId="50002333" w:rsidR="00296F2D" w:rsidRDefault="00296F2D" w:rsidP="008669C0">
      <w:pPr>
        <w:pStyle w:val="BodyText"/>
        <w:numPr>
          <w:ilvl w:val="0"/>
          <w:numId w:val="36"/>
        </w:numPr>
        <w:jc w:val="both"/>
      </w:pPr>
      <w:r>
        <w:t>Defender for APIs</w:t>
      </w:r>
    </w:p>
    <w:p w14:paraId="2D1D8A18" w14:textId="77777777" w:rsidR="00254A49" w:rsidRDefault="00254A49" w:rsidP="007D289F">
      <w:pPr>
        <w:pStyle w:val="BodyText"/>
        <w:jc w:val="both"/>
      </w:pPr>
    </w:p>
    <w:p w14:paraId="614D480E" w14:textId="0366D302" w:rsidR="00DA6DA9" w:rsidRPr="008B7613" w:rsidRDefault="00045AC2" w:rsidP="007D289F">
      <w:pPr>
        <w:pStyle w:val="Heading3"/>
        <w:numPr>
          <w:ilvl w:val="2"/>
          <w:numId w:val="7"/>
        </w:numPr>
        <w:jc w:val="both"/>
      </w:pPr>
      <w:bookmarkStart w:id="29" w:name="_Toc160795835"/>
      <w:r>
        <w:t>Deployment via Policy</w:t>
      </w:r>
      <w:bookmarkEnd w:id="29"/>
    </w:p>
    <w:p w14:paraId="6CD23346" w14:textId="16D6B5FC" w:rsidR="00DA6DA9" w:rsidRDefault="00DA6DA9" w:rsidP="007D289F">
      <w:pPr>
        <w:pStyle w:val="BodyText"/>
        <w:jc w:val="both"/>
      </w:pPr>
      <w:r w:rsidRPr="008B7613">
        <w:rPr>
          <w:b/>
          <w:bCs/>
        </w:rPr>
        <w:t>Design Decision:</w:t>
      </w:r>
      <w:r>
        <w:t xml:space="preserve"> </w:t>
      </w:r>
      <w:r w:rsidR="00E2793E">
        <w:t>Azure Policy will be used to enable Defender for Cloud on subscriptions.</w:t>
      </w:r>
    </w:p>
    <w:p w14:paraId="5705FDBD" w14:textId="77777777" w:rsidR="00DA6DA9" w:rsidRDefault="00DA6DA9" w:rsidP="007D289F">
      <w:pPr>
        <w:pStyle w:val="BodyText"/>
        <w:jc w:val="both"/>
        <w:rPr>
          <w:b/>
          <w:bCs/>
        </w:rPr>
      </w:pPr>
    </w:p>
    <w:p w14:paraId="61793B6D" w14:textId="603D0DF9" w:rsidR="00116140" w:rsidRPr="00E2793E" w:rsidRDefault="00DA6DA9" w:rsidP="007D289F">
      <w:pPr>
        <w:pStyle w:val="BodyText"/>
        <w:tabs>
          <w:tab w:val="clear" w:pos="4536"/>
          <w:tab w:val="clear" w:pos="6804"/>
          <w:tab w:val="clear" w:pos="9638"/>
          <w:tab w:val="left" w:pos="3065"/>
        </w:tabs>
        <w:jc w:val="both"/>
      </w:pPr>
      <w:r w:rsidRPr="008B7613">
        <w:rPr>
          <w:b/>
          <w:bCs/>
        </w:rPr>
        <w:t>Design Justification:</w:t>
      </w:r>
      <w:r>
        <w:rPr>
          <w:b/>
          <w:bCs/>
        </w:rPr>
        <w:t xml:space="preserve"> </w:t>
      </w:r>
      <w:r w:rsidR="00E2793E">
        <w:t xml:space="preserve">Using Azure Policy to ensure Defender is enabled on all resources on new subscriptions removes a manual step required to enable the </w:t>
      </w:r>
      <w:r w:rsidR="00E53947">
        <w:t xml:space="preserve">plans on new subscriptions. It will automatically set the plans as each subscription is created. </w:t>
      </w:r>
    </w:p>
    <w:p w14:paraId="5CC562EE" w14:textId="77777777" w:rsidR="00116140" w:rsidRDefault="00116140" w:rsidP="007D289F">
      <w:pPr>
        <w:pStyle w:val="BodyText"/>
        <w:tabs>
          <w:tab w:val="clear" w:pos="4536"/>
          <w:tab w:val="clear" w:pos="6804"/>
          <w:tab w:val="clear" w:pos="9638"/>
          <w:tab w:val="left" w:pos="3065"/>
        </w:tabs>
        <w:jc w:val="both"/>
      </w:pPr>
    </w:p>
    <w:p w14:paraId="5D6DBB1A" w14:textId="77777777" w:rsidR="00116140" w:rsidRDefault="00116140" w:rsidP="007D289F">
      <w:pPr>
        <w:pStyle w:val="BodyText"/>
        <w:tabs>
          <w:tab w:val="clear" w:pos="4536"/>
          <w:tab w:val="clear" w:pos="6804"/>
          <w:tab w:val="clear" w:pos="9638"/>
          <w:tab w:val="left" w:pos="3065"/>
        </w:tabs>
        <w:jc w:val="both"/>
      </w:pPr>
    </w:p>
    <w:p w14:paraId="544D03AF" w14:textId="77777777" w:rsidR="00116140" w:rsidRDefault="00116140" w:rsidP="007D289F">
      <w:pPr>
        <w:pStyle w:val="BodyText"/>
        <w:tabs>
          <w:tab w:val="clear" w:pos="4536"/>
          <w:tab w:val="clear" w:pos="6804"/>
          <w:tab w:val="clear" w:pos="9638"/>
          <w:tab w:val="left" w:pos="3065"/>
        </w:tabs>
        <w:jc w:val="both"/>
      </w:pPr>
    </w:p>
    <w:p w14:paraId="11E4839F" w14:textId="77777777" w:rsidR="00A92E05" w:rsidRDefault="00A92E05" w:rsidP="007D289F">
      <w:pPr>
        <w:pStyle w:val="BodyText"/>
        <w:tabs>
          <w:tab w:val="clear" w:pos="4536"/>
          <w:tab w:val="clear" w:pos="6804"/>
          <w:tab w:val="clear" w:pos="9638"/>
          <w:tab w:val="left" w:pos="3065"/>
        </w:tabs>
        <w:jc w:val="both"/>
      </w:pPr>
    </w:p>
    <w:p w14:paraId="0FF6DD5A" w14:textId="77777777" w:rsidR="00116140" w:rsidRDefault="00116140" w:rsidP="007D289F">
      <w:pPr>
        <w:pStyle w:val="BodyText"/>
        <w:tabs>
          <w:tab w:val="clear" w:pos="4536"/>
          <w:tab w:val="clear" w:pos="6804"/>
          <w:tab w:val="clear" w:pos="9638"/>
          <w:tab w:val="left" w:pos="3065"/>
        </w:tabs>
        <w:jc w:val="both"/>
      </w:pPr>
    </w:p>
    <w:p w14:paraId="05CA069B" w14:textId="77777777" w:rsidR="00116140" w:rsidRDefault="00116140" w:rsidP="007D289F">
      <w:pPr>
        <w:pStyle w:val="BodyText"/>
        <w:tabs>
          <w:tab w:val="clear" w:pos="4536"/>
          <w:tab w:val="clear" w:pos="6804"/>
          <w:tab w:val="clear" w:pos="9638"/>
          <w:tab w:val="left" w:pos="3065"/>
        </w:tabs>
        <w:jc w:val="both"/>
      </w:pPr>
    </w:p>
    <w:p w14:paraId="27DB0F6A" w14:textId="77777777" w:rsidR="00116140" w:rsidRDefault="00116140" w:rsidP="007D289F">
      <w:pPr>
        <w:pStyle w:val="BodyText"/>
        <w:tabs>
          <w:tab w:val="clear" w:pos="4536"/>
          <w:tab w:val="clear" w:pos="6804"/>
          <w:tab w:val="clear" w:pos="9638"/>
          <w:tab w:val="left" w:pos="3065"/>
        </w:tabs>
        <w:jc w:val="both"/>
      </w:pPr>
    </w:p>
    <w:p w14:paraId="75BD3251" w14:textId="77777777" w:rsidR="008F6C0E" w:rsidRDefault="008F6C0E" w:rsidP="007D289F">
      <w:pPr>
        <w:pStyle w:val="BodyText"/>
        <w:tabs>
          <w:tab w:val="clear" w:pos="4536"/>
          <w:tab w:val="clear" w:pos="6804"/>
          <w:tab w:val="clear" w:pos="9638"/>
          <w:tab w:val="left" w:pos="3065"/>
        </w:tabs>
        <w:jc w:val="both"/>
      </w:pPr>
    </w:p>
    <w:p w14:paraId="1A0C00F7" w14:textId="77777777" w:rsidR="008F6C0E" w:rsidRDefault="008F6C0E" w:rsidP="007D289F">
      <w:pPr>
        <w:pStyle w:val="BodyText"/>
        <w:tabs>
          <w:tab w:val="clear" w:pos="4536"/>
          <w:tab w:val="clear" w:pos="6804"/>
          <w:tab w:val="clear" w:pos="9638"/>
          <w:tab w:val="left" w:pos="3065"/>
        </w:tabs>
        <w:jc w:val="both"/>
      </w:pPr>
    </w:p>
    <w:p w14:paraId="2DFC2F71" w14:textId="77777777" w:rsidR="008F6C0E" w:rsidRDefault="008F6C0E" w:rsidP="007D289F">
      <w:pPr>
        <w:pStyle w:val="BodyText"/>
        <w:tabs>
          <w:tab w:val="clear" w:pos="4536"/>
          <w:tab w:val="clear" w:pos="6804"/>
          <w:tab w:val="clear" w:pos="9638"/>
          <w:tab w:val="left" w:pos="3065"/>
        </w:tabs>
        <w:jc w:val="both"/>
      </w:pPr>
    </w:p>
    <w:p w14:paraId="3B254E59" w14:textId="77777777" w:rsidR="008F6C0E" w:rsidRDefault="008F6C0E" w:rsidP="007D289F">
      <w:pPr>
        <w:pStyle w:val="BodyText"/>
        <w:tabs>
          <w:tab w:val="clear" w:pos="4536"/>
          <w:tab w:val="clear" w:pos="6804"/>
          <w:tab w:val="clear" w:pos="9638"/>
          <w:tab w:val="left" w:pos="3065"/>
        </w:tabs>
        <w:jc w:val="both"/>
      </w:pPr>
    </w:p>
    <w:p w14:paraId="7FDCC297" w14:textId="77777777" w:rsidR="008F6C0E" w:rsidRDefault="008F6C0E" w:rsidP="007D289F">
      <w:pPr>
        <w:pStyle w:val="BodyText"/>
        <w:tabs>
          <w:tab w:val="clear" w:pos="4536"/>
          <w:tab w:val="clear" w:pos="6804"/>
          <w:tab w:val="clear" w:pos="9638"/>
          <w:tab w:val="left" w:pos="3065"/>
        </w:tabs>
        <w:jc w:val="both"/>
      </w:pPr>
    </w:p>
    <w:p w14:paraId="5C753737" w14:textId="77777777" w:rsidR="008F6C0E" w:rsidRDefault="008F6C0E" w:rsidP="007D289F">
      <w:pPr>
        <w:pStyle w:val="BodyText"/>
        <w:tabs>
          <w:tab w:val="clear" w:pos="4536"/>
          <w:tab w:val="clear" w:pos="6804"/>
          <w:tab w:val="clear" w:pos="9638"/>
          <w:tab w:val="left" w:pos="3065"/>
        </w:tabs>
        <w:jc w:val="both"/>
      </w:pPr>
    </w:p>
    <w:p w14:paraId="7E3818E5" w14:textId="77777777" w:rsidR="00613226" w:rsidRDefault="00613226" w:rsidP="007D289F">
      <w:pPr>
        <w:pStyle w:val="BodyText"/>
        <w:tabs>
          <w:tab w:val="clear" w:pos="4536"/>
          <w:tab w:val="clear" w:pos="6804"/>
          <w:tab w:val="clear" w:pos="9638"/>
          <w:tab w:val="left" w:pos="3065"/>
        </w:tabs>
        <w:jc w:val="both"/>
      </w:pPr>
    </w:p>
    <w:p w14:paraId="436BCF4C" w14:textId="1E2D2ECF" w:rsidR="00A63014" w:rsidRPr="00537980" w:rsidRDefault="00A63014" w:rsidP="00A63014">
      <w:pPr>
        <w:pStyle w:val="Heading1"/>
        <w:jc w:val="both"/>
        <w:rPr>
          <w:rFonts w:cs="Arial"/>
        </w:rPr>
      </w:pPr>
      <w:bookmarkStart w:id="30" w:name="_Toc160795836"/>
      <w:r w:rsidRPr="00537980">
        <w:rPr>
          <w:rFonts w:cs="Arial"/>
        </w:rPr>
        <w:lastRenderedPageBreak/>
        <w:t>Azure Policies</w:t>
      </w:r>
      <w:bookmarkEnd w:id="30"/>
    </w:p>
    <w:p w14:paraId="735C554D" w14:textId="0CB73FCF" w:rsidR="007A301B" w:rsidRPr="00537980" w:rsidRDefault="007A301B" w:rsidP="007A301B">
      <w:pPr>
        <w:pStyle w:val="BodyText"/>
        <w:jc w:val="both"/>
      </w:pPr>
      <w:r w:rsidRPr="00537980">
        <w:t xml:space="preserve">The </w:t>
      </w:r>
      <w:r w:rsidR="009D7681" w:rsidRPr="00537980">
        <w:t xml:space="preserve">following Azure Policies </w:t>
      </w:r>
      <w:r w:rsidR="00CD2D9A">
        <w:t xml:space="preserve">will be applied to enable Defender on </w:t>
      </w:r>
      <w:r w:rsidR="009B7779">
        <w:t xml:space="preserve">subscriptions as they are created: </w:t>
      </w:r>
      <w:r w:rsidR="00CB74E5" w:rsidRPr="00537980">
        <w:t xml:space="preserve"> </w:t>
      </w:r>
    </w:p>
    <w:tbl>
      <w:tblPr>
        <w:tblStyle w:val="AVTable1"/>
        <w:tblW w:w="0" w:type="auto"/>
        <w:tblLook w:val="04A0" w:firstRow="1" w:lastRow="0" w:firstColumn="1" w:lastColumn="0" w:noHBand="0" w:noVBand="1"/>
      </w:tblPr>
      <w:tblGrid>
        <w:gridCol w:w="4395"/>
        <w:gridCol w:w="4632"/>
      </w:tblGrid>
      <w:tr w:rsidR="007A301B" w:rsidRPr="00537980" w14:paraId="2CFFD0C3" w14:textId="77777777" w:rsidTr="002A78C9">
        <w:trPr>
          <w:cnfStyle w:val="100000000000" w:firstRow="1" w:lastRow="0" w:firstColumn="0" w:lastColumn="0" w:oddVBand="0" w:evenVBand="0" w:oddHBand="0" w:evenHBand="0" w:firstRowFirstColumn="0" w:firstRowLastColumn="0" w:lastRowFirstColumn="0" w:lastRowLastColumn="0"/>
        </w:trPr>
        <w:tc>
          <w:tcPr>
            <w:tcW w:w="4395" w:type="dxa"/>
          </w:tcPr>
          <w:p w14:paraId="3841627C" w14:textId="77777777" w:rsidR="007A301B" w:rsidRPr="00537980" w:rsidRDefault="007A301B">
            <w:pPr>
              <w:pStyle w:val="BodyText"/>
              <w:jc w:val="both"/>
              <w:rPr>
                <w:color w:val="FFFFFF" w:themeColor="background1"/>
              </w:rPr>
            </w:pPr>
            <w:r w:rsidRPr="00537980">
              <w:rPr>
                <w:color w:val="FFFFFF" w:themeColor="background1"/>
              </w:rPr>
              <w:t>Policy Name</w:t>
            </w:r>
          </w:p>
        </w:tc>
        <w:tc>
          <w:tcPr>
            <w:tcW w:w="4632" w:type="dxa"/>
          </w:tcPr>
          <w:p w14:paraId="3F6BFE19" w14:textId="77777777" w:rsidR="007A301B" w:rsidRPr="00537980" w:rsidRDefault="007A301B" w:rsidP="0023084A">
            <w:pPr>
              <w:pStyle w:val="BodyText"/>
              <w:jc w:val="center"/>
              <w:rPr>
                <w:color w:val="FFFFFF" w:themeColor="background1"/>
              </w:rPr>
            </w:pPr>
            <w:r w:rsidRPr="00537980">
              <w:rPr>
                <w:color w:val="FFFFFF" w:themeColor="background1"/>
              </w:rPr>
              <w:t>Scope</w:t>
            </w:r>
          </w:p>
        </w:tc>
      </w:tr>
      <w:tr w:rsidR="0008355D" w:rsidRPr="00537980" w14:paraId="7A81BFE2" w14:textId="77777777" w:rsidTr="002A78C9">
        <w:tc>
          <w:tcPr>
            <w:tcW w:w="4395" w:type="dxa"/>
          </w:tcPr>
          <w:p w14:paraId="6CF88DD9" w14:textId="77EBEC20" w:rsidR="0008355D" w:rsidRPr="00537980" w:rsidRDefault="001112D9" w:rsidP="0008355D">
            <w:pPr>
              <w:pStyle w:val="BodyText"/>
              <w:jc w:val="both"/>
            </w:pPr>
            <w:r w:rsidRPr="00537980">
              <w:t>Azure Defender for App Service should be enabled</w:t>
            </w:r>
          </w:p>
        </w:tc>
        <w:tc>
          <w:tcPr>
            <w:tcW w:w="4632" w:type="dxa"/>
          </w:tcPr>
          <w:p w14:paraId="1666A2D7" w14:textId="18D8E495" w:rsidR="0008355D" w:rsidRPr="00537980" w:rsidRDefault="001112D9" w:rsidP="0023084A">
            <w:pPr>
              <w:pStyle w:val="BodyText"/>
              <w:keepNext/>
              <w:jc w:val="center"/>
            </w:pPr>
            <w:r w:rsidRPr="00537980">
              <w:t>av management group</w:t>
            </w:r>
          </w:p>
        </w:tc>
      </w:tr>
      <w:tr w:rsidR="00537980" w:rsidRPr="00537980" w14:paraId="19F77A40" w14:textId="77777777" w:rsidTr="002A78C9">
        <w:tc>
          <w:tcPr>
            <w:tcW w:w="4395" w:type="dxa"/>
          </w:tcPr>
          <w:p w14:paraId="13A62304" w14:textId="6E47ACC8" w:rsidR="00537980" w:rsidRPr="00537980" w:rsidRDefault="00537980" w:rsidP="00537980">
            <w:pPr>
              <w:pStyle w:val="BodyText"/>
              <w:rPr>
                <w:b/>
                <w:bCs/>
              </w:rPr>
            </w:pPr>
            <w:r w:rsidRPr="00537980">
              <w:t>Azure Defender for Azure SQL Database servers should be enabled</w:t>
            </w:r>
          </w:p>
        </w:tc>
        <w:tc>
          <w:tcPr>
            <w:tcW w:w="4632" w:type="dxa"/>
          </w:tcPr>
          <w:p w14:paraId="6799FFCE" w14:textId="1186F0CE" w:rsidR="00537980" w:rsidRPr="00537980" w:rsidRDefault="00537980" w:rsidP="0023084A">
            <w:pPr>
              <w:pStyle w:val="BodyText"/>
              <w:keepNext/>
              <w:jc w:val="center"/>
              <w:rPr>
                <w:b/>
                <w:bCs/>
              </w:rPr>
            </w:pPr>
            <w:r w:rsidRPr="00537980">
              <w:t>av management group</w:t>
            </w:r>
          </w:p>
        </w:tc>
      </w:tr>
      <w:tr w:rsidR="00537980" w:rsidRPr="00537980" w14:paraId="36B0D609" w14:textId="77777777" w:rsidTr="002A78C9">
        <w:tc>
          <w:tcPr>
            <w:tcW w:w="4395" w:type="dxa"/>
          </w:tcPr>
          <w:p w14:paraId="30C7DD75" w14:textId="4D4F663D" w:rsidR="00537980" w:rsidRPr="00537980" w:rsidRDefault="00537980" w:rsidP="00537980">
            <w:pPr>
              <w:pStyle w:val="BodyText"/>
            </w:pPr>
            <w:r w:rsidRPr="00537980">
              <w:t>Azure Defender for Key Vault should be enabled</w:t>
            </w:r>
          </w:p>
        </w:tc>
        <w:tc>
          <w:tcPr>
            <w:tcW w:w="4632" w:type="dxa"/>
          </w:tcPr>
          <w:p w14:paraId="7E87B17C" w14:textId="00D0B6DA" w:rsidR="00537980" w:rsidRPr="00537980" w:rsidRDefault="00537980" w:rsidP="0023084A">
            <w:pPr>
              <w:pStyle w:val="BodyText"/>
              <w:keepNext/>
              <w:jc w:val="center"/>
              <w:rPr>
                <w:b/>
                <w:bCs/>
              </w:rPr>
            </w:pPr>
            <w:r w:rsidRPr="00537980">
              <w:t>av management group</w:t>
            </w:r>
          </w:p>
        </w:tc>
      </w:tr>
      <w:tr w:rsidR="00537980" w:rsidRPr="00537980" w14:paraId="34F0801B" w14:textId="77777777" w:rsidTr="002A78C9">
        <w:tc>
          <w:tcPr>
            <w:tcW w:w="4395" w:type="dxa"/>
          </w:tcPr>
          <w:p w14:paraId="5D6DB6A5" w14:textId="5DAFEAE3" w:rsidR="00537980" w:rsidRPr="00E22707" w:rsidRDefault="00537980" w:rsidP="00537980">
            <w:pPr>
              <w:pStyle w:val="BodyText"/>
            </w:pPr>
            <w:r w:rsidRPr="00E22707">
              <w:t>Azure Defender for open-source relational databases should be enabled</w:t>
            </w:r>
          </w:p>
        </w:tc>
        <w:tc>
          <w:tcPr>
            <w:tcW w:w="4632" w:type="dxa"/>
          </w:tcPr>
          <w:p w14:paraId="5504D1C6" w14:textId="62037C85" w:rsidR="00537980" w:rsidRPr="00E22707" w:rsidRDefault="00537980" w:rsidP="0023084A">
            <w:pPr>
              <w:pStyle w:val="BodyText"/>
              <w:keepNext/>
              <w:jc w:val="center"/>
            </w:pPr>
            <w:r w:rsidRPr="00E22707">
              <w:t>av management group</w:t>
            </w:r>
          </w:p>
        </w:tc>
      </w:tr>
      <w:tr w:rsidR="00537980" w:rsidRPr="00537980" w14:paraId="523F66BB" w14:textId="77777777" w:rsidTr="002A78C9">
        <w:tc>
          <w:tcPr>
            <w:tcW w:w="4395" w:type="dxa"/>
          </w:tcPr>
          <w:p w14:paraId="57F8258A" w14:textId="7A0C7F83" w:rsidR="00537980" w:rsidRPr="00E22707" w:rsidRDefault="00537980" w:rsidP="00537980">
            <w:pPr>
              <w:pStyle w:val="BodyText"/>
            </w:pPr>
            <w:r w:rsidRPr="00E22707">
              <w:t>Azure Defender for Resource Manager should be enabled</w:t>
            </w:r>
          </w:p>
        </w:tc>
        <w:tc>
          <w:tcPr>
            <w:tcW w:w="4632" w:type="dxa"/>
          </w:tcPr>
          <w:p w14:paraId="65C50436" w14:textId="3ACCE46B" w:rsidR="00537980" w:rsidRPr="00E22707" w:rsidRDefault="00537980" w:rsidP="0023084A">
            <w:pPr>
              <w:pStyle w:val="BodyText"/>
              <w:keepNext/>
              <w:jc w:val="center"/>
            </w:pPr>
            <w:r w:rsidRPr="00E22707">
              <w:t>av management group</w:t>
            </w:r>
          </w:p>
        </w:tc>
      </w:tr>
      <w:tr w:rsidR="00537980" w:rsidRPr="00537980" w14:paraId="09DF3FBC" w14:textId="77777777" w:rsidTr="002A78C9">
        <w:tc>
          <w:tcPr>
            <w:tcW w:w="4395" w:type="dxa"/>
          </w:tcPr>
          <w:p w14:paraId="4C2DF255" w14:textId="0228F874" w:rsidR="00537980" w:rsidRPr="00E22707" w:rsidRDefault="00537980" w:rsidP="00537980">
            <w:pPr>
              <w:pStyle w:val="BodyText"/>
            </w:pPr>
            <w:r w:rsidRPr="00E22707">
              <w:t>Azure Defender for servers should be enabled</w:t>
            </w:r>
          </w:p>
        </w:tc>
        <w:tc>
          <w:tcPr>
            <w:tcW w:w="4632" w:type="dxa"/>
          </w:tcPr>
          <w:p w14:paraId="19B6837E" w14:textId="6163A39A" w:rsidR="00537980" w:rsidRPr="00E22707" w:rsidRDefault="00537980" w:rsidP="0023084A">
            <w:pPr>
              <w:pStyle w:val="BodyText"/>
              <w:keepNext/>
              <w:jc w:val="center"/>
            </w:pPr>
            <w:r w:rsidRPr="00E22707">
              <w:t>av management group</w:t>
            </w:r>
          </w:p>
        </w:tc>
      </w:tr>
      <w:tr w:rsidR="00537980" w:rsidRPr="00537980" w14:paraId="53A7D081" w14:textId="77777777" w:rsidTr="002A78C9">
        <w:tc>
          <w:tcPr>
            <w:tcW w:w="4395" w:type="dxa"/>
          </w:tcPr>
          <w:p w14:paraId="798C95CC" w14:textId="2246BDB2" w:rsidR="00537980" w:rsidRPr="00E22707" w:rsidRDefault="00537980" w:rsidP="00537980">
            <w:pPr>
              <w:pStyle w:val="BodyText"/>
            </w:pPr>
            <w:r w:rsidRPr="00E22707">
              <w:t>Azure Defender for SQL servers on machines should be enabled</w:t>
            </w:r>
          </w:p>
        </w:tc>
        <w:tc>
          <w:tcPr>
            <w:tcW w:w="4632" w:type="dxa"/>
          </w:tcPr>
          <w:p w14:paraId="215BA3CE" w14:textId="468836C4" w:rsidR="00537980" w:rsidRPr="00E22707" w:rsidRDefault="00537980" w:rsidP="0023084A">
            <w:pPr>
              <w:pStyle w:val="BodyText"/>
              <w:keepNext/>
              <w:jc w:val="center"/>
            </w:pPr>
            <w:r w:rsidRPr="00E22707">
              <w:t>av management group</w:t>
            </w:r>
          </w:p>
        </w:tc>
      </w:tr>
      <w:tr w:rsidR="00537980" w:rsidRPr="00537980" w14:paraId="2E3F81FE" w14:textId="77777777" w:rsidTr="002A78C9">
        <w:tc>
          <w:tcPr>
            <w:tcW w:w="4395" w:type="dxa"/>
          </w:tcPr>
          <w:p w14:paraId="04D800B6" w14:textId="64528099" w:rsidR="00537980" w:rsidRPr="00E22707" w:rsidRDefault="00537980" w:rsidP="00537980">
            <w:pPr>
              <w:pStyle w:val="BodyText"/>
            </w:pPr>
            <w:r w:rsidRPr="00E22707">
              <w:t>Azure Defender for SQL should be enabled for unprotected Azure SQL servers</w:t>
            </w:r>
          </w:p>
        </w:tc>
        <w:tc>
          <w:tcPr>
            <w:tcW w:w="4632" w:type="dxa"/>
          </w:tcPr>
          <w:p w14:paraId="6DA0007C" w14:textId="72A9E5A7" w:rsidR="00537980" w:rsidRPr="00E22707" w:rsidRDefault="00537980" w:rsidP="0023084A">
            <w:pPr>
              <w:pStyle w:val="BodyText"/>
              <w:keepNext/>
              <w:jc w:val="center"/>
            </w:pPr>
            <w:r w:rsidRPr="00E22707">
              <w:t>av management group</w:t>
            </w:r>
          </w:p>
        </w:tc>
      </w:tr>
      <w:tr w:rsidR="00537980" w:rsidRPr="00537980" w14:paraId="6FEF84FB" w14:textId="77777777" w:rsidTr="002A78C9">
        <w:tc>
          <w:tcPr>
            <w:tcW w:w="4395" w:type="dxa"/>
          </w:tcPr>
          <w:p w14:paraId="7AB57584" w14:textId="41648B1A" w:rsidR="00537980" w:rsidRPr="00E22707" w:rsidRDefault="00537980" w:rsidP="00537980">
            <w:pPr>
              <w:pStyle w:val="BodyText"/>
            </w:pPr>
            <w:r w:rsidRPr="00E22707">
              <w:t>Azure Defender for SQL should be enabled for unprotected PostgreSQL flexible servers</w:t>
            </w:r>
          </w:p>
        </w:tc>
        <w:tc>
          <w:tcPr>
            <w:tcW w:w="4632" w:type="dxa"/>
          </w:tcPr>
          <w:p w14:paraId="1E6A5299" w14:textId="7ADC1972" w:rsidR="00537980" w:rsidRPr="00E22707" w:rsidRDefault="00537980" w:rsidP="0023084A">
            <w:pPr>
              <w:pStyle w:val="BodyText"/>
              <w:keepNext/>
              <w:jc w:val="center"/>
            </w:pPr>
            <w:r w:rsidRPr="00E22707">
              <w:t>av management group</w:t>
            </w:r>
          </w:p>
        </w:tc>
      </w:tr>
      <w:tr w:rsidR="00537980" w:rsidRPr="00537980" w14:paraId="3E098398" w14:textId="77777777" w:rsidTr="002A78C9">
        <w:tc>
          <w:tcPr>
            <w:tcW w:w="4395" w:type="dxa"/>
          </w:tcPr>
          <w:p w14:paraId="77FF710C" w14:textId="0B9886FD" w:rsidR="00537980" w:rsidRPr="00E22707" w:rsidRDefault="00537980" w:rsidP="00537980">
            <w:pPr>
              <w:pStyle w:val="BodyText"/>
            </w:pPr>
            <w:r w:rsidRPr="00E22707">
              <w:t>Azure Defender for SQL should be enabled for unprotected SQL Managed Instances</w:t>
            </w:r>
          </w:p>
        </w:tc>
        <w:tc>
          <w:tcPr>
            <w:tcW w:w="4632" w:type="dxa"/>
          </w:tcPr>
          <w:p w14:paraId="1DA0D49E" w14:textId="68C92C43" w:rsidR="00537980" w:rsidRPr="00E22707" w:rsidRDefault="00537980" w:rsidP="0023084A">
            <w:pPr>
              <w:pStyle w:val="BodyText"/>
              <w:keepNext/>
              <w:jc w:val="center"/>
            </w:pPr>
            <w:r w:rsidRPr="00E22707">
              <w:t>av management group</w:t>
            </w:r>
          </w:p>
        </w:tc>
      </w:tr>
      <w:tr w:rsidR="00537980" w:rsidRPr="00537980" w14:paraId="162A0006" w14:textId="77777777" w:rsidTr="002A78C9">
        <w:tc>
          <w:tcPr>
            <w:tcW w:w="4395" w:type="dxa"/>
          </w:tcPr>
          <w:p w14:paraId="5003A71C" w14:textId="51108727" w:rsidR="00537980" w:rsidRPr="00E22707" w:rsidRDefault="00537980" w:rsidP="00537980">
            <w:pPr>
              <w:pStyle w:val="BodyText"/>
            </w:pPr>
            <w:r w:rsidRPr="00E22707">
              <w:t>Azure Defender for Storage should be enabled</w:t>
            </w:r>
          </w:p>
        </w:tc>
        <w:tc>
          <w:tcPr>
            <w:tcW w:w="4632" w:type="dxa"/>
          </w:tcPr>
          <w:p w14:paraId="372EB6DD" w14:textId="08B3FE4E" w:rsidR="00537980" w:rsidRPr="00E22707" w:rsidRDefault="00537980" w:rsidP="0023084A">
            <w:pPr>
              <w:pStyle w:val="BodyText"/>
              <w:keepNext/>
              <w:jc w:val="center"/>
            </w:pPr>
            <w:r w:rsidRPr="00E22707">
              <w:t>av management group</w:t>
            </w:r>
          </w:p>
        </w:tc>
      </w:tr>
      <w:tr w:rsidR="00537980" w:rsidRPr="00537980" w14:paraId="067AD73C" w14:textId="77777777" w:rsidTr="002A78C9">
        <w:tc>
          <w:tcPr>
            <w:tcW w:w="4395" w:type="dxa"/>
          </w:tcPr>
          <w:p w14:paraId="15B83E69" w14:textId="021DB96B" w:rsidR="00537980" w:rsidRPr="00E22707" w:rsidRDefault="00537980" w:rsidP="00537980">
            <w:pPr>
              <w:pStyle w:val="BodyText"/>
            </w:pPr>
            <w:r w:rsidRPr="00E22707">
              <w:t>Azure Defender for Kubernetes should be enabled</w:t>
            </w:r>
          </w:p>
        </w:tc>
        <w:tc>
          <w:tcPr>
            <w:tcW w:w="4632" w:type="dxa"/>
          </w:tcPr>
          <w:p w14:paraId="583F10F8" w14:textId="7C2FA264" w:rsidR="00537980" w:rsidRPr="00E22707" w:rsidRDefault="00537980" w:rsidP="0023084A">
            <w:pPr>
              <w:pStyle w:val="BodyText"/>
              <w:keepNext/>
              <w:jc w:val="center"/>
            </w:pPr>
            <w:r w:rsidRPr="00E22707">
              <w:t>av management group</w:t>
            </w:r>
          </w:p>
        </w:tc>
      </w:tr>
      <w:tr w:rsidR="00537980" w:rsidRPr="00537980" w14:paraId="3DBB2D26" w14:textId="77777777" w:rsidTr="002A78C9">
        <w:tc>
          <w:tcPr>
            <w:tcW w:w="4395" w:type="dxa"/>
          </w:tcPr>
          <w:p w14:paraId="5F40E030" w14:textId="495EE49C" w:rsidR="00537980" w:rsidRPr="00E22707" w:rsidRDefault="00537980" w:rsidP="00537980">
            <w:pPr>
              <w:pStyle w:val="BodyText"/>
            </w:pPr>
            <w:r w:rsidRPr="00E22707">
              <w:t>Azure Defender for container registries should be enabled</w:t>
            </w:r>
          </w:p>
        </w:tc>
        <w:tc>
          <w:tcPr>
            <w:tcW w:w="4632" w:type="dxa"/>
          </w:tcPr>
          <w:p w14:paraId="56E5820E" w14:textId="4A75CF0A" w:rsidR="00537980" w:rsidRPr="00E22707" w:rsidRDefault="00537980" w:rsidP="0023084A">
            <w:pPr>
              <w:pStyle w:val="BodyText"/>
              <w:keepNext/>
              <w:jc w:val="center"/>
            </w:pPr>
            <w:r w:rsidRPr="00E22707">
              <w:t>av management group</w:t>
            </w:r>
          </w:p>
        </w:tc>
      </w:tr>
    </w:tbl>
    <w:p w14:paraId="5EAB40A1" w14:textId="35AD7121" w:rsidR="007A301B" w:rsidRDefault="007A301B" w:rsidP="007A301B">
      <w:pPr>
        <w:pStyle w:val="Caption"/>
        <w:jc w:val="center"/>
      </w:pPr>
      <w:bookmarkStart w:id="31" w:name="_Configuration_Templates"/>
      <w:bookmarkEnd w:id="31"/>
      <w:r w:rsidRPr="00537980">
        <w:t xml:space="preserve">Table </w:t>
      </w:r>
      <w:fldSimple w:instr=" SEQ Table \* ARABIC ">
        <w:r w:rsidR="006C1C76" w:rsidRPr="00537980">
          <w:rPr>
            <w:noProof/>
          </w:rPr>
          <w:t>5</w:t>
        </w:r>
      </w:fldSimple>
      <w:r w:rsidRPr="00537980">
        <w:t>: Azure Policies</w:t>
      </w:r>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34C28A06" w14:textId="77777777" w:rsidR="00116140" w:rsidRDefault="00116140" w:rsidP="007D289F">
      <w:pPr>
        <w:pStyle w:val="BodyText"/>
        <w:tabs>
          <w:tab w:val="clear" w:pos="4536"/>
          <w:tab w:val="clear" w:pos="6804"/>
          <w:tab w:val="clear" w:pos="9638"/>
          <w:tab w:val="left" w:pos="3065"/>
        </w:tabs>
        <w:jc w:val="both"/>
      </w:pPr>
    </w:p>
    <w:p w14:paraId="5621FEB5" w14:textId="321351B5" w:rsidR="006227E4" w:rsidRDefault="006227E4" w:rsidP="006227E4">
      <w:pPr>
        <w:pStyle w:val="Heading1"/>
        <w:jc w:val="both"/>
        <w:rPr>
          <w:rFonts w:cs="Arial"/>
        </w:rPr>
      </w:pPr>
      <w:bookmarkStart w:id="32" w:name="_Toc160795837"/>
      <w:r>
        <w:rPr>
          <w:rFonts w:cs="Arial"/>
        </w:rPr>
        <w:lastRenderedPageBreak/>
        <w:t>Configuration Template</w:t>
      </w:r>
      <w:bookmarkEnd w:id="32"/>
    </w:p>
    <w:p w14:paraId="2C04850D" w14:textId="40F692FE" w:rsidR="00356015" w:rsidRDefault="00356015" w:rsidP="00356015">
      <w:pPr>
        <w:pStyle w:val="BodyText"/>
      </w:pPr>
      <w:r>
        <w:t>There is no specific configuration template for this deployment. The following table shows the list of plans that will be enabled for each new subscription:</w:t>
      </w:r>
    </w:p>
    <w:tbl>
      <w:tblPr>
        <w:tblStyle w:val="AVTable1"/>
        <w:tblW w:w="0" w:type="auto"/>
        <w:tblLook w:val="04A0" w:firstRow="1" w:lastRow="0" w:firstColumn="1" w:lastColumn="0" w:noHBand="0" w:noVBand="1"/>
      </w:tblPr>
      <w:tblGrid>
        <w:gridCol w:w="1985"/>
        <w:gridCol w:w="3260"/>
        <w:gridCol w:w="3782"/>
      </w:tblGrid>
      <w:tr w:rsidR="00466BEC" w14:paraId="4EBE3067" w14:textId="77777777" w:rsidTr="00C6290A">
        <w:trPr>
          <w:cnfStyle w:val="100000000000" w:firstRow="1" w:lastRow="0" w:firstColumn="0" w:lastColumn="0" w:oddVBand="0" w:evenVBand="0" w:oddHBand="0" w:evenHBand="0" w:firstRowFirstColumn="0" w:firstRowLastColumn="0" w:lastRowFirstColumn="0" w:lastRowLastColumn="0"/>
        </w:trPr>
        <w:tc>
          <w:tcPr>
            <w:tcW w:w="1985" w:type="dxa"/>
          </w:tcPr>
          <w:p w14:paraId="7647AFA9" w14:textId="6AF4A537" w:rsidR="00466BEC" w:rsidRPr="003B5CA3" w:rsidRDefault="00466BEC" w:rsidP="00356015">
            <w:pPr>
              <w:pStyle w:val="BodyText"/>
              <w:rPr>
                <w:color w:val="FFFFFF" w:themeColor="background1"/>
              </w:rPr>
            </w:pPr>
            <w:r w:rsidRPr="003B5CA3">
              <w:rPr>
                <w:color w:val="FFFFFF" w:themeColor="background1"/>
              </w:rPr>
              <w:t>Work</w:t>
            </w:r>
            <w:r w:rsidR="00E03A01" w:rsidRPr="003B5CA3">
              <w:rPr>
                <w:color w:val="FFFFFF" w:themeColor="background1"/>
              </w:rPr>
              <w:t>l</w:t>
            </w:r>
            <w:r w:rsidRPr="003B5CA3">
              <w:rPr>
                <w:color w:val="FFFFFF" w:themeColor="background1"/>
              </w:rPr>
              <w:t>oad</w:t>
            </w:r>
          </w:p>
        </w:tc>
        <w:tc>
          <w:tcPr>
            <w:tcW w:w="3260" w:type="dxa"/>
          </w:tcPr>
          <w:p w14:paraId="372ACED8" w14:textId="1D9007AA" w:rsidR="00466BEC" w:rsidRPr="003B5CA3" w:rsidRDefault="00120FAD" w:rsidP="00356015">
            <w:pPr>
              <w:pStyle w:val="BodyText"/>
              <w:rPr>
                <w:color w:val="FFFFFF" w:themeColor="background1"/>
              </w:rPr>
            </w:pPr>
            <w:r w:rsidRPr="003B5CA3">
              <w:rPr>
                <w:color w:val="FFFFFF" w:themeColor="background1"/>
              </w:rPr>
              <w:t>Plan</w:t>
            </w:r>
          </w:p>
        </w:tc>
        <w:tc>
          <w:tcPr>
            <w:tcW w:w="3782" w:type="dxa"/>
          </w:tcPr>
          <w:p w14:paraId="004E1667" w14:textId="5315A1C5" w:rsidR="00466BEC" w:rsidRPr="003B5CA3" w:rsidRDefault="00481B0E" w:rsidP="00356015">
            <w:pPr>
              <w:pStyle w:val="BodyText"/>
              <w:rPr>
                <w:color w:val="FFFFFF" w:themeColor="background1"/>
              </w:rPr>
            </w:pPr>
            <w:r>
              <w:rPr>
                <w:color w:val="FFFFFF" w:themeColor="background1"/>
              </w:rPr>
              <w:t>Sub-components enabled</w:t>
            </w:r>
          </w:p>
        </w:tc>
      </w:tr>
      <w:tr w:rsidR="00466BEC" w14:paraId="00C6DD0C" w14:textId="77777777" w:rsidTr="00C6290A">
        <w:tc>
          <w:tcPr>
            <w:tcW w:w="1985" w:type="dxa"/>
          </w:tcPr>
          <w:p w14:paraId="7153C817" w14:textId="3819826B" w:rsidR="00466BEC" w:rsidRDefault="00945BE7" w:rsidP="00356015">
            <w:pPr>
              <w:pStyle w:val="BodyText"/>
            </w:pPr>
            <w:r>
              <w:t>Servers</w:t>
            </w:r>
          </w:p>
        </w:tc>
        <w:tc>
          <w:tcPr>
            <w:tcW w:w="3260" w:type="dxa"/>
          </w:tcPr>
          <w:p w14:paraId="36301F6E" w14:textId="0658BD0A" w:rsidR="00466BEC" w:rsidRDefault="00120FAD" w:rsidP="00356015">
            <w:pPr>
              <w:pStyle w:val="BodyText"/>
            </w:pPr>
            <w:r>
              <w:t>Plan 2</w:t>
            </w:r>
            <w:r w:rsidR="00481B0E">
              <w:t xml:space="preserve"> enabled</w:t>
            </w:r>
          </w:p>
        </w:tc>
        <w:tc>
          <w:tcPr>
            <w:tcW w:w="3782" w:type="dxa"/>
          </w:tcPr>
          <w:p w14:paraId="6EEDF379" w14:textId="77777777" w:rsidR="00466BEC" w:rsidRDefault="00240BA5" w:rsidP="00356015">
            <w:pPr>
              <w:pStyle w:val="BodyText"/>
            </w:pPr>
            <w:r>
              <w:t>Agent deployment</w:t>
            </w:r>
          </w:p>
          <w:p w14:paraId="26B29CC6" w14:textId="77777777" w:rsidR="00240BA5" w:rsidRDefault="00240BA5" w:rsidP="00356015">
            <w:pPr>
              <w:pStyle w:val="BodyText"/>
            </w:pPr>
            <w:r>
              <w:t>Vulnerability Assessment</w:t>
            </w:r>
          </w:p>
          <w:p w14:paraId="168DB6D3" w14:textId="77777777" w:rsidR="00240BA5" w:rsidRDefault="00240BA5" w:rsidP="00356015">
            <w:pPr>
              <w:pStyle w:val="BodyText"/>
            </w:pPr>
            <w:r>
              <w:t>Endpoint Protection</w:t>
            </w:r>
          </w:p>
          <w:p w14:paraId="6F328936" w14:textId="353EDF23" w:rsidR="00240BA5" w:rsidRDefault="00240BA5" w:rsidP="00356015">
            <w:pPr>
              <w:pStyle w:val="BodyText"/>
            </w:pPr>
            <w:r>
              <w:t>Agentless scanning</w:t>
            </w:r>
          </w:p>
        </w:tc>
      </w:tr>
      <w:tr w:rsidR="00466BEC" w14:paraId="14FA06DF" w14:textId="77777777" w:rsidTr="00C6290A">
        <w:tc>
          <w:tcPr>
            <w:tcW w:w="1985" w:type="dxa"/>
          </w:tcPr>
          <w:p w14:paraId="681AD5B8" w14:textId="496A0AB4" w:rsidR="00466BEC" w:rsidRDefault="00357B6E" w:rsidP="00356015">
            <w:pPr>
              <w:pStyle w:val="BodyText"/>
            </w:pPr>
            <w:r>
              <w:t>App Service</w:t>
            </w:r>
          </w:p>
        </w:tc>
        <w:tc>
          <w:tcPr>
            <w:tcW w:w="3260" w:type="dxa"/>
          </w:tcPr>
          <w:p w14:paraId="6885F52B" w14:textId="44D28CC3" w:rsidR="00466BEC" w:rsidRDefault="00357B6E" w:rsidP="00356015">
            <w:pPr>
              <w:pStyle w:val="BodyText"/>
            </w:pPr>
            <w:r>
              <w:t>N/A</w:t>
            </w:r>
          </w:p>
        </w:tc>
        <w:tc>
          <w:tcPr>
            <w:tcW w:w="3782" w:type="dxa"/>
          </w:tcPr>
          <w:p w14:paraId="761B6B8D" w14:textId="00484A1A" w:rsidR="00466BEC" w:rsidRDefault="00357B6E" w:rsidP="00356015">
            <w:pPr>
              <w:pStyle w:val="BodyText"/>
            </w:pPr>
            <w:r>
              <w:t>N/A</w:t>
            </w:r>
          </w:p>
        </w:tc>
      </w:tr>
      <w:tr w:rsidR="00466BEC" w14:paraId="100F2CA0" w14:textId="77777777" w:rsidTr="00C6290A">
        <w:tc>
          <w:tcPr>
            <w:tcW w:w="1985" w:type="dxa"/>
          </w:tcPr>
          <w:p w14:paraId="56E65C39" w14:textId="020816B4" w:rsidR="00466BEC" w:rsidRDefault="00CF47E5" w:rsidP="00356015">
            <w:pPr>
              <w:pStyle w:val="BodyText"/>
            </w:pPr>
            <w:r>
              <w:t>Databases</w:t>
            </w:r>
          </w:p>
        </w:tc>
        <w:tc>
          <w:tcPr>
            <w:tcW w:w="3260" w:type="dxa"/>
          </w:tcPr>
          <w:p w14:paraId="1694F499" w14:textId="77777777" w:rsidR="00413F77" w:rsidRDefault="00413F77" w:rsidP="00413F77">
            <w:pPr>
              <w:pStyle w:val="BodyText"/>
            </w:pPr>
            <w:r>
              <w:t>SQL Databases</w:t>
            </w:r>
          </w:p>
          <w:p w14:paraId="409B9A4F" w14:textId="77777777" w:rsidR="00413F77" w:rsidRDefault="00413F77" w:rsidP="00413F77">
            <w:pPr>
              <w:pStyle w:val="BodyText"/>
            </w:pPr>
            <w:r>
              <w:t>SQL server on machines</w:t>
            </w:r>
          </w:p>
          <w:p w14:paraId="4143F1AB" w14:textId="77777777" w:rsidR="00413F77" w:rsidRDefault="00413F77" w:rsidP="00413F77">
            <w:pPr>
              <w:pStyle w:val="BodyText"/>
            </w:pPr>
            <w:r>
              <w:t>Open-source relational</w:t>
            </w:r>
          </w:p>
          <w:p w14:paraId="5E6CCDEC" w14:textId="4BC7084A" w:rsidR="00413F77" w:rsidRDefault="00413F77" w:rsidP="00413F77">
            <w:pPr>
              <w:pStyle w:val="BodyText"/>
            </w:pPr>
            <w:r>
              <w:t>Azure Cosmos DB</w:t>
            </w:r>
          </w:p>
        </w:tc>
        <w:tc>
          <w:tcPr>
            <w:tcW w:w="3782" w:type="dxa"/>
          </w:tcPr>
          <w:p w14:paraId="0F24C110" w14:textId="14F4648F" w:rsidR="002B744B" w:rsidRDefault="002B744B" w:rsidP="002B744B">
            <w:pPr>
              <w:pStyle w:val="BodyText"/>
            </w:pPr>
            <w:r>
              <w:t>Azure Monitoring Agent for SQL server on machines</w:t>
            </w:r>
          </w:p>
        </w:tc>
      </w:tr>
      <w:tr w:rsidR="00466BEC" w14:paraId="62CAE082" w14:textId="77777777" w:rsidTr="00C6290A">
        <w:tc>
          <w:tcPr>
            <w:tcW w:w="1985" w:type="dxa"/>
          </w:tcPr>
          <w:p w14:paraId="312FB73D" w14:textId="5D05F282" w:rsidR="00466BEC" w:rsidRDefault="00F013B9" w:rsidP="00356015">
            <w:pPr>
              <w:pStyle w:val="BodyText"/>
            </w:pPr>
            <w:r>
              <w:t>Storage</w:t>
            </w:r>
          </w:p>
        </w:tc>
        <w:tc>
          <w:tcPr>
            <w:tcW w:w="3260" w:type="dxa"/>
          </w:tcPr>
          <w:p w14:paraId="0E957315" w14:textId="1BD60824" w:rsidR="00466BEC" w:rsidRDefault="00777370" w:rsidP="00356015">
            <w:pPr>
              <w:pStyle w:val="BodyText"/>
            </w:pPr>
            <w:r>
              <w:t>N/A</w:t>
            </w:r>
          </w:p>
        </w:tc>
        <w:tc>
          <w:tcPr>
            <w:tcW w:w="3782" w:type="dxa"/>
          </w:tcPr>
          <w:p w14:paraId="50F9B126" w14:textId="00413D87" w:rsidR="00466BEC" w:rsidRDefault="00777370" w:rsidP="00356015">
            <w:pPr>
              <w:pStyle w:val="BodyText"/>
            </w:pPr>
            <w:r>
              <w:t>Malware scanning</w:t>
            </w:r>
          </w:p>
          <w:p w14:paraId="166CB0E4" w14:textId="293F05CA" w:rsidR="00777370" w:rsidRDefault="00777370" w:rsidP="00356015">
            <w:pPr>
              <w:pStyle w:val="BodyText"/>
            </w:pPr>
            <w:r>
              <w:t>Sensitive data discovery</w:t>
            </w:r>
          </w:p>
        </w:tc>
      </w:tr>
      <w:tr w:rsidR="00466BEC" w14:paraId="6C548D0B" w14:textId="77777777" w:rsidTr="00C6290A">
        <w:tc>
          <w:tcPr>
            <w:tcW w:w="1985" w:type="dxa"/>
          </w:tcPr>
          <w:p w14:paraId="1C13D896" w14:textId="05F5495B" w:rsidR="00466BEC" w:rsidRDefault="00777DA8" w:rsidP="00356015">
            <w:pPr>
              <w:pStyle w:val="BodyText"/>
            </w:pPr>
            <w:r>
              <w:t>Containers</w:t>
            </w:r>
          </w:p>
        </w:tc>
        <w:tc>
          <w:tcPr>
            <w:tcW w:w="3260" w:type="dxa"/>
          </w:tcPr>
          <w:p w14:paraId="4068A18C" w14:textId="6DB209EC" w:rsidR="00466BEC" w:rsidRDefault="003F6D2B" w:rsidP="00356015">
            <w:pPr>
              <w:pStyle w:val="BodyText"/>
            </w:pPr>
            <w:r>
              <w:t>N/A</w:t>
            </w:r>
          </w:p>
        </w:tc>
        <w:tc>
          <w:tcPr>
            <w:tcW w:w="3782" w:type="dxa"/>
          </w:tcPr>
          <w:p w14:paraId="3BF8BB6D" w14:textId="77777777" w:rsidR="00466BEC" w:rsidRDefault="00C6290A" w:rsidP="00356015">
            <w:pPr>
              <w:pStyle w:val="BodyText"/>
            </w:pPr>
            <w:r>
              <w:t>Defender agent in Azure</w:t>
            </w:r>
          </w:p>
          <w:p w14:paraId="71C2F83D" w14:textId="77777777" w:rsidR="00C6290A" w:rsidRDefault="00C6290A" w:rsidP="00356015">
            <w:pPr>
              <w:pStyle w:val="BodyText"/>
            </w:pPr>
            <w:r>
              <w:t>Azure Policy for Kubernetees</w:t>
            </w:r>
          </w:p>
          <w:p w14:paraId="2493FF58" w14:textId="77777777" w:rsidR="00C6290A" w:rsidRDefault="00C6290A" w:rsidP="00356015">
            <w:pPr>
              <w:pStyle w:val="BodyText"/>
            </w:pPr>
            <w:r>
              <w:t>Agentless discovery for Kubernetes</w:t>
            </w:r>
          </w:p>
          <w:p w14:paraId="090A5466" w14:textId="4939FF63" w:rsidR="00C6290A" w:rsidRDefault="00C6290A" w:rsidP="00356015">
            <w:pPr>
              <w:pStyle w:val="BodyText"/>
            </w:pPr>
            <w:r>
              <w:t>Agentless container vulnerability assessment</w:t>
            </w:r>
          </w:p>
        </w:tc>
      </w:tr>
      <w:tr w:rsidR="00466BEC" w14:paraId="673AF53E" w14:textId="77777777" w:rsidTr="00C6290A">
        <w:tc>
          <w:tcPr>
            <w:tcW w:w="1985" w:type="dxa"/>
          </w:tcPr>
          <w:p w14:paraId="02B3BD7C" w14:textId="657B17E1" w:rsidR="00466BEC" w:rsidRDefault="00C6290A" w:rsidP="00356015">
            <w:pPr>
              <w:pStyle w:val="BodyText"/>
            </w:pPr>
            <w:r>
              <w:t>Key Vault</w:t>
            </w:r>
          </w:p>
        </w:tc>
        <w:tc>
          <w:tcPr>
            <w:tcW w:w="3260" w:type="dxa"/>
          </w:tcPr>
          <w:p w14:paraId="4478F379" w14:textId="54C00518" w:rsidR="00466BEC" w:rsidRDefault="00905B73" w:rsidP="00356015">
            <w:pPr>
              <w:pStyle w:val="BodyText"/>
            </w:pPr>
            <w:r>
              <w:t>N/A</w:t>
            </w:r>
          </w:p>
        </w:tc>
        <w:tc>
          <w:tcPr>
            <w:tcW w:w="3782" w:type="dxa"/>
          </w:tcPr>
          <w:p w14:paraId="6F212FFD" w14:textId="421CB336" w:rsidR="00466BEC" w:rsidRDefault="00905B73" w:rsidP="00356015">
            <w:pPr>
              <w:pStyle w:val="BodyText"/>
            </w:pPr>
            <w:r>
              <w:t>N/A</w:t>
            </w:r>
          </w:p>
        </w:tc>
      </w:tr>
      <w:tr w:rsidR="00C6290A" w14:paraId="2547C771" w14:textId="77777777" w:rsidTr="00C6290A">
        <w:tc>
          <w:tcPr>
            <w:tcW w:w="1985" w:type="dxa"/>
          </w:tcPr>
          <w:p w14:paraId="5F98E3CD" w14:textId="77616347" w:rsidR="00C6290A" w:rsidRDefault="00C6290A" w:rsidP="00356015">
            <w:pPr>
              <w:pStyle w:val="BodyText"/>
            </w:pPr>
            <w:r>
              <w:t>Resource Manager</w:t>
            </w:r>
          </w:p>
        </w:tc>
        <w:tc>
          <w:tcPr>
            <w:tcW w:w="3260" w:type="dxa"/>
          </w:tcPr>
          <w:p w14:paraId="07680CE9" w14:textId="4B444DB7" w:rsidR="00C6290A" w:rsidRDefault="0036677D" w:rsidP="00356015">
            <w:pPr>
              <w:pStyle w:val="BodyText"/>
            </w:pPr>
            <w:r>
              <w:t>N/A</w:t>
            </w:r>
          </w:p>
        </w:tc>
        <w:tc>
          <w:tcPr>
            <w:tcW w:w="3782" w:type="dxa"/>
          </w:tcPr>
          <w:p w14:paraId="3DC40D87" w14:textId="159DBA77" w:rsidR="00C6290A" w:rsidRDefault="0036677D" w:rsidP="00356015">
            <w:pPr>
              <w:pStyle w:val="BodyText"/>
            </w:pPr>
            <w:r>
              <w:t>N/A</w:t>
            </w:r>
          </w:p>
        </w:tc>
      </w:tr>
      <w:tr w:rsidR="00C6290A" w14:paraId="7D18B78E" w14:textId="77777777" w:rsidTr="00C6290A">
        <w:tc>
          <w:tcPr>
            <w:tcW w:w="1985" w:type="dxa"/>
          </w:tcPr>
          <w:p w14:paraId="1700F87A" w14:textId="19B9F406" w:rsidR="00C6290A" w:rsidRDefault="00C6290A" w:rsidP="00356015">
            <w:pPr>
              <w:pStyle w:val="BodyText"/>
            </w:pPr>
            <w:r>
              <w:t>APIs</w:t>
            </w:r>
          </w:p>
        </w:tc>
        <w:tc>
          <w:tcPr>
            <w:tcW w:w="3260" w:type="dxa"/>
          </w:tcPr>
          <w:p w14:paraId="1B490D48" w14:textId="051EE0A5" w:rsidR="00C6290A" w:rsidRDefault="0036677D" w:rsidP="00356015">
            <w:pPr>
              <w:pStyle w:val="BodyText"/>
            </w:pPr>
            <w:r>
              <w:t>Plan 1</w:t>
            </w:r>
          </w:p>
        </w:tc>
        <w:tc>
          <w:tcPr>
            <w:tcW w:w="3782" w:type="dxa"/>
          </w:tcPr>
          <w:p w14:paraId="5C8F3608" w14:textId="24B926D2" w:rsidR="00C6290A" w:rsidRDefault="002D2F1A" w:rsidP="00356015">
            <w:pPr>
              <w:pStyle w:val="BodyText"/>
            </w:pPr>
            <w:r>
              <w:t>N/A</w:t>
            </w:r>
          </w:p>
        </w:tc>
      </w:tr>
    </w:tbl>
    <w:p w14:paraId="04ABEE57" w14:textId="77777777" w:rsidR="00356015" w:rsidRDefault="00356015" w:rsidP="00356015">
      <w:pPr>
        <w:pStyle w:val="BodyText"/>
      </w:pPr>
    </w:p>
    <w:p w14:paraId="71B857F6" w14:textId="77777777" w:rsidR="00356015" w:rsidRPr="00356015" w:rsidRDefault="00356015" w:rsidP="00356015">
      <w:pPr>
        <w:pStyle w:val="BodyText"/>
      </w:pPr>
    </w:p>
    <w:p w14:paraId="7824B9EA" w14:textId="77777777" w:rsidR="00116140" w:rsidRDefault="00116140" w:rsidP="007D289F">
      <w:pPr>
        <w:pStyle w:val="BodyText"/>
        <w:tabs>
          <w:tab w:val="clear" w:pos="4536"/>
          <w:tab w:val="clear" w:pos="6804"/>
          <w:tab w:val="clear" w:pos="9638"/>
          <w:tab w:val="left" w:pos="3065"/>
        </w:tabs>
        <w:jc w:val="both"/>
      </w:pPr>
    </w:p>
    <w:p w14:paraId="13E9150F" w14:textId="77777777" w:rsidR="00116140" w:rsidRDefault="00116140" w:rsidP="007D289F">
      <w:pPr>
        <w:pStyle w:val="BodyText"/>
        <w:tabs>
          <w:tab w:val="clear" w:pos="4536"/>
          <w:tab w:val="clear" w:pos="6804"/>
          <w:tab w:val="clear" w:pos="9638"/>
          <w:tab w:val="left" w:pos="3065"/>
        </w:tabs>
        <w:jc w:val="both"/>
      </w:pPr>
    </w:p>
    <w:p w14:paraId="08C4E002" w14:textId="77777777" w:rsidR="00116140" w:rsidRDefault="00116140" w:rsidP="007D289F">
      <w:pPr>
        <w:pStyle w:val="BodyText"/>
        <w:tabs>
          <w:tab w:val="clear" w:pos="4536"/>
          <w:tab w:val="clear" w:pos="6804"/>
          <w:tab w:val="clear" w:pos="9638"/>
          <w:tab w:val="left" w:pos="3065"/>
        </w:tabs>
        <w:jc w:val="both"/>
      </w:pPr>
    </w:p>
    <w:p w14:paraId="4A408BF8" w14:textId="77777777" w:rsidR="007A301B" w:rsidRDefault="007A301B" w:rsidP="007D289F">
      <w:pPr>
        <w:pStyle w:val="BodyText"/>
        <w:tabs>
          <w:tab w:val="clear" w:pos="4536"/>
          <w:tab w:val="clear" w:pos="6804"/>
          <w:tab w:val="clear" w:pos="9638"/>
          <w:tab w:val="left" w:pos="3065"/>
        </w:tabs>
        <w:jc w:val="both"/>
      </w:pPr>
    </w:p>
    <w:p w14:paraId="114DA5A3" w14:textId="77777777" w:rsidR="007A301B" w:rsidRDefault="007A301B" w:rsidP="007D289F">
      <w:pPr>
        <w:pStyle w:val="BodyText"/>
        <w:tabs>
          <w:tab w:val="clear" w:pos="4536"/>
          <w:tab w:val="clear" w:pos="6804"/>
          <w:tab w:val="clear" w:pos="9638"/>
          <w:tab w:val="left" w:pos="3065"/>
        </w:tabs>
        <w:jc w:val="both"/>
      </w:pPr>
    </w:p>
    <w:p w14:paraId="1690FBFD" w14:textId="77777777" w:rsidR="007A301B" w:rsidRDefault="007A301B" w:rsidP="007D289F">
      <w:pPr>
        <w:pStyle w:val="BodyText"/>
        <w:tabs>
          <w:tab w:val="clear" w:pos="4536"/>
          <w:tab w:val="clear" w:pos="6804"/>
          <w:tab w:val="clear" w:pos="9638"/>
          <w:tab w:val="left" w:pos="3065"/>
        </w:tabs>
        <w:jc w:val="both"/>
      </w:pPr>
    </w:p>
    <w:p w14:paraId="21CFFD47" w14:textId="77777777" w:rsidR="007A301B" w:rsidRDefault="007A301B" w:rsidP="007D289F">
      <w:pPr>
        <w:pStyle w:val="BodyText"/>
        <w:tabs>
          <w:tab w:val="clear" w:pos="4536"/>
          <w:tab w:val="clear" w:pos="6804"/>
          <w:tab w:val="clear" w:pos="9638"/>
          <w:tab w:val="left" w:pos="3065"/>
        </w:tabs>
        <w:jc w:val="both"/>
      </w:pPr>
    </w:p>
    <w:p w14:paraId="63219F58" w14:textId="77777777" w:rsidR="007A301B" w:rsidRDefault="007A301B" w:rsidP="007D289F">
      <w:pPr>
        <w:pStyle w:val="BodyText"/>
        <w:tabs>
          <w:tab w:val="clear" w:pos="4536"/>
          <w:tab w:val="clear" w:pos="6804"/>
          <w:tab w:val="clear" w:pos="9638"/>
          <w:tab w:val="left" w:pos="3065"/>
        </w:tabs>
        <w:jc w:val="both"/>
      </w:pPr>
    </w:p>
    <w:p w14:paraId="1E3147EC" w14:textId="77777777" w:rsidR="007A301B" w:rsidRDefault="007A301B" w:rsidP="007D289F">
      <w:pPr>
        <w:pStyle w:val="BodyText"/>
        <w:tabs>
          <w:tab w:val="clear" w:pos="4536"/>
          <w:tab w:val="clear" w:pos="6804"/>
          <w:tab w:val="clear" w:pos="9638"/>
          <w:tab w:val="left" w:pos="3065"/>
        </w:tabs>
        <w:jc w:val="both"/>
      </w:pPr>
    </w:p>
    <w:p w14:paraId="7A0667B2" w14:textId="77777777" w:rsidR="007A301B" w:rsidRDefault="007A301B" w:rsidP="007D289F">
      <w:pPr>
        <w:pStyle w:val="BodyText"/>
        <w:tabs>
          <w:tab w:val="clear" w:pos="4536"/>
          <w:tab w:val="clear" w:pos="6804"/>
          <w:tab w:val="clear" w:pos="9638"/>
          <w:tab w:val="left" w:pos="3065"/>
        </w:tabs>
        <w:jc w:val="both"/>
      </w:pPr>
    </w:p>
    <w:p w14:paraId="5F9207E2" w14:textId="77777777" w:rsidR="007A301B" w:rsidRDefault="007A301B" w:rsidP="007D289F">
      <w:pPr>
        <w:pStyle w:val="BodyText"/>
        <w:tabs>
          <w:tab w:val="clear" w:pos="4536"/>
          <w:tab w:val="clear" w:pos="6804"/>
          <w:tab w:val="clear" w:pos="9638"/>
          <w:tab w:val="left" w:pos="3065"/>
        </w:tabs>
        <w:jc w:val="both"/>
      </w:pPr>
    </w:p>
    <w:p w14:paraId="0DBBC94B" w14:textId="77777777" w:rsidR="007A301B" w:rsidRDefault="007A301B" w:rsidP="007D289F">
      <w:pPr>
        <w:pStyle w:val="BodyText"/>
        <w:tabs>
          <w:tab w:val="clear" w:pos="4536"/>
          <w:tab w:val="clear" w:pos="6804"/>
          <w:tab w:val="clear" w:pos="9638"/>
          <w:tab w:val="left" w:pos="3065"/>
        </w:tabs>
        <w:jc w:val="both"/>
      </w:pPr>
    </w:p>
    <w:p w14:paraId="0985BB9F"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33" w:name="_Toc160795838"/>
      <w:r>
        <w:lastRenderedPageBreak/>
        <w:t>Acceptance</w:t>
      </w:r>
      <w:bookmarkEnd w:id="33"/>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5A52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9"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5A52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19"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9D2AA1">
      <w:headerReference w:type="default" r:id="rId20"/>
      <w:footerReference w:type="default" r:id="rId21"/>
      <w:headerReference w:type="first" r:id="rId22"/>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73C9" w14:textId="77777777" w:rsidR="009D2AA1" w:rsidRPr="00C33C38" w:rsidRDefault="009D2AA1" w:rsidP="00256624">
      <w:pPr>
        <w:spacing w:line="240" w:lineRule="auto"/>
        <w:rPr>
          <w:sz w:val="19"/>
          <w:szCs w:val="19"/>
        </w:rPr>
      </w:pPr>
      <w:r w:rsidRPr="00C33C38">
        <w:rPr>
          <w:sz w:val="19"/>
          <w:szCs w:val="19"/>
        </w:rPr>
        <w:separator/>
      </w:r>
    </w:p>
    <w:p w14:paraId="3AA0A76F" w14:textId="77777777" w:rsidR="009D2AA1" w:rsidRDefault="009D2AA1"/>
    <w:p w14:paraId="404416C1" w14:textId="77777777" w:rsidR="009D2AA1" w:rsidRDefault="009D2AA1"/>
    <w:p w14:paraId="0F29C441" w14:textId="77777777" w:rsidR="009D2AA1" w:rsidRDefault="009D2AA1"/>
  </w:endnote>
  <w:endnote w:type="continuationSeparator" w:id="0">
    <w:p w14:paraId="43703304" w14:textId="77777777" w:rsidR="009D2AA1" w:rsidRPr="00C33C38" w:rsidRDefault="009D2AA1" w:rsidP="00256624">
      <w:pPr>
        <w:spacing w:line="240" w:lineRule="auto"/>
        <w:rPr>
          <w:sz w:val="19"/>
          <w:szCs w:val="19"/>
        </w:rPr>
      </w:pPr>
      <w:r w:rsidRPr="00C33C38">
        <w:rPr>
          <w:sz w:val="19"/>
          <w:szCs w:val="19"/>
        </w:rPr>
        <w:continuationSeparator/>
      </w:r>
    </w:p>
    <w:p w14:paraId="4261F02D" w14:textId="77777777" w:rsidR="009D2AA1" w:rsidRDefault="009D2AA1"/>
    <w:p w14:paraId="4247D261" w14:textId="77777777" w:rsidR="009D2AA1" w:rsidRDefault="009D2AA1"/>
    <w:p w14:paraId="585E9985" w14:textId="77777777" w:rsidR="009D2AA1" w:rsidRDefault="009D2AA1"/>
  </w:endnote>
  <w:endnote w:type="continuationNotice" w:id="1">
    <w:p w14:paraId="3614401D" w14:textId="77777777" w:rsidR="009D2AA1" w:rsidRDefault="009D2A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E36F" w14:textId="77777777" w:rsidR="009D2AA1" w:rsidRPr="005F4D7E" w:rsidRDefault="009D2AA1" w:rsidP="00BF472F">
      <w:pPr>
        <w:pStyle w:val="BodyText"/>
      </w:pPr>
      <w:r w:rsidRPr="005F4D7E">
        <w:separator/>
      </w:r>
    </w:p>
    <w:p w14:paraId="5C9AE1DA" w14:textId="77777777" w:rsidR="009D2AA1" w:rsidRDefault="009D2AA1"/>
    <w:p w14:paraId="3CD761CE" w14:textId="77777777" w:rsidR="009D2AA1" w:rsidRDefault="009D2AA1"/>
  </w:footnote>
  <w:footnote w:type="continuationSeparator" w:id="0">
    <w:p w14:paraId="1CEE6C95" w14:textId="77777777" w:rsidR="009D2AA1" w:rsidRPr="00C33C38" w:rsidRDefault="009D2AA1" w:rsidP="005F4D7E">
      <w:r w:rsidRPr="00C33C38">
        <w:continuationSeparator/>
      </w:r>
    </w:p>
    <w:p w14:paraId="01C863C1" w14:textId="77777777" w:rsidR="009D2AA1" w:rsidRDefault="009D2AA1"/>
    <w:p w14:paraId="7FA78B7F" w14:textId="77777777" w:rsidR="009D2AA1" w:rsidRDefault="009D2AA1"/>
  </w:footnote>
  <w:footnote w:type="continuationNotice" w:id="1">
    <w:p w14:paraId="578B23B1" w14:textId="77777777" w:rsidR="009D2AA1" w:rsidRPr="005F4D7E" w:rsidRDefault="009D2AA1" w:rsidP="00C97369">
      <w:pPr>
        <w:pStyle w:val="Footer"/>
      </w:pPr>
    </w:p>
    <w:p w14:paraId="0FE51EB6" w14:textId="77777777" w:rsidR="009D2AA1" w:rsidRDefault="009D2AA1"/>
    <w:p w14:paraId="63D7E4B0" w14:textId="77777777" w:rsidR="009D2AA1" w:rsidRDefault="009D2AA1"/>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2448F8AD" w14:textId="53D7A895" w:rsidR="00591AF5" w:rsidRPr="00591AF5" w:rsidRDefault="00591AF5">
      <w:pPr>
        <w:pStyle w:val="FootnoteText"/>
        <w:rPr>
          <w:lang w:val="en-US"/>
        </w:rPr>
      </w:pPr>
      <w:r>
        <w:rPr>
          <w:rStyle w:val="FootnoteReference"/>
        </w:rPr>
        <w:footnoteRef/>
      </w:r>
      <w:r>
        <w:t xml:space="preserve"> </w:t>
      </w:r>
      <w:r w:rsidRPr="00591AF5">
        <w:t>There is no specific guidance for Defender for Cloud under the Performance Efficiency pillar of the Well Architected Framework.</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46AFD786" w14:textId="02681919" w:rsidR="00896A71" w:rsidRPr="00896A71" w:rsidRDefault="00896A71">
      <w:pPr>
        <w:pStyle w:val="FootnoteText"/>
        <w:rPr>
          <w:lang w:val="en-US"/>
        </w:rPr>
      </w:pPr>
      <w:r>
        <w:rPr>
          <w:rStyle w:val="FootnoteReference"/>
        </w:rPr>
        <w:footnoteRef/>
      </w:r>
      <w:r>
        <w:t xml:space="preserve"> </w:t>
      </w:r>
      <w:r w:rsidRPr="00896A71">
        <w:t>https://learn.microsoft.com/en-us/azure/defender-for-cloud/defender-for-cloud-introduction</w:t>
      </w:r>
    </w:p>
  </w:footnote>
  <w:footnote w:id="9">
    <w:p w14:paraId="6DEE2B45" w14:textId="71995A25" w:rsidR="005F1994" w:rsidRPr="005F1994" w:rsidRDefault="005F1994">
      <w:pPr>
        <w:pStyle w:val="FootnoteText"/>
        <w:rPr>
          <w:lang w:val="en-US"/>
        </w:rPr>
      </w:pPr>
      <w:r>
        <w:rPr>
          <w:rStyle w:val="FootnoteReference"/>
        </w:rPr>
        <w:footnoteRef/>
      </w:r>
      <w:r>
        <w:t xml:space="preserve"> </w:t>
      </w:r>
      <w:r w:rsidRPr="005F1994">
        <w:t>https://learn.microsoft.com/en-us/azure/role-based-access-control/built-in-roles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FB933EC"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E078D">
          <w:rPr>
            <w:color w:val="auto"/>
            <w:sz w:val="20"/>
            <w:szCs w:val="20"/>
          </w:rPr>
          <w:t>Defender for Cloud</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5900BA6"/>
    <w:multiLevelType w:val="hybridMultilevel"/>
    <w:tmpl w:val="1DACC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4"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5"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6"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7"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6730AC"/>
    <w:multiLevelType w:val="hybridMultilevel"/>
    <w:tmpl w:val="E954C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3"/>
  </w:num>
  <w:num w:numId="3" w16cid:durableId="1518273573">
    <w:abstractNumId w:val="0"/>
  </w:num>
  <w:num w:numId="4" w16cid:durableId="331490005">
    <w:abstractNumId w:val="14"/>
  </w:num>
  <w:num w:numId="5" w16cid:durableId="1883208813">
    <w:abstractNumId w:val="17"/>
  </w:num>
  <w:num w:numId="6" w16cid:durableId="1009648220">
    <w:abstractNumId w:val="23"/>
  </w:num>
  <w:num w:numId="7" w16cid:durableId="1148132004">
    <w:abstractNumId w:val="2"/>
  </w:num>
  <w:num w:numId="8" w16cid:durableId="188762563">
    <w:abstractNumId w:val="5"/>
  </w:num>
  <w:num w:numId="9" w16cid:durableId="129715755">
    <w:abstractNumId w:val="19"/>
  </w:num>
  <w:num w:numId="10" w16cid:durableId="238442199">
    <w:abstractNumId w:val="25"/>
  </w:num>
  <w:num w:numId="11" w16cid:durableId="1425227610">
    <w:abstractNumId w:val="37"/>
  </w:num>
  <w:num w:numId="12" w16cid:durableId="1809323372">
    <w:abstractNumId w:val="8"/>
  </w:num>
  <w:num w:numId="13" w16cid:durableId="570582799">
    <w:abstractNumId w:val="32"/>
  </w:num>
  <w:num w:numId="14" w16cid:durableId="1111240024">
    <w:abstractNumId w:val="20"/>
  </w:num>
  <w:num w:numId="15" w16cid:durableId="819345174">
    <w:abstractNumId w:val="4"/>
  </w:num>
  <w:num w:numId="16" w16cid:durableId="1647275130">
    <w:abstractNumId w:val="30"/>
  </w:num>
  <w:num w:numId="17" w16cid:durableId="474832808">
    <w:abstractNumId w:val="18"/>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6"/>
  </w:num>
  <w:num w:numId="25" w16cid:durableId="251087149">
    <w:abstractNumId w:val="11"/>
  </w:num>
  <w:num w:numId="26" w16cid:durableId="147866691">
    <w:abstractNumId w:val="38"/>
  </w:num>
  <w:num w:numId="27" w16cid:durableId="635766740">
    <w:abstractNumId w:val="34"/>
  </w:num>
  <w:num w:numId="28" w16cid:durableId="79109722">
    <w:abstractNumId w:val="2"/>
  </w:num>
  <w:num w:numId="29" w16cid:durableId="874195412">
    <w:abstractNumId w:val="31"/>
  </w:num>
  <w:num w:numId="30" w16cid:durableId="1736583244">
    <w:abstractNumId w:val="10"/>
  </w:num>
  <w:num w:numId="31" w16cid:durableId="1167750566">
    <w:abstractNumId w:val="9"/>
  </w:num>
  <w:num w:numId="32" w16cid:durableId="1983267767">
    <w:abstractNumId w:val="36"/>
  </w:num>
  <w:num w:numId="33" w16cid:durableId="1762294583">
    <w:abstractNumId w:val="22"/>
  </w:num>
  <w:num w:numId="34" w16cid:durableId="468715008">
    <w:abstractNumId w:val="27"/>
  </w:num>
  <w:num w:numId="35" w16cid:durableId="1772235067">
    <w:abstractNumId w:val="35"/>
  </w:num>
  <w:num w:numId="36" w16cid:durableId="5571267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184A"/>
    <w:rsid w:val="00042C1C"/>
    <w:rsid w:val="000436A1"/>
    <w:rsid w:val="00045AC2"/>
    <w:rsid w:val="00046DFC"/>
    <w:rsid w:val="00050713"/>
    <w:rsid w:val="00050F61"/>
    <w:rsid w:val="00050FA5"/>
    <w:rsid w:val="0005148E"/>
    <w:rsid w:val="00051D5C"/>
    <w:rsid w:val="00051F15"/>
    <w:rsid w:val="00052454"/>
    <w:rsid w:val="0005252A"/>
    <w:rsid w:val="00053130"/>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1FD"/>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270F"/>
    <w:rsid w:val="00082CAC"/>
    <w:rsid w:val="0008355D"/>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D799E"/>
    <w:rsid w:val="000E0068"/>
    <w:rsid w:val="000E0537"/>
    <w:rsid w:val="000E0A82"/>
    <w:rsid w:val="000E1E10"/>
    <w:rsid w:val="000E2931"/>
    <w:rsid w:val="000E2E35"/>
    <w:rsid w:val="000E2F22"/>
    <w:rsid w:val="000E3622"/>
    <w:rsid w:val="000E3F49"/>
    <w:rsid w:val="000E5431"/>
    <w:rsid w:val="000E608A"/>
    <w:rsid w:val="000E7057"/>
    <w:rsid w:val="000E70E9"/>
    <w:rsid w:val="000E7658"/>
    <w:rsid w:val="000E7BE6"/>
    <w:rsid w:val="000F0200"/>
    <w:rsid w:val="000F1017"/>
    <w:rsid w:val="000F14CB"/>
    <w:rsid w:val="000F21F8"/>
    <w:rsid w:val="000F3362"/>
    <w:rsid w:val="000F3B77"/>
    <w:rsid w:val="000F47F5"/>
    <w:rsid w:val="000F4D26"/>
    <w:rsid w:val="000F539C"/>
    <w:rsid w:val="000F59FB"/>
    <w:rsid w:val="000F5E55"/>
    <w:rsid w:val="000F669B"/>
    <w:rsid w:val="000F6C46"/>
    <w:rsid w:val="000F6C9B"/>
    <w:rsid w:val="000F7466"/>
    <w:rsid w:val="000F7B0A"/>
    <w:rsid w:val="000F7FBB"/>
    <w:rsid w:val="001000A5"/>
    <w:rsid w:val="00100451"/>
    <w:rsid w:val="0010096F"/>
    <w:rsid w:val="00101C2D"/>
    <w:rsid w:val="001026FB"/>
    <w:rsid w:val="001027D2"/>
    <w:rsid w:val="0010297B"/>
    <w:rsid w:val="00102EDA"/>
    <w:rsid w:val="00103E45"/>
    <w:rsid w:val="001042E1"/>
    <w:rsid w:val="0010501A"/>
    <w:rsid w:val="00105AF0"/>
    <w:rsid w:val="0010618D"/>
    <w:rsid w:val="00107129"/>
    <w:rsid w:val="001074B4"/>
    <w:rsid w:val="0011087C"/>
    <w:rsid w:val="00110DC1"/>
    <w:rsid w:val="0011109A"/>
    <w:rsid w:val="001112D9"/>
    <w:rsid w:val="001115BC"/>
    <w:rsid w:val="0011191A"/>
    <w:rsid w:val="0011371C"/>
    <w:rsid w:val="00114377"/>
    <w:rsid w:val="001146CA"/>
    <w:rsid w:val="00116140"/>
    <w:rsid w:val="00116264"/>
    <w:rsid w:val="001172AE"/>
    <w:rsid w:val="00117584"/>
    <w:rsid w:val="001176AC"/>
    <w:rsid w:val="00120459"/>
    <w:rsid w:val="00120578"/>
    <w:rsid w:val="00120FAD"/>
    <w:rsid w:val="001230A0"/>
    <w:rsid w:val="001230E8"/>
    <w:rsid w:val="001244F7"/>
    <w:rsid w:val="00124E39"/>
    <w:rsid w:val="0012516C"/>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7D5"/>
    <w:rsid w:val="001B2870"/>
    <w:rsid w:val="001B2AD4"/>
    <w:rsid w:val="001B3405"/>
    <w:rsid w:val="001B35AE"/>
    <w:rsid w:val="001B3EA6"/>
    <w:rsid w:val="001B5EAD"/>
    <w:rsid w:val="001B5FF2"/>
    <w:rsid w:val="001B6249"/>
    <w:rsid w:val="001B667B"/>
    <w:rsid w:val="001B688C"/>
    <w:rsid w:val="001B6D41"/>
    <w:rsid w:val="001B7EE4"/>
    <w:rsid w:val="001C0BAE"/>
    <w:rsid w:val="001C145F"/>
    <w:rsid w:val="001C2358"/>
    <w:rsid w:val="001C2511"/>
    <w:rsid w:val="001C26DD"/>
    <w:rsid w:val="001C48EB"/>
    <w:rsid w:val="001C5289"/>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2987"/>
    <w:rsid w:val="001E322E"/>
    <w:rsid w:val="001E3E6C"/>
    <w:rsid w:val="001E4E3D"/>
    <w:rsid w:val="001E539A"/>
    <w:rsid w:val="001E56FB"/>
    <w:rsid w:val="001E6421"/>
    <w:rsid w:val="001E6674"/>
    <w:rsid w:val="001E7225"/>
    <w:rsid w:val="001E72FD"/>
    <w:rsid w:val="001E7427"/>
    <w:rsid w:val="001F0075"/>
    <w:rsid w:val="001F0B3F"/>
    <w:rsid w:val="001F2D7D"/>
    <w:rsid w:val="001F3198"/>
    <w:rsid w:val="001F31BD"/>
    <w:rsid w:val="001F44D3"/>
    <w:rsid w:val="001F5040"/>
    <w:rsid w:val="001F55A0"/>
    <w:rsid w:val="001F797E"/>
    <w:rsid w:val="00200A6F"/>
    <w:rsid w:val="00202628"/>
    <w:rsid w:val="00202D57"/>
    <w:rsid w:val="002032CE"/>
    <w:rsid w:val="0020353C"/>
    <w:rsid w:val="00203F20"/>
    <w:rsid w:val="00204E41"/>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4A"/>
    <w:rsid w:val="00230874"/>
    <w:rsid w:val="00232D3E"/>
    <w:rsid w:val="002348C5"/>
    <w:rsid w:val="00234A6B"/>
    <w:rsid w:val="00234CDD"/>
    <w:rsid w:val="00234D5D"/>
    <w:rsid w:val="002351B8"/>
    <w:rsid w:val="00235448"/>
    <w:rsid w:val="00235D54"/>
    <w:rsid w:val="0023624D"/>
    <w:rsid w:val="00237EE0"/>
    <w:rsid w:val="00240809"/>
    <w:rsid w:val="00240BA5"/>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4A49"/>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5E4"/>
    <w:rsid w:val="00271C8E"/>
    <w:rsid w:val="002722EC"/>
    <w:rsid w:val="0027240B"/>
    <w:rsid w:val="002726B6"/>
    <w:rsid w:val="00272BD6"/>
    <w:rsid w:val="002734B4"/>
    <w:rsid w:val="00274D13"/>
    <w:rsid w:val="00274DED"/>
    <w:rsid w:val="00274FCA"/>
    <w:rsid w:val="0027759D"/>
    <w:rsid w:val="00280075"/>
    <w:rsid w:val="00281D5B"/>
    <w:rsid w:val="0028219A"/>
    <w:rsid w:val="00283051"/>
    <w:rsid w:val="002834E2"/>
    <w:rsid w:val="00283EA9"/>
    <w:rsid w:val="00284193"/>
    <w:rsid w:val="00284AA1"/>
    <w:rsid w:val="00284AA5"/>
    <w:rsid w:val="002857D1"/>
    <w:rsid w:val="002859D1"/>
    <w:rsid w:val="00286DCF"/>
    <w:rsid w:val="00287FD0"/>
    <w:rsid w:val="00290C42"/>
    <w:rsid w:val="00291348"/>
    <w:rsid w:val="0029187A"/>
    <w:rsid w:val="002953E2"/>
    <w:rsid w:val="00296514"/>
    <w:rsid w:val="00296E15"/>
    <w:rsid w:val="00296F2D"/>
    <w:rsid w:val="00297C2D"/>
    <w:rsid w:val="002A04E1"/>
    <w:rsid w:val="002A0A44"/>
    <w:rsid w:val="002A0CEE"/>
    <w:rsid w:val="002A0D0D"/>
    <w:rsid w:val="002A11B8"/>
    <w:rsid w:val="002A175E"/>
    <w:rsid w:val="002A4F8D"/>
    <w:rsid w:val="002A5761"/>
    <w:rsid w:val="002A6614"/>
    <w:rsid w:val="002A670F"/>
    <w:rsid w:val="002A68DC"/>
    <w:rsid w:val="002A78C9"/>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44B"/>
    <w:rsid w:val="002B79AC"/>
    <w:rsid w:val="002B7B5A"/>
    <w:rsid w:val="002B7F31"/>
    <w:rsid w:val="002C017A"/>
    <w:rsid w:val="002C02B3"/>
    <w:rsid w:val="002C0A65"/>
    <w:rsid w:val="002C2DC2"/>
    <w:rsid w:val="002C37A5"/>
    <w:rsid w:val="002C3B94"/>
    <w:rsid w:val="002C42BF"/>
    <w:rsid w:val="002C5D6F"/>
    <w:rsid w:val="002D03C8"/>
    <w:rsid w:val="002D0DCC"/>
    <w:rsid w:val="002D1A6E"/>
    <w:rsid w:val="002D21C9"/>
    <w:rsid w:val="002D2577"/>
    <w:rsid w:val="002D277A"/>
    <w:rsid w:val="002D2A80"/>
    <w:rsid w:val="002D2D1D"/>
    <w:rsid w:val="002D2F1A"/>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27F"/>
    <w:rsid w:val="002F5B9E"/>
    <w:rsid w:val="002F5C56"/>
    <w:rsid w:val="003007C6"/>
    <w:rsid w:val="003008C0"/>
    <w:rsid w:val="003008C9"/>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0A3"/>
    <w:rsid w:val="003266B9"/>
    <w:rsid w:val="00326C56"/>
    <w:rsid w:val="00326E21"/>
    <w:rsid w:val="00326E64"/>
    <w:rsid w:val="003270E8"/>
    <w:rsid w:val="0032751B"/>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010"/>
    <w:rsid w:val="0034413F"/>
    <w:rsid w:val="00344DAF"/>
    <w:rsid w:val="00344FFE"/>
    <w:rsid w:val="0034506E"/>
    <w:rsid w:val="00345980"/>
    <w:rsid w:val="003459BB"/>
    <w:rsid w:val="00345F29"/>
    <w:rsid w:val="0034659F"/>
    <w:rsid w:val="00346ADF"/>
    <w:rsid w:val="00347812"/>
    <w:rsid w:val="003508C2"/>
    <w:rsid w:val="003516D3"/>
    <w:rsid w:val="0035206E"/>
    <w:rsid w:val="003536B2"/>
    <w:rsid w:val="00356015"/>
    <w:rsid w:val="00356907"/>
    <w:rsid w:val="0035771F"/>
    <w:rsid w:val="00357B6E"/>
    <w:rsid w:val="00357E1C"/>
    <w:rsid w:val="00357EA6"/>
    <w:rsid w:val="003602BF"/>
    <w:rsid w:val="00360723"/>
    <w:rsid w:val="00361ECA"/>
    <w:rsid w:val="0036258B"/>
    <w:rsid w:val="003626FB"/>
    <w:rsid w:val="00362FDC"/>
    <w:rsid w:val="00363F4F"/>
    <w:rsid w:val="003647D0"/>
    <w:rsid w:val="00364D0E"/>
    <w:rsid w:val="00366113"/>
    <w:rsid w:val="0036677D"/>
    <w:rsid w:val="003667EB"/>
    <w:rsid w:val="00366E1B"/>
    <w:rsid w:val="003670C0"/>
    <w:rsid w:val="003674EB"/>
    <w:rsid w:val="00367AEE"/>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8C5"/>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A0A"/>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5CA3"/>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AB8"/>
    <w:rsid w:val="003D5533"/>
    <w:rsid w:val="003D61DD"/>
    <w:rsid w:val="003D63A2"/>
    <w:rsid w:val="003D70B4"/>
    <w:rsid w:val="003D70C8"/>
    <w:rsid w:val="003D7E3D"/>
    <w:rsid w:val="003E078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6D2B"/>
    <w:rsid w:val="003F71C4"/>
    <w:rsid w:val="003F755A"/>
    <w:rsid w:val="003F782D"/>
    <w:rsid w:val="003F78FC"/>
    <w:rsid w:val="0040068E"/>
    <w:rsid w:val="004019F9"/>
    <w:rsid w:val="0040292D"/>
    <w:rsid w:val="00403283"/>
    <w:rsid w:val="004038A4"/>
    <w:rsid w:val="00403B16"/>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3F77"/>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4FC2"/>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2DD5"/>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4CE2"/>
    <w:rsid w:val="00466199"/>
    <w:rsid w:val="004664F8"/>
    <w:rsid w:val="00466A61"/>
    <w:rsid w:val="00466BDE"/>
    <w:rsid w:val="00466BEC"/>
    <w:rsid w:val="00467742"/>
    <w:rsid w:val="00470B5E"/>
    <w:rsid w:val="004711D5"/>
    <w:rsid w:val="00471615"/>
    <w:rsid w:val="00471A08"/>
    <w:rsid w:val="00472389"/>
    <w:rsid w:val="004732F9"/>
    <w:rsid w:val="00473606"/>
    <w:rsid w:val="004744DC"/>
    <w:rsid w:val="00475145"/>
    <w:rsid w:val="00475624"/>
    <w:rsid w:val="00475CAA"/>
    <w:rsid w:val="00475E6A"/>
    <w:rsid w:val="00476E07"/>
    <w:rsid w:val="00476E1A"/>
    <w:rsid w:val="00477C86"/>
    <w:rsid w:val="004801AC"/>
    <w:rsid w:val="0048095A"/>
    <w:rsid w:val="00481250"/>
    <w:rsid w:val="00481819"/>
    <w:rsid w:val="00481A08"/>
    <w:rsid w:val="00481B0E"/>
    <w:rsid w:val="00481B94"/>
    <w:rsid w:val="00481F7F"/>
    <w:rsid w:val="0048263F"/>
    <w:rsid w:val="00483319"/>
    <w:rsid w:val="0048370C"/>
    <w:rsid w:val="00483804"/>
    <w:rsid w:val="00483A93"/>
    <w:rsid w:val="00484F7A"/>
    <w:rsid w:val="00485859"/>
    <w:rsid w:val="00486331"/>
    <w:rsid w:val="0048667B"/>
    <w:rsid w:val="004867EE"/>
    <w:rsid w:val="0048697F"/>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963"/>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6FD"/>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6390"/>
    <w:rsid w:val="00517E9C"/>
    <w:rsid w:val="005202C1"/>
    <w:rsid w:val="00520860"/>
    <w:rsid w:val="00521502"/>
    <w:rsid w:val="00522412"/>
    <w:rsid w:val="00522F24"/>
    <w:rsid w:val="005251A3"/>
    <w:rsid w:val="005253AD"/>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37980"/>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27B"/>
    <w:rsid w:val="00553612"/>
    <w:rsid w:val="005542F9"/>
    <w:rsid w:val="00554655"/>
    <w:rsid w:val="00554A12"/>
    <w:rsid w:val="00554C26"/>
    <w:rsid w:val="00556CA9"/>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AF5"/>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293"/>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2331"/>
    <w:rsid w:val="005E562C"/>
    <w:rsid w:val="005E58E2"/>
    <w:rsid w:val="005E69D4"/>
    <w:rsid w:val="005E6A00"/>
    <w:rsid w:val="005F0A6A"/>
    <w:rsid w:val="005F1098"/>
    <w:rsid w:val="005F1994"/>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226"/>
    <w:rsid w:val="0061394B"/>
    <w:rsid w:val="00613FE0"/>
    <w:rsid w:val="006145C0"/>
    <w:rsid w:val="0061497C"/>
    <w:rsid w:val="00614C5E"/>
    <w:rsid w:val="00616561"/>
    <w:rsid w:val="00616D97"/>
    <w:rsid w:val="00616EC0"/>
    <w:rsid w:val="00616FE2"/>
    <w:rsid w:val="00617C92"/>
    <w:rsid w:val="00617CBC"/>
    <w:rsid w:val="00621F59"/>
    <w:rsid w:val="006227E4"/>
    <w:rsid w:val="00622CE8"/>
    <w:rsid w:val="00623492"/>
    <w:rsid w:val="00624DF3"/>
    <w:rsid w:val="006254C4"/>
    <w:rsid w:val="006265A6"/>
    <w:rsid w:val="0062730A"/>
    <w:rsid w:val="00627FD3"/>
    <w:rsid w:val="00630EAB"/>
    <w:rsid w:val="0063141B"/>
    <w:rsid w:val="00631431"/>
    <w:rsid w:val="006319C4"/>
    <w:rsid w:val="00631BA5"/>
    <w:rsid w:val="00632211"/>
    <w:rsid w:val="006324AD"/>
    <w:rsid w:val="00632F36"/>
    <w:rsid w:val="0063360F"/>
    <w:rsid w:val="00633B64"/>
    <w:rsid w:val="006358BC"/>
    <w:rsid w:val="00635921"/>
    <w:rsid w:val="006364F7"/>
    <w:rsid w:val="00637E93"/>
    <w:rsid w:val="006405B7"/>
    <w:rsid w:val="00641ED0"/>
    <w:rsid w:val="00642199"/>
    <w:rsid w:val="00642B11"/>
    <w:rsid w:val="006434BC"/>
    <w:rsid w:val="00643BC3"/>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3449"/>
    <w:rsid w:val="0067478C"/>
    <w:rsid w:val="00674DD9"/>
    <w:rsid w:val="006757AD"/>
    <w:rsid w:val="00675875"/>
    <w:rsid w:val="00677476"/>
    <w:rsid w:val="00677CF9"/>
    <w:rsid w:val="00681312"/>
    <w:rsid w:val="00682115"/>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1C76"/>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1EB4"/>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30FA"/>
    <w:rsid w:val="0072483E"/>
    <w:rsid w:val="00724A3D"/>
    <w:rsid w:val="00724E16"/>
    <w:rsid w:val="00725754"/>
    <w:rsid w:val="007257E3"/>
    <w:rsid w:val="00726C14"/>
    <w:rsid w:val="007272A5"/>
    <w:rsid w:val="007278BB"/>
    <w:rsid w:val="00727F09"/>
    <w:rsid w:val="0073076F"/>
    <w:rsid w:val="0073083D"/>
    <w:rsid w:val="007308BA"/>
    <w:rsid w:val="00730AA7"/>
    <w:rsid w:val="00730E70"/>
    <w:rsid w:val="007310FC"/>
    <w:rsid w:val="00731EAE"/>
    <w:rsid w:val="00732488"/>
    <w:rsid w:val="00733A89"/>
    <w:rsid w:val="00733BB1"/>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570EB"/>
    <w:rsid w:val="00760D0A"/>
    <w:rsid w:val="00761B6C"/>
    <w:rsid w:val="00761F37"/>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370"/>
    <w:rsid w:val="00777A97"/>
    <w:rsid w:val="00777C7B"/>
    <w:rsid w:val="00777DA8"/>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4663"/>
    <w:rsid w:val="007A4F44"/>
    <w:rsid w:val="007A5E84"/>
    <w:rsid w:val="007A6FB3"/>
    <w:rsid w:val="007A72E0"/>
    <w:rsid w:val="007B08AD"/>
    <w:rsid w:val="007B1032"/>
    <w:rsid w:val="007B152F"/>
    <w:rsid w:val="007B281A"/>
    <w:rsid w:val="007B2ABD"/>
    <w:rsid w:val="007B4D16"/>
    <w:rsid w:val="007B5191"/>
    <w:rsid w:val="007B5D97"/>
    <w:rsid w:val="007B6990"/>
    <w:rsid w:val="007B71B3"/>
    <w:rsid w:val="007B724E"/>
    <w:rsid w:val="007C0405"/>
    <w:rsid w:val="007C0F69"/>
    <w:rsid w:val="007C11CA"/>
    <w:rsid w:val="007C1722"/>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C20"/>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9C0"/>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1F46"/>
    <w:rsid w:val="00892B1F"/>
    <w:rsid w:val="0089311C"/>
    <w:rsid w:val="008932DC"/>
    <w:rsid w:val="008940A2"/>
    <w:rsid w:val="008949CC"/>
    <w:rsid w:val="00894DB9"/>
    <w:rsid w:val="00895320"/>
    <w:rsid w:val="00896379"/>
    <w:rsid w:val="0089654F"/>
    <w:rsid w:val="00896A71"/>
    <w:rsid w:val="00896C70"/>
    <w:rsid w:val="0089722C"/>
    <w:rsid w:val="0089760C"/>
    <w:rsid w:val="008A0940"/>
    <w:rsid w:val="008A0C07"/>
    <w:rsid w:val="008A16BD"/>
    <w:rsid w:val="008A1AEB"/>
    <w:rsid w:val="008A220A"/>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1BD5"/>
    <w:rsid w:val="008E20E5"/>
    <w:rsid w:val="008E2589"/>
    <w:rsid w:val="008E29D1"/>
    <w:rsid w:val="008E2A21"/>
    <w:rsid w:val="008E30DC"/>
    <w:rsid w:val="008E37E7"/>
    <w:rsid w:val="008E3B77"/>
    <w:rsid w:val="008E4978"/>
    <w:rsid w:val="008E4B5F"/>
    <w:rsid w:val="008E4C6F"/>
    <w:rsid w:val="008E4D17"/>
    <w:rsid w:val="008E5DC8"/>
    <w:rsid w:val="008E6341"/>
    <w:rsid w:val="008E6956"/>
    <w:rsid w:val="008E77AF"/>
    <w:rsid w:val="008E7E66"/>
    <w:rsid w:val="008F00BE"/>
    <w:rsid w:val="008F1BDC"/>
    <w:rsid w:val="008F1D01"/>
    <w:rsid w:val="008F1DF6"/>
    <w:rsid w:val="008F2B26"/>
    <w:rsid w:val="008F55C8"/>
    <w:rsid w:val="008F5757"/>
    <w:rsid w:val="008F6C0E"/>
    <w:rsid w:val="008F7501"/>
    <w:rsid w:val="00900129"/>
    <w:rsid w:val="009004A6"/>
    <w:rsid w:val="0090090A"/>
    <w:rsid w:val="00900C0C"/>
    <w:rsid w:val="00900E43"/>
    <w:rsid w:val="0090120B"/>
    <w:rsid w:val="00903693"/>
    <w:rsid w:val="00904F2D"/>
    <w:rsid w:val="00905B73"/>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18D"/>
    <w:rsid w:val="00940A90"/>
    <w:rsid w:val="00940F4E"/>
    <w:rsid w:val="00941AC7"/>
    <w:rsid w:val="00942831"/>
    <w:rsid w:val="009435EC"/>
    <w:rsid w:val="00943D1A"/>
    <w:rsid w:val="00944933"/>
    <w:rsid w:val="00945405"/>
    <w:rsid w:val="0094574D"/>
    <w:rsid w:val="00945BE7"/>
    <w:rsid w:val="0094658C"/>
    <w:rsid w:val="00947800"/>
    <w:rsid w:val="00952061"/>
    <w:rsid w:val="00952E11"/>
    <w:rsid w:val="00953333"/>
    <w:rsid w:val="00953F45"/>
    <w:rsid w:val="00954406"/>
    <w:rsid w:val="00955607"/>
    <w:rsid w:val="00955793"/>
    <w:rsid w:val="0095594E"/>
    <w:rsid w:val="00956A2B"/>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8D7"/>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969"/>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191"/>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B5F8A"/>
    <w:rsid w:val="009B7779"/>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2AA1"/>
    <w:rsid w:val="009D3875"/>
    <w:rsid w:val="009D42D3"/>
    <w:rsid w:val="009D43B2"/>
    <w:rsid w:val="009D4706"/>
    <w:rsid w:val="009D5A6A"/>
    <w:rsid w:val="009D6565"/>
    <w:rsid w:val="009D66DD"/>
    <w:rsid w:val="009D7681"/>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A20"/>
    <w:rsid w:val="009F6D0A"/>
    <w:rsid w:val="009F7761"/>
    <w:rsid w:val="009F7F58"/>
    <w:rsid w:val="00A0172F"/>
    <w:rsid w:val="00A01A79"/>
    <w:rsid w:val="00A01DCD"/>
    <w:rsid w:val="00A02687"/>
    <w:rsid w:val="00A027A4"/>
    <w:rsid w:val="00A028D1"/>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CC3"/>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6F0"/>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332"/>
    <w:rsid w:val="00A71B72"/>
    <w:rsid w:val="00A71D1D"/>
    <w:rsid w:val="00A7209C"/>
    <w:rsid w:val="00A73423"/>
    <w:rsid w:val="00A74D57"/>
    <w:rsid w:val="00A75786"/>
    <w:rsid w:val="00A75EBD"/>
    <w:rsid w:val="00A75F70"/>
    <w:rsid w:val="00A76556"/>
    <w:rsid w:val="00A76776"/>
    <w:rsid w:val="00A76813"/>
    <w:rsid w:val="00A769E9"/>
    <w:rsid w:val="00A778CC"/>
    <w:rsid w:val="00A77A90"/>
    <w:rsid w:val="00A80FCB"/>
    <w:rsid w:val="00A81598"/>
    <w:rsid w:val="00A8162F"/>
    <w:rsid w:val="00A81BF5"/>
    <w:rsid w:val="00A81E98"/>
    <w:rsid w:val="00A82DC0"/>
    <w:rsid w:val="00A83155"/>
    <w:rsid w:val="00A83403"/>
    <w:rsid w:val="00A839EF"/>
    <w:rsid w:val="00A83A62"/>
    <w:rsid w:val="00A83FD4"/>
    <w:rsid w:val="00A86341"/>
    <w:rsid w:val="00A86973"/>
    <w:rsid w:val="00A86E56"/>
    <w:rsid w:val="00A871D6"/>
    <w:rsid w:val="00A87653"/>
    <w:rsid w:val="00A903B8"/>
    <w:rsid w:val="00A91763"/>
    <w:rsid w:val="00A92E05"/>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2A2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0D42"/>
    <w:rsid w:val="00AE1158"/>
    <w:rsid w:val="00AE11FA"/>
    <w:rsid w:val="00AE1241"/>
    <w:rsid w:val="00AE1838"/>
    <w:rsid w:val="00AE1AB7"/>
    <w:rsid w:val="00AE1F0F"/>
    <w:rsid w:val="00AE20F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AF7FCE"/>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204"/>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91D"/>
    <w:rsid w:val="00B90C75"/>
    <w:rsid w:val="00B90E59"/>
    <w:rsid w:val="00B915AE"/>
    <w:rsid w:val="00B91EDC"/>
    <w:rsid w:val="00B93DAB"/>
    <w:rsid w:val="00B93EA8"/>
    <w:rsid w:val="00B93F99"/>
    <w:rsid w:val="00B94DA8"/>
    <w:rsid w:val="00B95ED1"/>
    <w:rsid w:val="00B96973"/>
    <w:rsid w:val="00B96AF7"/>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604B"/>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E782E"/>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07E"/>
    <w:rsid w:val="00C006BE"/>
    <w:rsid w:val="00C00814"/>
    <w:rsid w:val="00C00DB6"/>
    <w:rsid w:val="00C0260C"/>
    <w:rsid w:val="00C02F28"/>
    <w:rsid w:val="00C03BE5"/>
    <w:rsid w:val="00C03DDC"/>
    <w:rsid w:val="00C03FB0"/>
    <w:rsid w:val="00C06114"/>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115"/>
    <w:rsid w:val="00C15471"/>
    <w:rsid w:val="00C15C6A"/>
    <w:rsid w:val="00C162DB"/>
    <w:rsid w:val="00C2058A"/>
    <w:rsid w:val="00C20DFF"/>
    <w:rsid w:val="00C21D91"/>
    <w:rsid w:val="00C232F9"/>
    <w:rsid w:val="00C247A6"/>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90A"/>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8AD"/>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0EC6"/>
    <w:rsid w:val="00CA259F"/>
    <w:rsid w:val="00CA276D"/>
    <w:rsid w:val="00CA33DE"/>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46CE"/>
    <w:rsid w:val="00CB51E5"/>
    <w:rsid w:val="00CB5F5C"/>
    <w:rsid w:val="00CB60AE"/>
    <w:rsid w:val="00CB648D"/>
    <w:rsid w:val="00CB65DE"/>
    <w:rsid w:val="00CB674C"/>
    <w:rsid w:val="00CB6CC1"/>
    <w:rsid w:val="00CB74E5"/>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2D9A"/>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7E5"/>
    <w:rsid w:val="00CF48F5"/>
    <w:rsid w:val="00CF4AF9"/>
    <w:rsid w:val="00CF58FE"/>
    <w:rsid w:val="00CF6A86"/>
    <w:rsid w:val="00CF6C9D"/>
    <w:rsid w:val="00CF766A"/>
    <w:rsid w:val="00D01382"/>
    <w:rsid w:val="00D0206E"/>
    <w:rsid w:val="00D02685"/>
    <w:rsid w:val="00D02C6A"/>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6285"/>
    <w:rsid w:val="00D26C16"/>
    <w:rsid w:val="00D27BC7"/>
    <w:rsid w:val="00D30B3E"/>
    <w:rsid w:val="00D312EF"/>
    <w:rsid w:val="00D324A1"/>
    <w:rsid w:val="00D3295B"/>
    <w:rsid w:val="00D331A6"/>
    <w:rsid w:val="00D333B0"/>
    <w:rsid w:val="00D33449"/>
    <w:rsid w:val="00D33E32"/>
    <w:rsid w:val="00D345BA"/>
    <w:rsid w:val="00D34973"/>
    <w:rsid w:val="00D352BC"/>
    <w:rsid w:val="00D3534E"/>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6D64"/>
    <w:rsid w:val="00D4710B"/>
    <w:rsid w:val="00D479BB"/>
    <w:rsid w:val="00D5086E"/>
    <w:rsid w:val="00D513F7"/>
    <w:rsid w:val="00D514FA"/>
    <w:rsid w:val="00D51689"/>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723"/>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E0C"/>
    <w:rsid w:val="00D77F3E"/>
    <w:rsid w:val="00D811D6"/>
    <w:rsid w:val="00D81F2A"/>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445"/>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A01"/>
    <w:rsid w:val="00E03FB4"/>
    <w:rsid w:val="00E04141"/>
    <w:rsid w:val="00E0419F"/>
    <w:rsid w:val="00E042FE"/>
    <w:rsid w:val="00E04968"/>
    <w:rsid w:val="00E053EB"/>
    <w:rsid w:val="00E05BCC"/>
    <w:rsid w:val="00E05CB2"/>
    <w:rsid w:val="00E05EB2"/>
    <w:rsid w:val="00E06A34"/>
    <w:rsid w:val="00E06BFB"/>
    <w:rsid w:val="00E07C5B"/>
    <w:rsid w:val="00E100AE"/>
    <w:rsid w:val="00E10149"/>
    <w:rsid w:val="00E1034D"/>
    <w:rsid w:val="00E10DF0"/>
    <w:rsid w:val="00E125D9"/>
    <w:rsid w:val="00E128F3"/>
    <w:rsid w:val="00E13A68"/>
    <w:rsid w:val="00E13E43"/>
    <w:rsid w:val="00E14D42"/>
    <w:rsid w:val="00E16BF7"/>
    <w:rsid w:val="00E178DD"/>
    <w:rsid w:val="00E20745"/>
    <w:rsid w:val="00E212F8"/>
    <w:rsid w:val="00E214FC"/>
    <w:rsid w:val="00E215E7"/>
    <w:rsid w:val="00E21F4C"/>
    <w:rsid w:val="00E2200F"/>
    <w:rsid w:val="00E22707"/>
    <w:rsid w:val="00E2321B"/>
    <w:rsid w:val="00E23324"/>
    <w:rsid w:val="00E24A72"/>
    <w:rsid w:val="00E24F62"/>
    <w:rsid w:val="00E252D4"/>
    <w:rsid w:val="00E26215"/>
    <w:rsid w:val="00E2793E"/>
    <w:rsid w:val="00E3067D"/>
    <w:rsid w:val="00E30844"/>
    <w:rsid w:val="00E30EFD"/>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312D"/>
    <w:rsid w:val="00E53947"/>
    <w:rsid w:val="00E5409A"/>
    <w:rsid w:val="00E5413E"/>
    <w:rsid w:val="00E5507A"/>
    <w:rsid w:val="00E561D1"/>
    <w:rsid w:val="00E568CC"/>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5F39"/>
    <w:rsid w:val="00E76430"/>
    <w:rsid w:val="00E76492"/>
    <w:rsid w:val="00E77704"/>
    <w:rsid w:val="00E817BF"/>
    <w:rsid w:val="00E835ED"/>
    <w:rsid w:val="00E8627D"/>
    <w:rsid w:val="00E86678"/>
    <w:rsid w:val="00E870A7"/>
    <w:rsid w:val="00E87CEF"/>
    <w:rsid w:val="00E9292F"/>
    <w:rsid w:val="00E92C93"/>
    <w:rsid w:val="00E9301F"/>
    <w:rsid w:val="00E96107"/>
    <w:rsid w:val="00E96EE9"/>
    <w:rsid w:val="00E97512"/>
    <w:rsid w:val="00EA0725"/>
    <w:rsid w:val="00EA116F"/>
    <w:rsid w:val="00EA1853"/>
    <w:rsid w:val="00EA2508"/>
    <w:rsid w:val="00EA2529"/>
    <w:rsid w:val="00EA4071"/>
    <w:rsid w:val="00EA6768"/>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FE6"/>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3B9"/>
    <w:rsid w:val="00F0148C"/>
    <w:rsid w:val="00F01C90"/>
    <w:rsid w:val="00F03016"/>
    <w:rsid w:val="00F03300"/>
    <w:rsid w:val="00F043C7"/>
    <w:rsid w:val="00F0454A"/>
    <w:rsid w:val="00F0680F"/>
    <w:rsid w:val="00F068C8"/>
    <w:rsid w:val="00F06A00"/>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2E41"/>
    <w:rsid w:val="00F33891"/>
    <w:rsid w:val="00F344CB"/>
    <w:rsid w:val="00F351E2"/>
    <w:rsid w:val="00F3540A"/>
    <w:rsid w:val="00F3573D"/>
    <w:rsid w:val="00F41AE7"/>
    <w:rsid w:val="00F42509"/>
    <w:rsid w:val="00F43A6F"/>
    <w:rsid w:val="00F44335"/>
    <w:rsid w:val="00F44A53"/>
    <w:rsid w:val="00F45993"/>
    <w:rsid w:val="00F45A13"/>
    <w:rsid w:val="00F45C2B"/>
    <w:rsid w:val="00F47AD6"/>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77AD5"/>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26B4"/>
    <w:rsid w:val="00F94C6F"/>
    <w:rsid w:val="00F96B09"/>
    <w:rsid w:val="00F96DA6"/>
    <w:rsid w:val="00F97E45"/>
    <w:rsid w:val="00F97FBB"/>
    <w:rsid w:val="00FA0391"/>
    <w:rsid w:val="00FA10C8"/>
    <w:rsid w:val="00FA17B0"/>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C7B86"/>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020"/>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7DC38DD"/>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4516C7F"/>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BB4A1E09-A74B-432C-B756-B474A74A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data">
    <w:name w:val="price-data"/>
    <w:basedOn w:val="DefaultParagraphFont"/>
    <w:rsid w:val="00682115"/>
  </w:style>
  <w:style w:type="character" w:customStyle="1" w:styleId="price-value">
    <w:name w:val="price-value"/>
    <w:basedOn w:val="DefaultParagraphFont"/>
    <w:rsid w:val="0068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27043320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43524798">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emf"/><Relationship Id="rId22" Type="http://schemas.openxmlformats.org/officeDocument/2006/relationships/header" Target="header2.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6357EA"/>
    <w:rsid w:val="00783BED"/>
    <w:rsid w:val="00A13F96"/>
    <w:rsid w:val="00B060B6"/>
    <w:rsid w:val="00D738BF"/>
    <w:rsid w:val="00E97512"/>
    <w:rsid w:val="00EE082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s>
</ds:datastoreItem>
</file>

<file path=customXml/itemProps2.xml><?xml version="1.0" encoding="utf-8"?>
<ds:datastoreItem xmlns:ds="http://schemas.openxmlformats.org/officeDocument/2006/customXml" ds:itemID="{ED6161C8-3E07-4FAB-BBD6-527E909CE986}"/>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B9FE4E3D-1DCC-41C9-8754-97C44B503C7C}">
  <ds:schemaRefs>
    <ds:schemaRef ds:uri="http://schemas.microsoft.com/sharepoint/events"/>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6.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d44deb77-7be8-4c8f-aa02-f40e1c31808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 Minutes - Executive</Template>
  <TotalTime>152</TotalTime>
  <Pages>17</Pages>
  <Words>2831</Words>
  <Characters>16138</Characters>
  <Application>Microsoft Office Word</Application>
  <DocSecurity>0</DocSecurity>
  <Lines>134</Lines>
  <Paragraphs>37</Paragraphs>
  <ScaleCrop>false</ScaleCrop>
  <Company>Ambulance Victoria</Company>
  <LinksUpToDate>false</LinksUpToDate>
  <CharactersWithSpaces>18932</CharactersWithSpaces>
  <SharedDoc>false</SharedDoc>
  <HLinks>
    <vt:vector size="198" baseType="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228</cp:revision>
  <cp:lastPrinted>2018-06-30T16:11:00Z</cp:lastPrinted>
  <dcterms:created xsi:type="dcterms:W3CDTF">2023-11-13T18:49:00Z</dcterms:created>
  <dcterms:modified xsi:type="dcterms:W3CDTF">2024-03-08T02:09:00Z</dcterms:modified>
  <cp:category>Defender for Cloud</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bde5c744-da9f-4b4f-bc72-c0541213fde1</vt:lpwstr>
  </property>
  <property fmtid="{D5CDD505-2E9C-101B-9397-08002B2CF9AE}" pid="5" name="ResourceName">
    <vt:lpwstr>ResourceName</vt:lpwstr>
  </property>
</Properties>
</file>