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25E8D"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B678594"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b/>
                                    <w:bCs/>
                                    <w:color w:val="FFFFFF" w:themeColor="background1"/>
                                    <w:sz w:val="48"/>
                                    <w:szCs w:val="48"/>
                                  </w:rPr>
                                  <w:t>Private Endpoint &amp; Azure Private DNS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B678594"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b/>
                              <w:bCs/>
                              <w:color w:val="FFFFFF" w:themeColor="background1"/>
                              <w:sz w:val="48"/>
                              <w:szCs w:val="48"/>
                            </w:rPr>
                            <w:t>Private Endpoint &amp; Azure Private DNS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p w14:paraId="064D05CC" w14:textId="77777777" w:rsidR="00C07A2E" w:rsidRDefault="00C07A2E" w:rsidP="00003ED0">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742C7E">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E768BD" w14:paraId="02911C77" w14:textId="77777777" w:rsidTr="00742C7E">
        <w:tc>
          <w:tcPr>
            <w:tcW w:w="2121" w:type="dxa"/>
            <w:shd w:val="clear" w:color="auto" w:fill="002060"/>
          </w:tcPr>
          <w:p w14:paraId="6D574233" w14:textId="77777777" w:rsidR="00502938" w:rsidRPr="00E768BD" w:rsidRDefault="00502938" w:rsidP="00F94C6F">
            <w:pPr>
              <w:pStyle w:val="BodyText"/>
              <w:ind w:left="0"/>
              <w:rPr>
                <w:rFonts w:cs="Arial"/>
                <w:b/>
                <w:bCs/>
                <w:color w:val="FFFFFF" w:themeColor="background1"/>
              </w:rPr>
            </w:pPr>
            <w:r>
              <w:rPr>
                <w:rFonts w:cs="Arial"/>
                <w:b/>
                <w:bCs/>
                <w:color w:val="FFFFFF" w:themeColor="background1"/>
              </w:rPr>
              <w:t xml:space="preserve"> </w:t>
            </w:r>
            <w:r w:rsidRPr="00E768BD">
              <w:rPr>
                <w:rFonts w:cs="Arial"/>
                <w:b/>
                <w:bCs/>
                <w:color w:val="FFFFFF" w:themeColor="background1"/>
              </w:rPr>
              <w:t>Department</w:t>
            </w:r>
          </w:p>
        </w:tc>
        <w:tc>
          <w:tcPr>
            <w:tcW w:w="6798" w:type="dxa"/>
            <w:shd w:val="clear" w:color="auto" w:fill="auto"/>
          </w:tcPr>
          <w:p w14:paraId="47938CE6" w14:textId="475A45B5" w:rsidR="00502938" w:rsidRPr="00E768BD" w:rsidRDefault="00502938" w:rsidP="00F94C6F">
            <w:pPr>
              <w:pStyle w:val="BodyText"/>
              <w:ind w:left="0"/>
              <w:rPr>
                <w:rFonts w:cs="Arial"/>
                <w:color w:val="FFFFFF" w:themeColor="background1"/>
              </w:rPr>
            </w:pPr>
            <w:r w:rsidRPr="00E768BD">
              <w:rPr>
                <w:rFonts w:cs="Arial"/>
                <w:color w:val="auto"/>
              </w:rPr>
              <w:t xml:space="preserve"> </w:t>
            </w:r>
            <w:r w:rsidR="00697C15" w:rsidRPr="00E768BD">
              <w:rPr>
                <w:rFonts w:cs="Arial"/>
                <w:color w:val="auto"/>
              </w:rPr>
              <w:t>DTS</w:t>
            </w:r>
          </w:p>
        </w:tc>
      </w:tr>
      <w:tr w:rsidR="00502938" w:rsidRPr="00E768BD" w14:paraId="0B5A4FC1" w14:textId="77777777" w:rsidTr="00742C7E">
        <w:tc>
          <w:tcPr>
            <w:tcW w:w="2121" w:type="dxa"/>
            <w:shd w:val="clear" w:color="auto" w:fill="002060"/>
          </w:tcPr>
          <w:p w14:paraId="13FDAA98" w14:textId="77777777" w:rsidR="00502938" w:rsidRPr="00E768BD" w:rsidRDefault="00502938" w:rsidP="00F94C6F">
            <w:pPr>
              <w:pStyle w:val="BodyText"/>
              <w:ind w:left="0"/>
              <w:rPr>
                <w:rFonts w:cs="Arial"/>
                <w:b/>
                <w:bCs/>
                <w:color w:val="FFFFFF" w:themeColor="background1"/>
              </w:rPr>
            </w:pPr>
            <w:r w:rsidRPr="00E768BD">
              <w:rPr>
                <w:rFonts w:cs="Arial"/>
                <w:b/>
                <w:bCs/>
                <w:color w:val="FFFFFF" w:themeColor="background1"/>
              </w:rPr>
              <w:t xml:space="preserve"> Contact Name</w:t>
            </w:r>
          </w:p>
        </w:tc>
        <w:tc>
          <w:tcPr>
            <w:tcW w:w="6798" w:type="dxa"/>
          </w:tcPr>
          <w:p w14:paraId="058646E4" w14:textId="55A55074" w:rsidR="00502938" w:rsidRPr="00E768BD" w:rsidRDefault="00502938" w:rsidP="00F94C6F">
            <w:pPr>
              <w:pStyle w:val="BodyText"/>
              <w:ind w:left="0"/>
              <w:rPr>
                <w:rFonts w:cs="Arial"/>
              </w:rPr>
            </w:pPr>
            <w:r w:rsidRPr="00E768BD">
              <w:rPr>
                <w:rFonts w:cs="Arial"/>
              </w:rPr>
              <w:t xml:space="preserve"> </w:t>
            </w:r>
            <w:r w:rsidR="00697C15" w:rsidRPr="00E768BD">
              <w:rPr>
                <w:rFonts w:cs="Arial"/>
              </w:rPr>
              <w:t>Dominic Panzera</w:t>
            </w:r>
          </w:p>
        </w:tc>
      </w:tr>
      <w:tr w:rsidR="00502938" w:rsidRPr="00E768BD" w14:paraId="27DCA4A2" w14:textId="77777777" w:rsidTr="00742C7E">
        <w:tc>
          <w:tcPr>
            <w:tcW w:w="2121" w:type="dxa"/>
            <w:shd w:val="clear" w:color="auto" w:fill="002060"/>
          </w:tcPr>
          <w:p w14:paraId="47B59444" w14:textId="77777777" w:rsidR="00502938" w:rsidRPr="00E768BD" w:rsidRDefault="00502938" w:rsidP="00F94C6F">
            <w:pPr>
              <w:pStyle w:val="BodyText"/>
              <w:ind w:left="0"/>
              <w:rPr>
                <w:rFonts w:cs="Arial"/>
                <w:b/>
                <w:bCs/>
                <w:color w:val="FFFFFF" w:themeColor="background1"/>
              </w:rPr>
            </w:pPr>
            <w:r w:rsidRPr="00E768BD">
              <w:rPr>
                <w:rFonts w:cs="Arial"/>
                <w:b/>
                <w:bCs/>
                <w:color w:val="FFFFFF" w:themeColor="background1"/>
              </w:rPr>
              <w:t xml:space="preserve"> Address</w:t>
            </w:r>
          </w:p>
        </w:tc>
        <w:tc>
          <w:tcPr>
            <w:tcW w:w="6798" w:type="dxa"/>
          </w:tcPr>
          <w:p w14:paraId="1C05DC2E" w14:textId="77777777" w:rsidR="00502938" w:rsidRPr="00E768BD" w:rsidRDefault="00502938" w:rsidP="00F94C6F">
            <w:pPr>
              <w:pStyle w:val="BodyText"/>
              <w:ind w:left="0"/>
              <w:rPr>
                <w:rFonts w:cs="Arial"/>
              </w:rPr>
            </w:pPr>
            <w:r w:rsidRPr="00E768BD">
              <w:rPr>
                <w:rFonts w:cs="Arial"/>
              </w:rPr>
              <w:t xml:space="preserve"> 375 Manningham Road, Doncaster, Victoria 3108</w:t>
            </w:r>
          </w:p>
        </w:tc>
      </w:tr>
    </w:tbl>
    <w:p w14:paraId="50EB2AEB" w14:textId="77777777" w:rsidR="00502938" w:rsidRPr="00E768BD"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E768BD"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E768BD" w:rsidRDefault="00502938" w:rsidP="00F94C6F">
            <w:pPr>
              <w:pStyle w:val="BodyText"/>
              <w:rPr>
                <w:rFonts w:cs="Arial"/>
                <w:color w:val="FFFFFF" w:themeColor="background1"/>
                <w:sz w:val="28"/>
                <w:szCs w:val="28"/>
              </w:rPr>
            </w:pPr>
            <w:r w:rsidRPr="00E768BD">
              <w:rPr>
                <w:rFonts w:cs="Arial"/>
                <w:color w:val="FFFFFF" w:themeColor="background1"/>
                <w:sz w:val="28"/>
                <w:szCs w:val="28"/>
              </w:rPr>
              <w:t>Document Control</w:t>
            </w:r>
          </w:p>
        </w:tc>
      </w:tr>
      <w:tr w:rsidR="00502938" w:rsidRPr="00E768BD" w14:paraId="5BFC87D6" w14:textId="77777777" w:rsidTr="00F94C6F">
        <w:tc>
          <w:tcPr>
            <w:tcW w:w="2288" w:type="dxa"/>
            <w:shd w:val="clear" w:color="auto" w:fill="002060"/>
          </w:tcPr>
          <w:p w14:paraId="58113505" w14:textId="77777777" w:rsidR="00502938" w:rsidRPr="00E768BD" w:rsidRDefault="00502938" w:rsidP="00F94C6F">
            <w:pPr>
              <w:pStyle w:val="BodyText"/>
              <w:ind w:left="0"/>
              <w:rPr>
                <w:rFonts w:cs="Arial"/>
                <w:color w:val="auto"/>
              </w:rPr>
            </w:pPr>
            <w:r w:rsidRPr="00E768BD">
              <w:rPr>
                <w:rFonts w:cs="Arial"/>
                <w:color w:val="auto"/>
              </w:rPr>
              <w:t xml:space="preserve"> Title</w:t>
            </w:r>
          </w:p>
        </w:tc>
        <w:tc>
          <w:tcPr>
            <w:tcW w:w="7812" w:type="dxa"/>
            <w:shd w:val="clear" w:color="auto" w:fill="auto"/>
          </w:tcPr>
          <w:p w14:paraId="272BF256" w14:textId="16EC9DD7" w:rsidR="00502938" w:rsidRPr="00E768BD" w:rsidRDefault="00502938" w:rsidP="00F94C6F">
            <w:pPr>
              <w:pStyle w:val="BodyText"/>
              <w:ind w:left="0"/>
              <w:rPr>
                <w:rFonts w:cs="Arial"/>
                <w:b/>
                <w:bCs/>
              </w:rPr>
            </w:pPr>
            <w:r w:rsidRPr="00E768BD">
              <w:rPr>
                <w:rFonts w:cs="Arial"/>
              </w:rPr>
              <w:t xml:space="preserve"> </w:t>
            </w:r>
            <w:r w:rsidR="003B06EB" w:rsidRPr="00E768BD">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sidRPr="00E768BD">
                  <w:rPr>
                    <w:rFonts w:cs="Arial"/>
                  </w:rPr>
                  <w:t>Private Endpoint &amp; Azure Private DNS</w:t>
                </w:r>
              </w:sdtContent>
            </w:sdt>
            <w:r w:rsidR="003B06EB" w:rsidRPr="00E768BD">
              <w:rPr>
                <w:rFonts w:cs="Arial"/>
              </w:rPr>
              <w:t xml:space="preserve"> Core Service Design</w:t>
            </w:r>
          </w:p>
        </w:tc>
      </w:tr>
      <w:tr w:rsidR="00502938" w:rsidRPr="00E768BD" w14:paraId="57A54275" w14:textId="77777777" w:rsidTr="00F94C6F">
        <w:tc>
          <w:tcPr>
            <w:tcW w:w="2288" w:type="dxa"/>
            <w:shd w:val="clear" w:color="auto" w:fill="002060"/>
          </w:tcPr>
          <w:p w14:paraId="01F3F83C" w14:textId="77777777" w:rsidR="00502938" w:rsidRPr="00E768BD" w:rsidRDefault="00502938" w:rsidP="00F94C6F">
            <w:pPr>
              <w:pStyle w:val="BodyText"/>
              <w:ind w:left="0"/>
              <w:rPr>
                <w:rFonts w:cs="Arial"/>
                <w:b/>
                <w:color w:val="auto"/>
              </w:rPr>
            </w:pPr>
            <w:r w:rsidRPr="00E768BD">
              <w:rPr>
                <w:rFonts w:cs="Arial"/>
                <w:b/>
                <w:color w:val="auto"/>
              </w:rPr>
              <w:t xml:space="preserve"> File Name</w:t>
            </w:r>
          </w:p>
        </w:tc>
        <w:tc>
          <w:tcPr>
            <w:tcW w:w="7812" w:type="dxa"/>
          </w:tcPr>
          <w:p w14:paraId="0786C0F6" w14:textId="3C5C66E3" w:rsidR="00502938" w:rsidRPr="00E768BD" w:rsidRDefault="00502938" w:rsidP="00F94C6F">
            <w:pPr>
              <w:pStyle w:val="BodyText"/>
              <w:ind w:left="0"/>
              <w:rPr>
                <w:rFonts w:cs="Arial"/>
              </w:rPr>
            </w:pPr>
            <w:r w:rsidRPr="00E768BD">
              <w:rPr>
                <w:rFonts w:cs="Arial"/>
              </w:rPr>
              <w:t xml:space="preserve"> </w:t>
            </w:r>
            <w:r w:rsidR="003B06EB" w:rsidRPr="00E768BD">
              <w:rPr>
                <w:rFonts w:cs="Arial"/>
              </w:rPr>
              <w:t>Ambulance Victoria –</w:t>
            </w:r>
            <w:r w:rsidR="00874AFF" w:rsidRPr="00E768BD">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sidRPr="00E768BD">
                  <w:rPr>
                    <w:rFonts w:cs="Arial"/>
                  </w:rPr>
                  <w:t>Private Endpoint &amp; Azure Private DNS</w:t>
                </w:r>
              </w:sdtContent>
            </w:sdt>
            <w:r w:rsidR="00874AFF" w:rsidRPr="00E768BD">
              <w:rPr>
                <w:rFonts w:cs="Arial"/>
              </w:rPr>
              <w:t xml:space="preserve"> </w:t>
            </w:r>
            <w:r w:rsidR="003B06EB" w:rsidRPr="00E768BD">
              <w:rPr>
                <w:rFonts w:cs="Arial"/>
              </w:rPr>
              <w:t>Core Service Design</w:t>
            </w:r>
            <w:r w:rsidR="00E768BD" w:rsidRPr="00E768BD">
              <w:rPr>
                <w:rFonts w:cs="Arial"/>
              </w:rPr>
              <w:t xml:space="preserve"> v1.0</w:t>
            </w:r>
            <w:r w:rsidR="003B06EB" w:rsidRPr="00E768BD">
              <w:rPr>
                <w:rFonts w:cs="Arial"/>
              </w:rPr>
              <w:t>.docx</w:t>
            </w:r>
          </w:p>
        </w:tc>
      </w:tr>
      <w:tr w:rsidR="00502938" w:rsidRPr="00E768BD" w14:paraId="2D038423" w14:textId="77777777" w:rsidTr="00F94C6F">
        <w:tc>
          <w:tcPr>
            <w:tcW w:w="2288" w:type="dxa"/>
            <w:shd w:val="clear" w:color="auto" w:fill="002060"/>
          </w:tcPr>
          <w:p w14:paraId="79F36FF6" w14:textId="77777777" w:rsidR="00502938" w:rsidRPr="00E768BD" w:rsidRDefault="00502938" w:rsidP="00F94C6F">
            <w:pPr>
              <w:pStyle w:val="BodyText"/>
              <w:ind w:left="0"/>
              <w:rPr>
                <w:rFonts w:cs="Arial"/>
                <w:b/>
                <w:color w:val="auto"/>
              </w:rPr>
            </w:pPr>
            <w:r w:rsidRPr="00E768BD">
              <w:rPr>
                <w:rFonts w:cs="Arial"/>
                <w:b/>
                <w:color w:val="auto"/>
              </w:rPr>
              <w:t xml:space="preserve"> Version</w:t>
            </w:r>
          </w:p>
        </w:tc>
        <w:tc>
          <w:tcPr>
            <w:tcW w:w="7812" w:type="dxa"/>
          </w:tcPr>
          <w:p w14:paraId="0B1B2FC0" w14:textId="3CC27417" w:rsidR="00502938" w:rsidRPr="00E768BD" w:rsidRDefault="00502938" w:rsidP="00F94C6F">
            <w:pPr>
              <w:pStyle w:val="BodyText"/>
              <w:ind w:left="0"/>
              <w:rPr>
                <w:rFonts w:cs="Arial"/>
              </w:rPr>
            </w:pPr>
            <w:r w:rsidRPr="00E768BD">
              <w:rPr>
                <w:rFonts w:cs="Arial"/>
              </w:rPr>
              <w:t xml:space="preserve"> </w:t>
            </w:r>
            <w:r w:rsidR="00A5587E" w:rsidRPr="00E768BD">
              <w:rPr>
                <w:rFonts w:cs="Arial"/>
              </w:rPr>
              <w:t>1.0</w:t>
            </w:r>
          </w:p>
        </w:tc>
      </w:tr>
      <w:tr w:rsidR="00502938" w:rsidRPr="00633B64" w14:paraId="646872E8" w14:textId="77777777" w:rsidTr="00F94C6F">
        <w:tc>
          <w:tcPr>
            <w:tcW w:w="2288" w:type="dxa"/>
            <w:shd w:val="clear" w:color="auto" w:fill="002060"/>
          </w:tcPr>
          <w:p w14:paraId="7AF0ECB5" w14:textId="77777777" w:rsidR="00502938" w:rsidRPr="00E768BD" w:rsidRDefault="00502938" w:rsidP="00F94C6F">
            <w:pPr>
              <w:pStyle w:val="BodyText"/>
              <w:ind w:left="0"/>
              <w:rPr>
                <w:rFonts w:cs="Arial"/>
                <w:b/>
                <w:color w:val="auto"/>
              </w:rPr>
            </w:pPr>
            <w:r w:rsidRPr="00E768BD">
              <w:rPr>
                <w:rFonts w:cs="Arial"/>
                <w:b/>
                <w:color w:val="auto"/>
              </w:rPr>
              <w:t xml:space="preserve"> Status</w:t>
            </w:r>
          </w:p>
        </w:tc>
        <w:tc>
          <w:tcPr>
            <w:tcW w:w="7812" w:type="dxa"/>
          </w:tcPr>
          <w:p w14:paraId="07B5CC3A" w14:textId="6B2203CE" w:rsidR="00502938" w:rsidRPr="00E768BD" w:rsidRDefault="00502938" w:rsidP="00F94C6F">
            <w:pPr>
              <w:pStyle w:val="BodyText"/>
              <w:ind w:left="0"/>
              <w:rPr>
                <w:rFonts w:cs="Arial"/>
              </w:rPr>
            </w:pPr>
            <w:r w:rsidRPr="00E768BD">
              <w:rPr>
                <w:rFonts w:cs="Arial"/>
              </w:rPr>
              <w:t xml:space="preserve"> </w:t>
            </w:r>
            <w:r w:rsidR="00E768BD" w:rsidRPr="00E768BD">
              <w:rPr>
                <w:rFonts w:cs="Arial"/>
              </w:rPr>
              <w:t>Released</w:t>
            </w:r>
          </w:p>
        </w:tc>
      </w:tr>
      <w:tr w:rsidR="00502938" w:rsidRPr="00633B64" w14:paraId="1BC8196F" w14:textId="77777777" w:rsidTr="00F94C6F">
        <w:trPr>
          <w:trHeight w:val="179"/>
        </w:trPr>
        <w:tc>
          <w:tcPr>
            <w:tcW w:w="2288" w:type="dxa"/>
            <w:shd w:val="clear" w:color="auto" w:fill="002060"/>
          </w:tcPr>
          <w:p w14:paraId="160D2412"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112D8EB3" w14:textId="0ED84CD2" w:rsidR="00502938" w:rsidRPr="00633B64" w:rsidRDefault="00253857" w:rsidP="00F94C6F">
            <w:pPr>
              <w:pStyle w:val="BodyText"/>
              <w:ind w:left="0"/>
              <w:rPr>
                <w:rFonts w:cs="Arial"/>
              </w:rPr>
            </w:pPr>
            <w:r>
              <w:rPr>
                <w:rFonts w:cs="Arial"/>
              </w:rPr>
              <w:t xml:space="preserve"> </w:t>
            </w:r>
            <w:r w:rsidR="00742C7E">
              <w:rPr>
                <w:rFonts w:cs="Arial"/>
              </w:rPr>
              <w:t>18</w:t>
            </w:r>
            <w:r>
              <w:rPr>
                <w:rFonts w:cs="Arial"/>
              </w:rPr>
              <w:t>/</w:t>
            </w:r>
            <w:r w:rsidR="00742C7E">
              <w:rPr>
                <w:rFonts w:cs="Arial"/>
              </w:rPr>
              <w:t>01</w:t>
            </w:r>
            <w:r>
              <w:rPr>
                <w:rFonts w:cs="Arial"/>
              </w:rPr>
              <w:t>/202</w:t>
            </w:r>
            <w:r w:rsidR="000C79A3">
              <w:rPr>
                <w:rFonts w:cs="Arial"/>
              </w:rPr>
              <w:t>4</w:t>
            </w:r>
          </w:p>
        </w:tc>
      </w:tr>
    </w:tbl>
    <w:p w14:paraId="668477D6"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4"/>
        <w:gridCol w:w="1817"/>
        <w:gridCol w:w="2454"/>
        <w:gridCol w:w="2454"/>
      </w:tblGrid>
      <w:tr w:rsidR="00502938" w:rsidRPr="00633B64" w14:paraId="61AB52CE" w14:textId="77777777" w:rsidTr="006B0DBC">
        <w:trPr>
          <w:cnfStyle w:val="100000000000" w:firstRow="1" w:lastRow="0" w:firstColumn="0" w:lastColumn="0" w:oddVBand="0" w:evenVBand="0" w:oddHBand="0" w:evenHBand="0" w:firstRowFirstColumn="0" w:firstRowLastColumn="0" w:lastRowFirstColumn="0" w:lastRowLastColumn="0"/>
        </w:trPr>
        <w:tc>
          <w:tcPr>
            <w:tcW w:w="2194"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8D544B" w:rsidRDefault="00502938" w:rsidP="00F94C6F">
            <w:pPr>
              <w:pStyle w:val="BodyText"/>
              <w:rPr>
                <w:rFonts w:cs="Arial"/>
                <w:color w:val="auto"/>
              </w:rPr>
            </w:pPr>
            <w:r w:rsidRPr="00F53D69">
              <w:rPr>
                <w:rFonts w:cs="Arial"/>
                <w:color w:val="FFFFFF" w:themeColor="background1"/>
                <w:sz w:val="28"/>
                <w:szCs w:val="28"/>
              </w:rPr>
              <w:t>Preparation</w:t>
            </w:r>
          </w:p>
        </w:tc>
        <w:tc>
          <w:tcPr>
            <w:tcW w:w="181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260759" w:rsidRDefault="00502938" w:rsidP="00F94C6F">
            <w:pPr>
              <w:pStyle w:val="BodyText"/>
              <w:rPr>
                <w:rFonts w:cs="Arial"/>
                <w:color w:val="auto"/>
                <w:highlight w:val="yellow"/>
              </w:rPr>
            </w:pPr>
          </w:p>
        </w:tc>
        <w:tc>
          <w:tcPr>
            <w:tcW w:w="2454"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633B64" w:rsidRDefault="00502938" w:rsidP="00F94C6F">
            <w:pPr>
              <w:pStyle w:val="BodyText"/>
              <w:rPr>
                <w:rFonts w:cs="Arial"/>
                <w:b w:val="0"/>
                <w:color w:val="auto"/>
              </w:rPr>
            </w:pPr>
          </w:p>
        </w:tc>
        <w:tc>
          <w:tcPr>
            <w:tcW w:w="2454"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633B64" w:rsidRDefault="00502938" w:rsidP="00F94C6F">
            <w:pPr>
              <w:pStyle w:val="BodyText"/>
              <w:rPr>
                <w:rFonts w:cs="Arial"/>
                <w:b w:val="0"/>
                <w:color w:val="auto"/>
              </w:rPr>
            </w:pPr>
          </w:p>
        </w:tc>
      </w:tr>
      <w:tr w:rsidR="006B0DBC" w:rsidRPr="00633B64" w14:paraId="4DD49E68" w14:textId="77777777" w:rsidTr="006B0DBC">
        <w:tc>
          <w:tcPr>
            <w:tcW w:w="2194"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6B0DBC" w:rsidRPr="00F53D69" w:rsidRDefault="006B0DBC" w:rsidP="00F94C6F">
            <w:pPr>
              <w:pStyle w:val="BodyText"/>
              <w:ind w:left="0"/>
              <w:rPr>
                <w:rFonts w:cs="Arial"/>
                <w:b/>
                <w:bCs/>
                <w:color w:val="auto"/>
              </w:rPr>
            </w:pPr>
            <w:r>
              <w:rPr>
                <w:rFonts w:cs="Arial"/>
                <w:b/>
                <w:bCs/>
                <w:color w:val="auto"/>
              </w:rPr>
              <w:t xml:space="preserve"> </w:t>
            </w:r>
            <w:r w:rsidRPr="00F53D69">
              <w:rPr>
                <w:rFonts w:cs="Arial"/>
                <w:b/>
                <w:bCs/>
                <w:color w:val="auto"/>
              </w:rPr>
              <w:t>Prepared</w:t>
            </w:r>
          </w:p>
        </w:tc>
        <w:tc>
          <w:tcPr>
            <w:tcW w:w="6725" w:type="dxa"/>
            <w:gridSpan w:val="3"/>
            <w:tcBorders>
              <w:top w:val="single" w:sz="4" w:space="0" w:color="A6A6A6" w:themeColor="background1" w:themeShade="A6"/>
              <w:bottom w:val="single" w:sz="4" w:space="0" w:color="A6A6A6" w:themeColor="background1" w:themeShade="A6"/>
            </w:tcBorders>
            <w:shd w:val="clear" w:color="auto" w:fill="auto"/>
          </w:tcPr>
          <w:p w14:paraId="63C669C5" w14:textId="271C5B39" w:rsidR="006B0DBC" w:rsidRPr="006B0DBC" w:rsidRDefault="006B0DBC" w:rsidP="00F94C6F">
            <w:pPr>
              <w:pStyle w:val="BodyText"/>
              <w:ind w:left="0"/>
              <w:rPr>
                <w:rFonts w:cs="Arial"/>
                <w:b/>
                <w:color w:val="auto"/>
              </w:rPr>
            </w:pPr>
            <w:r w:rsidRPr="006B0DBC">
              <w:rPr>
                <w:rFonts w:cs="Arial"/>
                <w:color w:val="auto"/>
              </w:rPr>
              <w:t xml:space="preserve"> </w:t>
            </w:r>
            <w:r w:rsidR="00DC092D">
              <w:rPr>
                <w:rFonts w:cs="Arial"/>
                <w:color w:val="auto"/>
              </w:rPr>
              <w:t>Dileep Pradeep</w:t>
            </w:r>
          </w:p>
        </w:tc>
      </w:tr>
      <w:tr w:rsidR="00502938" w:rsidRPr="00633B64" w14:paraId="05A399D3" w14:textId="77777777" w:rsidTr="006B0DBC">
        <w:tc>
          <w:tcPr>
            <w:tcW w:w="2194" w:type="dxa"/>
            <w:tcBorders>
              <w:top w:val="single" w:sz="4" w:space="0" w:color="A6A6A6" w:themeColor="background1" w:themeShade="A6"/>
            </w:tcBorders>
            <w:shd w:val="clear" w:color="auto" w:fill="002060"/>
          </w:tcPr>
          <w:p w14:paraId="70CDCE93" w14:textId="77777777" w:rsidR="00502938" w:rsidRPr="008D544B" w:rsidRDefault="00502938" w:rsidP="00F94C6F">
            <w:pPr>
              <w:pStyle w:val="BodyText"/>
              <w:ind w:left="0"/>
              <w:rPr>
                <w:rFonts w:cs="Arial"/>
                <w:b/>
                <w:color w:val="auto"/>
              </w:rPr>
            </w:pPr>
            <w:r>
              <w:rPr>
                <w:rFonts w:cs="Arial"/>
                <w:b/>
                <w:color w:val="auto"/>
              </w:rPr>
              <w:t xml:space="preserve"> </w:t>
            </w:r>
            <w:r w:rsidRPr="008D544B">
              <w:rPr>
                <w:rFonts w:cs="Arial"/>
                <w:b/>
                <w:color w:val="auto"/>
              </w:rPr>
              <w:t>Authorised</w:t>
            </w:r>
          </w:p>
        </w:tc>
        <w:tc>
          <w:tcPr>
            <w:tcW w:w="1817" w:type="dxa"/>
            <w:tcBorders>
              <w:top w:val="single" w:sz="4" w:space="0" w:color="A6A6A6" w:themeColor="background1" w:themeShade="A6"/>
            </w:tcBorders>
          </w:tcPr>
          <w:p w14:paraId="227AD298" w14:textId="4531C570" w:rsidR="00502938" w:rsidRPr="006B0DBC" w:rsidRDefault="00502938" w:rsidP="00F94C6F">
            <w:pPr>
              <w:pStyle w:val="BodyText"/>
              <w:ind w:left="0"/>
              <w:rPr>
                <w:rFonts w:cs="Arial"/>
                <w:color w:val="auto"/>
              </w:rPr>
            </w:pPr>
            <w:r w:rsidRPr="006B0DBC">
              <w:rPr>
                <w:rFonts w:cs="Arial"/>
                <w:color w:val="auto"/>
              </w:rPr>
              <w:t xml:space="preserve"> </w:t>
            </w:r>
            <w:r w:rsidR="00E768BD" w:rsidRPr="006B0DBC">
              <w:rPr>
                <w:rFonts w:cs="Arial"/>
                <w:color w:val="auto"/>
              </w:rPr>
              <w:t>Dani Nikolic</w:t>
            </w:r>
          </w:p>
        </w:tc>
        <w:tc>
          <w:tcPr>
            <w:tcW w:w="2454" w:type="dxa"/>
            <w:tcBorders>
              <w:top w:val="single" w:sz="4" w:space="0" w:color="A6A6A6" w:themeColor="background1" w:themeShade="A6"/>
            </w:tcBorders>
          </w:tcPr>
          <w:p w14:paraId="5CEDC7FD" w14:textId="77777777" w:rsidR="00502938" w:rsidRPr="006B0DBC" w:rsidRDefault="00502938" w:rsidP="00F94C6F">
            <w:pPr>
              <w:pStyle w:val="BodyText"/>
              <w:ind w:left="0"/>
              <w:rPr>
                <w:rFonts w:cs="Arial"/>
                <w:color w:val="auto"/>
              </w:rPr>
            </w:pPr>
          </w:p>
        </w:tc>
        <w:tc>
          <w:tcPr>
            <w:tcW w:w="2454" w:type="dxa"/>
            <w:tcBorders>
              <w:top w:val="single" w:sz="4" w:space="0" w:color="A6A6A6" w:themeColor="background1" w:themeShade="A6"/>
            </w:tcBorders>
          </w:tcPr>
          <w:p w14:paraId="291E2CA6" w14:textId="77777777" w:rsidR="00502938" w:rsidRPr="006B0DBC"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7"/>
        <w:gridCol w:w="1461"/>
        <w:gridCol w:w="2035"/>
        <w:gridCol w:w="2056"/>
        <w:gridCol w:w="1700"/>
      </w:tblGrid>
      <w:tr w:rsidR="00502938" w:rsidRPr="00633B64"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B86C94">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35903D4F" w:rsidR="00502938" w:rsidRPr="00633B64" w:rsidRDefault="00742C7E" w:rsidP="00F94C6F">
            <w:pPr>
              <w:pStyle w:val="BodyText"/>
              <w:ind w:left="0"/>
              <w:rPr>
                <w:rFonts w:cs="Arial"/>
                <w:color w:val="auto"/>
              </w:rPr>
            </w:pPr>
            <w:r>
              <w:rPr>
                <w:rFonts w:cs="Arial"/>
              </w:rPr>
              <w:t>18</w:t>
            </w:r>
            <w:r w:rsidR="00253857">
              <w:rPr>
                <w:rFonts w:cs="Arial"/>
              </w:rPr>
              <w:t>/</w:t>
            </w:r>
            <w:r>
              <w:rPr>
                <w:rFonts w:cs="Arial"/>
              </w:rPr>
              <w:t>01</w:t>
            </w:r>
            <w:r w:rsidR="00253857">
              <w:rPr>
                <w:rFonts w:cs="Arial"/>
              </w:rPr>
              <w:t>/202</w:t>
            </w:r>
            <w:r w:rsidR="000C79A3">
              <w:rPr>
                <w:rFonts w:cs="Arial"/>
              </w:rPr>
              <w:t>4</w:t>
            </w:r>
          </w:p>
        </w:tc>
      </w:tr>
      <w:tr w:rsidR="00B86C94" w:rsidRPr="00633B64" w14:paraId="6B3720D9" w14:textId="77777777" w:rsidTr="00F94C6F">
        <w:tc>
          <w:tcPr>
            <w:tcW w:w="1923" w:type="dxa"/>
            <w:tcBorders>
              <w:top w:val="single" w:sz="4" w:space="0" w:color="A6A6A6" w:themeColor="background1" w:themeShade="A6"/>
            </w:tcBorders>
            <w:shd w:val="clear" w:color="auto" w:fill="auto"/>
          </w:tcPr>
          <w:p w14:paraId="4422F0BE" w14:textId="7CFB09ED" w:rsidR="00B86C94" w:rsidRDefault="00B86C94"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0B7A84AA" w14:textId="3177FB73" w:rsidR="00B86C94" w:rsidRPr="00633B64" w:rsidRDefault="00B86C94" w:rsidP="00B86C94">
            <w:pPr>
              <w:pStyle w:val="BodyText"/>
              <w:ind w:left="0"/>
              <w:rPr>
                <w:rFonts w:cs="Arial"/>
                <w:color w:val="auto"/>
              </w:rPr>
            </w:pPr>
            <w:r>
              <w:rPr>
                <w:rFonts w:cs="Arial"/>
                <w:color w:val="auto"/>
              </w:rPr>
              <w:t>Updates</w:t>
            </w:r>
          </w:p>
        </w:tc>
        <w:tc>
          <w:tcPr>
            <w:tcW w:w="2306" w:type="dxa"/>
            <w:tcBorders>
              <w:top w:val="single" w:sz="4" w:space="0" w:color="A6A6A6" w:themeColor="background1" w:themeShade="A6"/>
            </w:tcBorders>
          </w:tcPr>
          <w:p w14:paraId="764026DA" w14:textId="792C5BF0" w:rsidR="00B86C94" w:rsidRPr="00633B64" w:rsidRDefault="00B86C94"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tcBorders>
          </w:tcPr>
          <w:p w14:paraId="161F62C6" w14:textId="56BCA0D8" w:rsidR="00B86C94" w:rsidRPr="00633B64" w:rsidRDefault="00725A29" w:rsidP="00F94C6F">
            <w:pPr>
              <w:pStyle w:val="BodyText"/>
              <w:rPr>
                <w:rFonts w:cs="Arial"/>
                <w:color w:val="auto"/>
              </w:rPr>
            </w:pPr>
            <w:r>
              <w:rPr>
                <w:rFonts w:cs="Arial"/>
                <w:color w:val="auto"/>
              </w:rPr>
              <w:t>7, 14</w:t>
            </w:r>
            <w:r w:rsidR="00F759C6">
              <w:rPr>
                <w:rFonts w:cs="Arial"/>
                <w:color w:val="auto"/>
              </w:rPr>
              <w:t>, 17</w:t>
            </w:r>
          </w:p>
        </w:tc>
        <w:tc>
          <w:tcPr>
            <w:tcW w:w="1844" w:type="dxa"/>
            <w:tcBorders>
              <w:top w:val="single" w:sz="4" w:space="0" w:color="A6A6A6" w:themeColor="background1" w:themeShade="A6"/>
            </w:tcBorders>
          </w:tcPr>
          <w:p w14:paraId="4D1CF6DB" w14:textId="5F4B217D" w:rsidR="00B86C94" w:rsidRDefault="00725A29" w:rsidP="00F94C6F">
            <w:pPr>
              <w:pStyle w:val="BodyText"/>
              <w:rPr>
                <w:rFonts w:cs="Arial"/>
              </w:rPr>
            </w:pPr>
            <w:r>
              <w:rPr>
                <w:rFonts w:cs="Arial"/>
              </w:rPr>
              <w:t>24/01/2024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2A40634A" w14:textId="77777777" w:rsidR="00742C7E" w:rsidRDefault="00742C7E" w:rsidP="00001628">
      <w:pPr>
        <w:pStyle w:val="BodyText"/>
        <w:rPr>
          <w:rFonts w:cs="Arial"/>
        </w:rPr>
      </w:pPr>
    </w:p>
    <w:p w14:paraId="1341F454" w14:textId="77777777" w:rsidR="00742C7E" w:rsidRDefault="00742C7E"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4E7E9B6" w14:textId="21357914" w:rsidR="00742C7E"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6483692" w:history="1">
            <w:r w:rsidR="00742C7E" w:rsidRPr="0001502E">
              <w:rPr>
                <w:rStyle w:val="Hyperlink"/>
                <w:rFonts w:cs="Arial"/>
              </w:rPr>
              <w:t>1.</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Overview</w:t>
            </w:r>
            <w:r w:rsidR="00742C7E">
              <w:rPr>
                <w:webHidden/>
              </w:rPr>
              <w:tab/>
            </w:r>
            <w:r w:rsidR="00742C7E">
              <w:rPr>
                <w:webHidden/>
              </w:rPr>
              <w:fldChar w:fldCharType="begin"/>
            </w:r>
            <w:r w:rsidR="00742C7E">
              <w:rPr>
                <w:webHidden/>
              </w:rPr>
              <w:instrText xml:space="preserve"> PAGEREF _Toc156483692 \h </w:instrText>
            </w:r>
            <w:r w:rsidR="00742C7E">
              <w:rPr>
                <w:webHidden/>
              </w:rPr>
            </w:r>
            <w:r w:rsidR="00742C7E">
              <w:rPr>
                <w:webHidden/>
              </w:rPr>
              <w:fldChar w:fldCharType="separate"/>
            </w:r>
            <w:r w:rsidR="00742C7E">
              <w:rPr>
                <w:webHidden/>
              </w:rPr>
              <w:t>5</w:t>
            </w:r>
            <w:r w:rsidR="00742C7E">
              <w:rPr>
                <w:webHidden/>
              </w:rPr>
              <w:fldChar w:fldCharType="end"/>
            </w:r>
          </w:hyperlink>
        </w:p>
        <w:p w14:paraId="5FFDCF85" w14:textId="64F712A0" w:rsidR="00742C7E" w:rsidRDefault="00F759C6">
          <w:pPr>
            <w:pStyle w:val="TOC2"/>
            <w:rPr>
              <w:rFonts w:asciiTheme="minorHAnsi" w:eastAsiaTheme="minorEastAsia" w:hAnsiTheme="minorHAnsi" w:cstheme="minorBidi"/>
              <w:color w:val="auto"/>
              <w:kern w:val="2"/>
              <w14:ligatures w14:val="standardContextual"/>
            </w:rPr>
          </w:pPr>
          <w:hyperlink w:anchor="_Toc156483693" w:history="1">
            <w:r w:rsidR="00742C7E" w:rsidRPr="0001502E">
              <w:rPr>
                <w:rStyle w:val="Hyperlink"/>
                <w:rFonts w:cs="Arial"/>
                <w:spacing w:val="-8"/>
              </w:rPr>
              <w:t>1.1</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Purpose and Audience</w:t>
            </w:r>
            <w:r w:rsidR="00742C7E">
              <w:rPr>
                <w:webHidden/>
              </w:rPr>
              <w:tab/>
            </w:r>
            <w:r w:rsidR="00742C7E">
              <w:rPr>
                <w:webHidden/>
              </w:rPr>
              <w:fldChar w:fldCharType="begin"/>
            </w:r>
            <w:r w:rsidR="00742C7E">
              <w:rPr>
                <w:webHidden/>
              </w:rPr>
              <w:instrText xml:space="preserve"> PAGEREF _Toc156483693 \h </w:instrText>
            </w:r>
            <w:r w:rsidR="00742C7E">
              <w:rPr>
                <w:webHidden/>
              </w:rPr>
            </w:r>
            <w:r w:rsidR="00742C7E">
              <w:rPr>
                <w:webHidden/>
              </w:rPr>
              <w:fldChar w:fldCharType="separate"/>
            </w:r>
            <w:r w:rsidR="00742C7E">
              <w:rPr>
                <w:webHidden/>
              </w:rPr>
              <w:t>5</w:t>
            </w:r>
            <w:r w:rsidR="00742C7E">
              <w:rPr>
                <w:webHidden/>
              </w:rPr>
              <w:fldChar w:fldCharType="end"/>
            </w:r>
          </w:hyperlink>
        </w:p>
        <w:p w14:paraId="270F0A71" w14:textId="42B0BBA7" w:rsidR="00742C7E" w:rsidRDefault="00F759C6">
          <w:pPr>
            <w:pStyle w:val="TOC2"/>
            <w:rPr>
              <w:rFonts w:asciiTheme="minorHAnsi" w:eastAsiaTheme="minorEastAsia" w:hAnsiTheme="minorHAnsi" w:cstheme="minorBidi"/>
              <w:color w:val="auto"/>
              <w:kern w:val="2"/>
              <w14:ligatures w14:val="standardContextual"/>
            </w:rPr>
          </w:pPr>
          <w:hyperlink w:anchor="_Toc156483694" w:history="1">
            <w:r w:rsidR="00742C7E" w:rsidRPr="0001502E">
              <w:rPr>
                <w:rStyle w:val="Hyperlink"/>
                <w:rFonts w:cs="Arial"/>
                <w:spacing w:val="-8"/>
              </w:rPr>
              <w:t>1.2</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Scope and Key Deliverables</w:t>
            </w:r>
            <w:r w:rsidR="00742C7E">
              <w:rPr>
                <w:webHidden/>
              </w:rPr>
              <w:tab/>
            </w:r>
            <w:r w:rsidR="00742C7E">
              <w:rPr>
                <w:webHidden/>
              </w:rPr>
              <w:fldChar w:fldCharType="begin"/>
            </w:r>
            <w:r w:rsidR="00742C7E">
              <w:rPr>
                <w:webHidden/>
              </w:rPr>
              <w:instrText xml:space="preserve"> PAGEREF _Toc156483694 \h </w:instrText>
            </w:r>
            <w:r w:rsidR="00742C7E">
              <w:rPr>
                <w:webHidden/>
              </w:rPr>
            </w:r>
            <w:r w:rsidR="00742C7E">
              <w:rPr>
                <w:webHidden/>
              </w:rPr>
              <w:fldChar w:fldCharType="separate"/>
            </w:r>
            <w:r w:rsidR="00742C7E">
              <w:rPr>
                <w:webHidden/>
              </w:rPr>
              <w:t>5</w:t>
            </w:r>
            <w:r w:rsidR="00742C7E">
              <w:rPr>
                <w:webHidden/>
              </w:rPr>
              <w:fldChar w:fldCharType="end"/>
            </w:r>
          </w:hyperlink>
        </w:p>
        <w:p w14:paraId="071064D3" w14:textId="0362468F" w:rsidR="00742C7E" w:rsidRDefault="00F759C6">
          <w:pPr>
            <w:pStyle w:val="TOC2"/>
            <w:rPr>
              <w:rFonts w:asciiTheme="minorHAnsi" w:eastAsiaTheme="minorEastAsia" w:hAnsiTheme="minorHAnsi" w:cstheme="minorBidi"/>
              <w:color w:val="auto"/>
              <w:kern w:val="2"/>
              <w14:ligatures w14:val="standardContextual"/>
            </w:rPr>
          </w:pPr>
          <w:hyperlink w:anchor="_Toc156483695" w:history="1">
            <w:r w:rsidR="00742C7E" w:rsidRPr="0001502E">
              <w:rPr>
                <w:rStyle w:val="Hyperlink"/>
                <w:rFonts w:cs="Arial"/>
                <w:spacing w:val="-8"/>
              </w:rPr>
              <w:t>1.3</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Glossary and Definitions</w:t>
            </w:r>
            <w:r w:rsidR="00742C7E">
              <w:rPr>
                <w:webHidden/>
              </w:rPr>
              <w:tab/>
            </w:r>
            <w:r w:rsidR="00742C7E">
              <w:rPr>
                <w:webHidden/>
              </w:rPr>
              <w:fldChar w:fldCharType="begin"/>
            </w:r>
            <w:r w:rsidR="00742C7E">
              <w:rPr>
                <w:webHidden/>
              </w:rPr>
              <w:instrText xml:space="preserve"> PAGEREF _Toc156483695 \h </w:instrText>
            </w:r>
            <w:r w:rsidR="00742C7E">
              <w:rPr>
                <w:webHidden/>
              </w:rPr>
            </w:r>
            <w:r w:rsidR="00742C7E">
              <w:rPr>
                <w:webHidden/>
              </w:rPr>
              <w:fldChar w:fldCharType="separate"/>
            </w:r>
            <w:r w:rsidR="00742C7E">
              <w:rPr>
                <w:webHidden/>
              </w:rPr>
              <w:t>6</w:t>
            </w:r>
            <w:r w:rsidR="00742C7E">
              <w:rPr>
                <w:webHidden/>
              </w:rPr>
              <w:fldChar w:fldCharType="end"/>
            </w:r>
          </w:hyperlink>
        </w:p>
        <w:p w14:paraId="1AF8A8FA" w14:textId="713CA29A"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696" w:history="1">
            <w:r w:rsidR="00742C7E" w:rsidRPr="0001502E">
              <w:rPr>
                <w:rStyle w:val="Hyperlink"/>
                <w:rFonts w:cs="Arial"/>
              </w:rPr>
              <w:t>2.</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Executive Summary</w:t>
            </w:r>
            <w:r w:rsidR="00742C7E">
              <w:rPr>
                <w:webHidden/>
              </w:rPr>
              <w:tab/>
            </w:r>
            <w:r w:rsidR="00742C7E">
              <w:rPr>
                <w:webHidden/>
              </w:rPr>
              <w:fldChar w:fldCharType="begin"/>
            </w:r>
            <w:r w:rsidR="00742C7E">
              <w:rPr>
                <w:webHidden/>
              </w:rPr>
              <w:instrText xml:space="preserve"> PAGEREF _Toc156483696 \h </w:instrText>
            </w:r>
            <w:r w:rsidR="00742C7E">
              <w:rPr>
                <w:webHidden/>
              </w:rPr>
            </w:r>
            <w:r w:rsidR="00742C7E">
              <w:rPr>
                <w:webHidden/>
              </w:rPr>
              <w:fldChar w:fldCharType="separate"/>
            </w:r>
            <w:r w:rsidR="00742C7E">
              <w:rPr>
                <w:webHidden/>
              </w:rPr>
              <w:t>7</w:t>
            </w:r>
            <w:r w:rsidR="00742C7E">
              <w:rPr>
                <w:webHidden/>
              </w:rPr>
              <w:fldChar w:fldCharType="end"/>
            </w:r>
          </w:hyperlink>
        </w:p>
        <w:p w14:paraId="50774CBF" w14:textId="71F1B314"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697" w:history="1">
            <w:r w:rsidR="00742C7E" w:rsidRPr="0001502E">
              <w:rPr>
                <w:rStyle w:val="Hyperlink"/>
                <w:rFonts w:cs="Arial"/>
              </w:rPr>
              <w:t>3.</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Resource Cost</w:t>
            </w:r>
            <w:r w:rsidR="00742C7E">
              <w:rPr>
                <w:webHidden/>
              </w:rPr>
              <w:tab/>
            </w:r>
            <w:r w:rsidR="00742C7E">
              <w:rPr>
                <w:webHidden/>
              </w:rPr>
              <w:fldChar w:fldCharType="begin"/>
            </w:r>
            <w:r w:rsidR="00742C7E">
              <w:rPr>
                <w:webHidden/>
              </w:rPr>
              <w:instrText xml:space="preserve"> PAGEREF _Toc156483697 \h </w:instrText>
            </w:r>
            <w:r w:rsidR="00742C7E">
              <w:rPr>
                <w:webHidden/>
              </w:rPr>
            </w:r>
            <w:r w:rsidR="00742C7E">
              <w:rPr>
                <w:webHidden/>
              </w:rPr>
              <w:fldChar w:fldCharType="separate"/>
            </w:r>
            <w:r w:rsidR="00742C7E">
              <w:rPr>
                <w:webHidden/>
              </w:rPr>
              <w:t>8</w:t>
            </w:r>
            <w:r w:rsidR="00742C7E">
              <w:rPr>
                <w:webHidden/>
              </w:rPr>
              <w:fldChar w:fldCharType="end"/>
            </w:r>
          </w:hyperlink>
        </w:p>
        <w:p w14:paraId="0BC811A2" w14:textId="645A6A6E"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698" w:history="1">
            <w:r w:rsidR="00742C7E" w:rsidRPr="0001502E">
              <w:rPr>
                <w:rStyle w:val="Hyperlink"/>
                <w:rFonts w:cs="Arial"/>
              </w:rPr>
              <w:t>4.</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WAF and Security Control Alignment</w:t>
            </w:r>
            <w:r w:rsidR="00742C7E">
              <w:rPr>
                <w:webHidden/>
              </w:rPr>
              <w:tab/>
            </w:r>
            <w:r w:rsidR="00742C7E">
              <w:rPr>
                <w:webHidden/>
              </w:rPr>
              <w:fldChar w:fldCharType="begin"/>
            </w:r>
            <w:r w:rsidR="00742C7E">
              <w:rPr>
                <w:webHidden/>
              </w:rPr>
              <w:instrText xml:space="preserve"> PAGEREF _Toc156483698 \h </w:instrText>
            </w:r>
            <w:r w:rsidR="00742C7E">
              <w:rPr>
                <w:webHidden/>
              </w:rPr>
            </w:r>
            <w:r w:rsidR="00742C7E">
              <w:rPr>
                <w:webHidden/>
              </w:rPr>
              <w:fldChar w:fldCharType="separate"/>
            </w:r>
            <w:r w:rsidR="00742C7E">
              <w:rPr>
                <w:webHidden/>
              </w:rPr>
              <w:t>8</w:t>
            </w:r>
            <w:r w:rsidR="00742C7E">
              <w:rPr>
                <w:webHidden/>
              </w:rPr>
              <w:fldChar w:fldCharType="end"/>
            </w:r>
          </w:hyperlink>
        </w:p>
        <w:p w14:paraId="155929F4" w14:textId="2A09D84C" w:rsidR="00742C7E" w:rsidRDefault="00F759C6">
          <w:pPr>
            <w:pStyle w:val="TOC2"/>
            <w:rPr>
              <w:rFonts w:asciiTheme="minorHAnsi" w:eastAsiaTheme="minorEastAsia" w:hAnsiTheme="minorHAnsi" w:cstheme="minorBidi"/>
              <w:color w:val="auto"/>
              <w:kern w:val="2"/>
              <w14:ligatures w14:val="standardContextual"/>
            </w:rPr>
          </w:pPr>
          <w:hyperlink w:anchor="_Toc156483699" w:history="1">
            <w:r w:rsidR="00742C7E" w:rsidRPr="0001502E">
              <w:rPr>
                <w:rStyle w:val="Hyperlink"/>
                <w:spacing w:val="-8"/>
              </w:rPr>
              <w:t>4.1</w:t>
            </w:r>
            <w:r w:rsidR="00742C7E">
              <w:rPr>
                <w:rFonts w:asciiTheme="minorHAnsi" w:eastAsiaTheme="minorEastAsia" w:hAnsiTheme="minorHAnsi" w:cstheme="minorBidi"/>
                <w:color w:val="auto"/>
                <w:kern w:val="2"/>
                <w14:ligatures w14:val="standardContextual"/>
              </w:rPr>
              <w:tab/>
            </w:r>
            <w:r w:rsidR="00742C7E" w:rsidRPr="0001502E">
              <w:rPr>
                <w:rStyle w:val="Hyperlink"/>
              </w:rPr>
              <w:t>Reliability</w:t>
            </w:r>
            <w:r w:rsidR="00742C7E">
              <w:rPr>
                <w:webHidden/>
              </w:rPr>
              <w:tab/>
            </w:r>
            <w:r w:rsidR="00742C7E">
              <w:rPr>
                <w:webHidden/>
              </w:rPr>
              <w:fldChar w:fldCharType="begin"/>
            </w:r>
            <w:r w:rsidR="00742C7E">
              <w:rPr>
                <w:webHidden/>
              </w:rPr>
              <w:instrText xml:space="preserve"> PAGEREF _Toc156483699 \h </w:instrText>
            </w:r>
            <w:r w:rsidR="00742C7E">
              <w:rPr>
                <w:webHidden/>
              </w:rPr>
            </w:r>
            <w:r w:rsidR="00742C7E">
              <w:rPr>
                <w:webHidden/>
              </w:rPr>
              <w:fldChar w:fldCharType="separate"/>
            </w:r>
            <w:r w:rsidR="00742C7E">
              <w:rPr>
                <w:webHidden/>
              </w:rPr>
              <w:t>9</w:t>
            </w:r>
            <w:r w:rsidR="00742C7E">
              <w:rPr>
                <w:webHidden/>
              </w:rPr>
              <w:fldChar w:fldCharType="end"/>
            </w:r>
          </w:hyperlink>
        </w:p>
        <w:p w14:paraId="18AB2EAA" w14:textId="5F75EB38"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0" w:history="1">
            <w:r w:rsidR="00742C7E" w:rsidRPr="0001502E">
              <w:rPr>
                <w:rStyle w:val="Hyperlink"/>
              </w:rPr>
              <w:t>4.1.1</w:t>
            </w:r>
            <w:r w:rsidR="00742C7E">
              <w:rPr>
                <w:rFonts w:asciiTheme="minorHAnsi" w:eastAsiaTheme="minorEastAsia" w:hAnsiTheme="minorHAnsi" w:cstheme="minorBidi"/>
                <w:color w:val="auto"/>
                <w:kern w:val="2"/>
                <w14:ligatures w14:val="standardContextual"/>
              </w:rPr>
              <w:tab/>
            </w:r>
            <w:r w:rsidR="00742C7E" w:rsidRPr="0001502E">
              <w:rPr>
                <w:rStyle w:val="Hyperlink"/>
              </w:rPr>
              <w:t>Overview</w:t>
            </w:r>
            <w:r w:rsidR="00742C7E">
              <w:rPr>
                <w:webHidden/>
              </w:rPr>
              <w:tab/>
            </w:r>
            <w:r w:rsidR="00742C7E">
              <w:rPr>
                <w:webHidden/>
              </w:rPr>
              <w:fldChar w:fldCharType="begin"/>
            </w:r>
            <w:r w:rsidR="00742C7E">
              <w:rPr>
                <w:webHidden/>
              </w:rPr>
              <w:instrText xml:space="preserve"> PAGEREF _Toc156483700 \h </w:instrText>
            </w:r>
            <w:r w:rsidR="00742C7E">
              <w:rPr>
                <w:webHidden/>
              </w:rPr>
            </w:r>
            <w:r w:rsidR="00742C7E">
              <w:rPr>
                <w:webHidden/>
              </w:rPr>
              <w:fldChar w:fldCharType="separate"/>
            </w:r>
            <w:r w:rsidR="00742C7E">
              <w:rPr>
                <w:webHidden/>
              </w:rPr>
              <w:t>9</w:t>
            </w:r>
            <w:r w:rsidR="00742C7E">
              <w:rPr>
                <w:webHidden/>
              </w:rPr>
              <w:fldChar w:fldCharType="end"/>
            </w:r>
          </w:hyperlink>
        </w:p>
        <w:p w14:paraId="7A29EBFF" w14:textId="3FF24EF2"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1" w:history="1">
            <w:r w:rsidR="00742C7E" w:rsidRPr="0001502E">
              <w:rPr>
                <w:rStyle w:val="Hyperlink"/>
              </w:rPr>
              <w:t>4.1.2</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&amp; Azure Private DNS Reliability Checklist</w:t>
            </w:r>
            <w:r w:rsidR="00742C7E">
              <w:rPr>
                <w:webHidden/>
              </w:rPr>
              <w:tab/>
            </w:r>
            <w:r w:rsidR="00742C7E">
              <w:rPr>
                <w:webHidden/>
              </w:rPr>
              <w:fldChar w:fldCharType="begin"/>
            </w:r>
            <w:r w:rsidR="00742C7E">
              <w:rPr>
                <w:webHidden/>
              </w:rPr>
              <w:instrText xml:space="preserve"> PAGEREF _Toc156483701 \h </w:instrText>
            </w:r>
            <w:r w:rsidR="00742C7E">
              <w:rPr>
                <w:webHidden/>
              </w:rPr>
            </w:r>
            <w:r w:rsidR="00742C7E">
              <w:rPr>
                <w:webHidden/>
              </w:rPr>
              <w:fldChar w:fldCharType="separate"/>
            </w:r>
            <w:r w:rsidR="00742C7E">
              <w:rPr>
                <w:webHidden/>
              </w:rPr>
              <w:t>9</w:t>
            </w:r>
            <w:r w:rsidR="00742C7E">
              <w:rPr>
                <w:webHidden/>
              </w:rPr>
              <w:fldChar w:fldCharType="end"/>
            </w:r>
          </w:hyperlink>
        </w:p>
        <w:p w14:paraId="354F9757" w14:textId="24031B06" w:rsidR="00742C7E" w:rsidRDefault="00F759C6">
          <w:pPr>
            <w:pStyle w:val="TOC2"/>
            <w:rPr>
              <w:rFonts w:asciiTheme="minorHAnsi" w:eastAsiaTheme="minorEastAsia" w:hAnsiTheme="minorHAnsi" w:cstheme="minorBidi"/>
              <w:color w:val="auto"/>
              <w:kern w:val="2"/>
              <w14:ligatures w14:val="standardContextual"/>
            </w:rPr>
          </w:pPr>
          <w:hyperlink w:anchor="_Toc156483702" w:history="1">
            <w:r w:rsidR="00742C7E" w:rsidRPr="0001502E">
              <w:rPr>
                <w:rStyle w:val="Hyperlink"/>
                <w:spacing w:val="-8"/>
              </w:rPr>
              <w:t>4.2</w:t>
            </w:r>
            <w:r w:rsidR="00742C7E">
              <w:rPr>
                <w:rFonts w:asciiTheme="minorHAnsi" w:eastAsiaTheme="minorEastAsia" w:hAnsiTheme="minorHAnsi" w:cstheme="minorBidi"/>
                <w:color w:val="auto"/>
                <w:kern w:val="2"/>
                <w14:ligatures w14:val="standardContextual"/>
              </w:rPr>
              <w:tab/>
            </w:r>
            <w:r w:rsidR="00742C7E" w:rsidRPr="0001502E">
              <w:rPr>
                <w:rStyle w:val="Hyperlink"/>
              </w:rPr>
              <w:t>Cost Optimisation</w:t>
            </w:r>
            <w:r w:rsidR="00742C7E">
              <w:rPr>
                <w:webHidden/>
              </w:rPr>
              <w:tab/>
            </w:r>
            <w:r w:rsidR="00742C7E">
              <w:rPr>
                <w:webHidden/>
              </w:rPr>
              <w:fldChar w:fldCharType="begin"/>
            </w:r>
            <w:r w:rsidR="00742C7E">
              <w:rPr>
                <w:webHidden/>
              </w:rPr>
              <w:instrText xml:space="preserve"> PAGEREF _Toc156483702 \h </w:instrText>
            </w:r>
            <w:r w:rsidR="00742C7E">
              <w:rPr>
                <w:webHidden/>
              </w:rPr>
            </w:r>
            <w:r w:rsidR="00742C7E">
              <w:rPr>
                <w:webHidden/>
              </w:rPr>
              <w:fldChar w:fldCharType="separate"/>
            </w:r>
            <w:r w:rsidR="00742C7E">
              <w:rPr>
                <w:webHidden/>
              </w:rPr>
              <w:t>10</w:t>
            </w:r>
            <w:r w:rsidR="00742C7E">
              <w:rPr>
                <w:webHidden/>
              </w:rPr>
              <w:fldChar w:fldCharType="end"/>
            </w:r>
          </w:hyperlink>
        </w:p>
        <w:p w14:paraId="496DA844" w14:textId="4A0CACE0"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3" w:history="1">
            <w:r w:rsidR="00742C7E" w:rsidRPr="0001502E">
              <w:rPr>
                <w:rStyle w:val="Hyperlink"/>
              </w:rPr>
              <w:t>4.2.1</w:t>
            </w:r>
            <w:r w:rsidR="00742C7E">
              <w:rPr>
                <w:rFonts w:asciiTheme="minorHAnsi" w:eastAsiaTheme="minorEastAsia" w:hAnsiTheme="minorHAnsi" w:cstheme="minorBidi"/>
                <w:color w:val="auto"/>
                <w:kern w:val="2"/>
                <w14:ligatures w14:val="standardContextual"/>
              </w:rPr>
              <w:tab/>
            </w:r>
            <w:r w:rsidR="00742C7E" w:rsidRPr="0001502E">
              <w:rPr>
                <w:rStyle w:val="Hyperlink"/>
              </w:rPr>
              <w:t>Overview</w:t>
            </w:r>
            <w:r w:rsidR="00742C7E">
              <w:rPr>
                <w:webHidden/>
              </w:rPr>
              <w:tab/>
            </w:r>
            <w:r w:rsidR="00742C7E">
              <w:rPr>
                <w:webHidden/>
              </w:rPr>
              <w:fldChar w:fldCharType="begin"/>
            </w:r>
            <w:r w:rsidR="00742C7E">
              <w:rPr>
                <w:webHidden/>
              </w:rPr>
              <w:instrText xml:space="preserve"> PAGEREF _Toc156483703 \h </w:instrText>
            </w:r>
            <w:r w:rsidR="00742C7E">
              <w:rPr>
                <w:webHidden/>
              </w:rPr>
            </w:r>
            <w:r w:rsidR="00742C7E">
              <w:rPr>
                <w:webHidden/>
              </w:rPr>
              <w:fldChar w:fldCharType="separate"/>
            </w:r>
            <w:r w:rsidR="00742C7E">
              <w:rPr>
                <w:webHidden/>
              </w:rPr>
              <w:t>10</w:t>
            </w:r>
            <w:r w:rsidR="00742C7E">
              <w:rPr>
                <w:webHidden/>
              </w:rPr>
              <w:fldChar w:fldCharType="end"/>
            </w:r>
          </w:hyperlink>
        </w:p>
        <w:p w14:paraId="0EDD135F" w14:textId="7C271168"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4" w:history="1">
            <w:r w:rsidR="00742C7E" w:rsidRPr="0001502E">
              <w:rPr>
                <w:rStyle w:val="Hyperlink"/>
              </w:rPr>
              <w:t>4.2.2</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&amp; Azure Private DNS Cost Optimisation Checklist</w:t>
            </w:r>
            <w:r w:rsidR="00742C7E">
              <w:rPr>
                <w:webHidden/>
              </w:rPr>
              <w:tab/>
            </w:r>
            <w:r w:rsidR="00742C7E">
              <w:rPr>
                <w:webHidden/>
              </w:rPr>
              <w:fldChar w:fldCharType="begin"/>
            </w:r>
            <w:r w:rsidR="00742C7E">
              <w:rPr>
                <w:webHidden/>
              </w:rPr>
              <w:instrText xml:space="preserve"> PAGEREF _Toc156483704 \h </w:instrText>
            </w:r>
            <w:r w:rsidR="00742C7E">
              <w:rPr>
                <w:webHidden/>
              </w:rPr>
            </w:r>
            <w:r w:rsidR="00742C7E">
              <w:rPr>
                <w:webHidden/>
              </w:rPr>
              <w:fldChar w:fldCharType="separate"/>
            </w:r>
            <w:r w:rsidR="00742C7E">
              <w:rPr>
                <w:webHidden/>
              </w:rPr>
              <w:t>10</w:t>
            </w:r>
            <w:r w:rsidR="00742C7E">
              <w:rPr>
                <w:webHidden/>
              </w:rPr>
              <w:fldChar w:fldCharType="end"/>
            </w:r>
          </w:hyperlink>
        </w:p>
        <w:p w14:paraId="523CCEBF" w14:textId="701EA027" w:rsidR="00742C7E" w:rsidRDefault="00F759C6">
          <w:pPr>
            <w:pStyle w:val="TOC2"/>
            <w:rPr>
              <w:rFonts w:asciiTheme="minorHAnsi" w:eastAsiaTheme="minorEastAsia" w:hAnsiTheme="minorHAnsi" w:cstheme="minorBidi"/>
              <w:color w:val="auto"/>
              <w:kern w:val="2"/>
              <w14:ligatures w14:val="standardContextual"/>
            </w:rPr>
          </w:pPr>
          <w:hyperlink w:anchor="_Toc156483705" w:history="1">
            <w:r w:rsidR="00742C7E" w:rsidRPr="0001502E">
              <w:rPr>
                <w:rStyle w:val="Hyperlink"/>
                <w:spacing w:val="-8"/>
              </w:rPr>
              <w:t>4.3</w:t>
            </w:r>
            <w:r w:rsidR="00742C7E">
              <w:rPr>
                <w:rFonts w:asciiTheme="minorHAnsi" w:eastAsiaTheme="minorEastAsia" w:hAnsiTheme="minorHAnsi" w:cstheme="minorBidi"/>
                <w:color w:val="auto"/>
                <w:kern w:val="2"/>
                <w14:ligatures w14:val="standardContextual"/>
              </w:rPr>
              <w:tab/>
            </w:r>
            <w:r w:rsidR="00742C7E" w:rsidRPr="0001502E">
              <w:rPr>
                <w:rStyle w:val="Hyperlink"/>
              </w:rPr>
              <w:t>Operational Excellence</w:t>
            </w:r>
            <w:r w:rsidR="00742C7E">
              <w:rPr>
                <w:webHidden/>
              </w:rPr>
              <w:tab/>
            </w:r>
            <w:r w:rsidR="00742C7E">
              <w:rPr>
                <w:webHidden/>
              </w:rPr>
              <w:fldChar w:fldCharType="begin"/>
            </w:r>
            <w:r w:rsidR="00742C7E">
              <w:rPr>
                <w:webHidden/>
              </w:rPr>
              <w:instrText xml:space="preserve"> PAGEREF _Toc156483705 \h </w:instrText>
            </w:r>
            <w:r w:rsidR="00742C7E">
              <w:rPr>
                <w:webHidden/>
              </w:rPr>
            </w:r>
            <w:r w:rsidR="00742C7E">
              <w:rPr>
                <w:webHidden/>
              </w:rPr>
              <w:fldChar w:fldCharType="separate"/>
            </w:r>
            <w:r w:rsidR="00742C7E">
              <w:rPr>
                <w:webHidden/>
              </w:rPr>
              <w:t>10</w:t>
            </w:r>
            <w:r w:rsidR="00742C7E">
              <w:rPr>
                <w:webHidden/>
              </w:rPr>
              <w:fldChar w:fldCharType="end"/>
            </w:r>
          </w:hyperlink>
        </w:p>
        <w:p w14:paraId="01D447D0" w14:textId="6CE77037"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6" w:history="1">
            <w:r w:rsidR="00742C7E" w:rsidRPr="0001502E">
              <w:rPr>
                <w:rStyle w:val="Hyperlink"/>
              </w:rPr>
              <w:t>4.3.1</w:t>
            </w:r>
            <w:r w:rsidR="00742C7E">
              <w:rPr>
                <w:rFonts w:asciiTheme="minorHAnsi" w:eastAsiaTheme="minorEastAsia" w:hAnsiTheme="minorHAnsi" w:cstheme="minorBidi"/>
                <w:color w:val="auto"/>
                <w:kern w:val="2"/>
                <w14:ligatures w14:val="standardContextual"/>
              </w:rPr>
              <w:tab/>
            </w:r>
            <w:r w:rsidR="00742C7E" w:rsidRPr="0001502E">
              <w:rPr>
                <w:rStyle w:val="Hyperlink"/>
              </w:rPr>
              <w:t>Overview</w:t>
            </w:r>
            <w:r w:rsidR="00742C7E">
              <w:rPr>
                <w:webHidden/>
              </w:rPr>
              <w:tab/>
            </w:r>
            <w:r w:rsidR="00742C7E">
              <w:rPr>
                <w:webHidden/>
              </w:rPr>
              <w:fldChar w:fldCharType="begin"/>
            </w:r>
            <w:r w:rsidR="00742C7E">
              <w:rPr>
                <w:webHidden/>
              </w:rPr>
              <w:instrText xml:space="preserve"> PAGEREF _Toc156483706 \h </w:instrText>
            </w:r>
            <w:r w:rsidR="00742C7E">
              <w:rPr>
                <w:webHidden/>
              </w:rPr>
            </w:r>
            <w:r w:rsidR="00742C7E">
              <w:rPr>
                <w:webHidden/>
              </w:rPr>
              <w:fldChar w:fldCharType="separate"/>
            </w:r>
            <w:r w:rsidR="00742C7E">
              <w:rPr>
                <w:webHidden/>
              </w:rPr>
              <w:t>10</w:t>
            </w:r>
            <w:r w:rsidR="00742C7E">
              <w:rPr>
                <w:webHidden/>
              </w:rPr>
              <w:fldChar w:fldCharType="end"/>
            </w:r>
          </w:hyperlink>
        </w:p>
        <w:p w14:paraId="47D3A28C" w14:textId="6EA7126A"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7" w:history="1">
            <w:r w:rsidR="00742C7E" w:rsidRPr="0001502E">
              <w:rPr>
                <w:rStyle w:val="Hyperlink"/>
              </w:rPr>
              <w:t>4.3.2</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&amp; Azure Private DNS Operational Excellence Checklist</w:t>
            </w:r>
            <w:r w:rsidR="00742C7E">
              <w:rPr>
                <w:webHidden/>
              </w:rPr>
              <w:tab/>
            </w:r>
            <w:r w:rsidR="00742C7E">
              <w:rPr>
                <w:webHidden/>
              </w:rPr>
              <w:fldChar w:fldCharType="begin"/>
            </w:r>
            <w:r w:rsidR="00742C7E">
              <w:rPr>
                <w:webHidden/>
              </w:rPr>
              <w:instrText xml:space="preserve"> PAGEREF _Toc156483707 \h </w:instrText>
            </w:r>
            <w:r w:rsidR="00742C7E">
              <w:rPr>
                <w:webHidden/>
              </w:rPr>
            </w:r>
            <w:r w:rsidR="00742C7E">
              <w:rPr>
                <w:webHidden/>
              </w:rPr>
              <w:fldChar w:fldCharType="separate"/>
            </w:r>
            <w:r w:rsidR="00742C7E">
              <w:rPr>
                <w:webHidden/>
              </w:rPr>
              <w:t>10</w:t>
            </w:r>
            <w:r w:rsidR="00742C7E">
              <w:rPr>
                <w:webHidden/>
              </w:rPr>
              <w:fldChar w:fldCharType="end"/>
            </w:r>
          </w:hyperlink>
        </w:p>
        <w:p w14:paraId="1D0FA03E" w14:textId="4B6A4F85" w:rsidR="00742C7E" w:rsidRDefault="00F759C6">
          <w:pPr>
            <w:pStyle w:val="TOC2"/>
            <w:rPr>
              <w:rFonts w:asciiTheme="minorHAnsi" w:eastAsiaTheme="minorEastAsia" w:hAnsiTheme="minorHAnsi" w:cstheme="minorBidi"/>
              <w:color w:val="auto"/>
              <w:kern w:val="2"/>
              <w14:ligatures w14:val="standardContextual"/>
            </w:rPr>
          </w:pPr>
          <w:hyperlink w:anchor="_Toc156483708" w:history="1">
            <w:r w:rsidR="00742C7E" w:rsidRPr="0001502E">
              <w:rPr>
                <w:rStyle w:val="Hyperlink"/>
                <w:spacing w:val="-8"/>
              </w:rPr>
              <w:t>4.4</w:t>
            </w:r>
            <w:r w:rsidR="00742C7E">
              <w:rPr>
                <w:rFonts w:asciiTheme="minorHAnsi" w:eastAsiaTheme="minorEastAsia" w:hAnsiTheme="minorHAnsi" w:cstheme="minorBidi"/>
                <w:color w:val="auto"/>
                <w:kern w:val="2"/>
                <w14:ligatures w14:val="standardContextual"/>
              </w:rPr>
              <w:tab/>
            </w:r>
            <w:r w:rsidR="00742C7E" w:rsidRPr="0001502E">
              <w:rPr>
                <w:rStyle w:val="Hyperlink"/>
              </w:rPr>
              <w:t>Performance Efficiency</w:t>
            </w:r>
            <w:r w:rsidR="00742C7E">
              <w:rPr>
                <w:webHidden/>
              </w:rPr>
              <w:tab/>
            </w:r>
            <w:r w:rsidR="00742C7E">
              <w:rPr>
                <w:webHidden/>
              </w:rPr>
              <w:fldChar w:fldCharType="begin"/>
            </w:r>
            <w:r w:rsidR="00742C7E">
              <w:rPr>
                <w:webHidden/>
              </w:rPr>
              <w:instrText xml:space="preserve"> PAGEREF _Toc156483708 \h </w:instrText>
            </w:r>
            <w:r w:rsidR="00742C7E">
              <w:rPr>
                <w:webHidden/>
              </w:rPr>
            </w:r>
            <w:r w:rsidR="00742C7E">
              <w:rPr>
                <w:webHidden/>
              </w:rPr>
              <w:fldChar w:fldCharType="separate"/>
            </w:r>
            <w:r w:rsidR="00742C7E">
              <w:rPr>
                <w:webHidden/>
              </w:rPr>
              <w:t>11</w:t>
            </w:r>
            <w:r w:rsidR="00742C7E">
              <w:rPr>
                <w:webHidden/>
              </w:rPr>
              <w:fldChar w:fldCharType="end"/>
            </w:r>
          </w:hyperlink>
        </w:p>
        <w:p w14:paraId="7B832AA9" w14:textId="3F3BBBA0"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09" w:history="1">
            <w:r w:rsidR="00742C7E" w:rsidRPr="0001502E">
              <w:rPr>
                <w:rStyle w:val="Hyperlink"/>
              </w:rPr>
              <w:t>4.4.1</w:t>
            </w:r>
            <w:r w:rsidR="00742C7E">
              <w:rPr>
                <w:rFonts w:asciiTheme="minorHAnsi" w:eastAsiaTheme="minorEastAsia" w:hAnsiTheme="minorHAnsi" w:cstheme="minorBidi"/>
                <w:color w:val="auto"/>
                <w:kern w:val="2"/>
                <w14:ligatures w14:val="standardContextual"/>
              </w:rPr>
              <w:tab/>
            </w:r>
            <w:r w:rsidR="00742C7E" w:rsidRPr="0001502E">
              <w:rPr>
                <w:rStyle w:val="Hyperlink"/>
              </w:rPr>
              <w:t>Overview</w:t>
            </w:r>
            <w:r w:rsidR="00742C7E">
              <w:rPr>
                <w:webHidden/>
              </w:rPr>
              <w:tab/>
            </w:r>
            <w:r w:rsidR="00742C7E">
              <w:rPr>
                <w:webHidden/>
              </w:rPr>
              <w:fldChar w:fldCharType="begin"/>
            </w:r>
            <w:r w:rsidR="00742C7E">
              <w:rPr>
                <w:webHidden/>
              </w:rPr>
              <w:instrText xml:space="preserve"> PAGEREF _Toc156483709 \h </w:instrText>
            </w:r>
            <w:r w:rsidR="00742C7E">
              <w:rPr>
                <w:webHidden/>
              </w:rPr>
            </w:r>
            <w:r w:rsidR="00742C7E">
              <w:rPr>
                <w:webHidden/>
              </w:rPr>
              <w:fldChar w:fldCharType="separate"/>
            </w:r>
            <w:r w:rsidR="00742C7E">
              <w:rPr>
                <w:webHidden/>
              </w:rPr>
              <w:t>11</w:t>
            </w:r>
            <w:r w:rsidR="00742C7E">
              <w:rPr>
                <w:webHidden/>
              </w:rPr>
              <w:fldChar w:fldCharType="end"/>
            </w:r>
          </w:hyperlink>
        </w:p>
        <w:p w14:paraId="720881D0" w14:textId="43B10E87"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10" w:history="1">
            <w:r w:rsidR="00742C7E" w:rsidRPr="0001502E">
              <w:rPr>
                <w:rStyle w:val="Hyperlink"/>
              </w:rPr>
              <w:t>4.4.2</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&amp; Azure Private DNS Performance Efficiency Checklist</w:t>
            </w:r>
            <w:r w:rsidR="00742C7E">
              <w:rPr>
                <w:webHidden/>
              </w:rPr>
              <w:tab/>
            </w:r>
            <w:r w:rsidR="00742C7E">
              <w:rPr>
                <w:webHidden/>
              </w:rPr>
              <w:fldChar w:fldCharType="begin"/>
            </w:r>
            <w:r w:rsidR="00742C7E">
              <w:rPr>
                <w:webHidden/>
              </w:rPr>
              <w:instrText xml:space="preserve"> PAGEREF _Toc156483710 \h </w:instrText>
            </w:r>
            <w:r w:rsidR="00742C7E">
              <w:rPr>
                <w:webHidden/>
              </w:rPr>
            </w:r>
            <w:r w:rsidR="00742C7E">
              <w:rPr>
                <w:webHidden/>
              </w:rPr>
              <w:fldChar w:fldCharType="separate"/>
            </w:r>
            <w:r w:rsidR="00742C7E">
              <w:rPr>
                <w:webHidden/>
              </w:rPr>
              <w:t>11</w:t>
            </w:r>
            <w:r w:rsidR="00742C7E">
              <w:rPr>
                <w:webHidden/>
              </w:rPr>
              <w:fldChar w:fldCharType="end"/>
            </w:r>
          </w:hyperlink>
        </w:p>
        <w:p w14:paraId="4B690278" w14:textId="23A8B1D1" w:rsidR="00742C7E" w:rsidRDefault="00F759C6">
          <w:pPr>
            <w:pStyle w:val="TOC2"/>
            <w:rPr>
              <w:rFonts w:asciiTheme="minorHAnsi" w:eastAsiaTheme="minorEastAsia" w:hAnsiTheme="minorHAnsi" w:cstheme="minorBidi"/>
              <w:color w:val="auto"/>
              <w:kern w:val="2"/>
              <w14:ligatures w14:val="standardContextual"/>
            </w:rPr>
          </w:pPr>
          <w:hyperlink w:anchor="_Toc156483711" w:history="1">
            <w:r w:rsidR="00742C7E" w:rsidRPr="0001502E">
              <w:rPr>
                <w:rStyle w:val="Hyperlink"/>
                <w:spacing w:val="-8"/>
              </w:rPr>
              <w:t>4.5</w:t>
            </w:r>
            <w:r w:rsidR="00742C7E">
              <w:rPr>
                <w:rFonts w:asciiTheme="minorHAnsi" w:eastAsiaTheme="minorEastAsia" w:hAnsiTheme="minorHAnsi" w:cstheme="minorBidi"/>
                <w:color w:val="auto"/>
                <w:kern w:val="2"/>
                <w14:ligatures w14:val="standardContextual"/>
              </w:rPr>
              <w:tab/>
            </w:r>
            <w:r w:rsidR="00742C7E" w:rsidRPr="0001502E">
              <w:rPr>
                <w:rStyle w:val="Hyperlink"/>
              </w:rPr>
              <w:t>Security</w:t>
            </w:r>
            <w:r w:rsidR="00742C7E">
              <w:rPr>
                <w:webHidden/>
              </w:rPr>
              <w:tab/>
            </w:r>
            <w:r w:rsidR="00742C7E">
              <w:rPr>
                <w:webHidden/>
              </w:rPr>
              <w:fldChar w:fldCharType="begin"/>
            </w:r>
            <w:r w:rsidR="00742C7E">
              <w:rPr>
                <w:webHidden/>
              </w:rPr>
              <w:instrText xml:space="preserve"> PAGEREF _Toc156483711 \h </w:instrText>
            </w:r>
            <w:r w:rsidR="00742C7E">
              <w:rPr>
                <w:webHidden/>
              </w:rPr>
            </w:r>
            <w:r w:rsidR="00742C7E">
              <w:rPr>
                <w:webHidden/>
              </w:rPr>
              <w:fldChar w:fldCharType="separate"/>
            </w:r>
            <w:r w:rsidR="00742C7E">
              <w:rPr>
                <w:webHidden/>
              </w:rPr>
              <w:t>11</w:t>
            </w:r>
            <w:r w:rsidR="00742C7E">
              <w:rPr>
                <w:webHidden/>
              </w:rPr>
              <w:fldChar w:fldCharType="end"/>
            </w:r>
          </w:hyperlink>
        </w:p>
        <w:p w14:paraId="1690A3D1" w14:textId="6DB38AA6"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12" w:history="1">
            <w:r w:rsidR="00742C7E" w:rsidRPr="0001502E">
              <w:rPr>
                <w:rStyle w:val="Hyperlink"/>
              </w:rPr>
              <w:t>4.5.1</w:t>
            </w:r>
            <w:r w:rsidR="00742C7E">
              <w:rPr>
                <w:rFonts w:asciiTheme="minorHAnsi" w:eastAsiaTheme="minorEastAsia" w:hAnsiTheme="minorHAnsi" w:cstheme="minorBidi"/>
                <w:color w:val="auto"/>
                <w:kern w:val="2"/>
                <w14:ligatures w14:val="standardContextual"/>
              </w:rPr>
              <w:tab/>
            </w:r>
            <w:r w:rsidR="00742C7E" w:rsidRPr="0001502E">
              <w:rPr>
                <w:rStyle w:val="Hyperlink"/>
              </w:rPr>
              <w:t>Overview</w:t>
            </w:r>
            <w:r w:rsidR="00742C7E">
              <w:rPr>
                <w:webHidden/>
              </w:rPr>
              <w:tab/>
            </w:r>
            <w:r w:rsidR="00742C7E">
              <w:rPr>
                <w:webHidden/>
              </w:rPr>
              <w:fldChar w:fldCharType="begin"/>
            </w:r>
            <w:r w:rsidR="00742C7E">
              <w:rPr>
                <w:webHidden/>
              </w:rPr>
              <w:instrText xml:space="preserve"> PAGEREF _Toc156483712 \h </w:instrText>
            </w:r>
            <w:r w:rsidR="00742C7E">
              <w:rPr>
                <w:webHidden/>
              </w:rPr>
            </w:r>
            <w:r w:rsidR="00742C7E">
              <w:rPr>
                <w:webHidden/>
              </w:rPr>
              <w:fldChar w:fldCharType="separate"/>
            </w:r>
            <w:r w:rsidR="00742C7E">
              <w:rPr>
                <w:webHidden/>
              </w:rPr>
              <w:t>11</w:t>
            </w:r>
            <w:r w:rsidR="00742C7E">
              <w:rPr>
                <w:webHidden/>
              </w:rPr>
              <w:fldChar w:fldCharType="end"/>
            </w:r>
          </w:hyperlink>
        </w:p>
        <w:p w14:paraId="45E943D2" w14:textId="0E2D6137"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713" w:history="1">
            <w:r w:rsidR="00742C7E" w:rsidRPr="0001502E">
              <w:rPr>
                <w:rStyle w:val="Hyperlink"/>
                <w:rFonts w:cs="Arial"/>
              </w:rPr>
              <w:t>5.</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Architecture Summary</w:t>
            </w:r>
            <w:r w:rsidR="00742C7E">
              <w:rPr>
                <w:webHidden/>
              </w:rPr>
              <w:tab/>
            </w:r>
            <w:r w:rsidR="00742C7E">
              <w:rPr>
                <w:webHidden/>
              </w:rPr>
              <w:fldChar w:fldCharType="begin"/>
            </w:r>
            <w:r w:rsidR="00742C7E">
              <w:rPr>
                <w:webHidden/>
              </w:rPr>
              <w:instrText xml:space="preserve"> PAGEREF _Toc156483713 \h </w:instrText>
            </w:r>
            <w:r w:rsidR="00742C7E">
              <w:rPr>
                <w:webHidden/>
              </w:rPr>
            </w:r>
            <w:r w:rsidR="00742C7E">
              <w:rPr>
                <w:webHidden/>
              </w:rPr>
              <w:fldChar w:fldCharType="separate"/>
            </w:r>
            <w:r w:rsidR="00742C7E">
              <w:rPr>
                <w:webHidden/>
              </w:rPr>
              <w:t>12</w:t>
            </w:r>
            <w:r w:rsidR="00742C7E">
              <w:rPr>
                <w:webHidden/>
              </w:rPr>
              <w:fldChar w:fldCharType="end"/>
            </w:r>
          </w:hyperlink>
        </w:p>
        <w:p w14:paraId="20DBA04A" w14:textId="1AE4EEE3" w:rsidR="00742C7E" w:rsidRDefault="00F759C6">
          <w:pPr>
            <w:pStyle w:val="TOC2"/>
            <w:rPr>
              <w:rFonts w:asciiTheme="minorHAnsi" w:eastAsiaTheme="minorEastAsia" w:hAnsiTheme="minorHAnsi" w:cstheme="minorBidi"/>
              <w:color w:val="auto"/>
              <w:kern w:val="2"/>
              <w14:ligatures w14:val="standardContextual"/>
            </w:rPr>
          </w:pPr>
          <w:hyperlink w:anchor="_Toc156483714" w:history="1">
            <w:r w:rsidR="00742C7E" w:rsidRPr="0001502E">
              <w:rPr>
                <w:rStyle w:val="Hyperlink"/>
                <w:spacing w:val="-8"/>
              </w:rPr>
              <w:t>5.1</w:t>
            </w:r>
            <w:r w:rsidR="00742C7E">
              <w:rPr>
                <w:rFonts w:asciiTheme="minorHAnsi" w:eastAsiaTheme="minorEastAsia" w:hAnsiTheme="minorHAnsi" w:cstheme="minorBidi"/>
                <w:color w:val="auto"/>
                <w:kern w:val="2"/>
                <w14:ligatures w14:val="standardContextual"/>
              </w:rPr>
              <w:tab/>
            </w:r>
            <w:r w:rsidR="00742C7E" w:rsidRPr="0001502E">
              <w:rPr>
                <w:rStyle w:val="Hyperlink"/>
              </w:rPr>
              <w:t>Resource Overview</w:t>
            </w:r>
            <w:r w:rsidR="00742C7E">
              <w:rPr>
                <w:webHidden/>
              </w:rPr>
              <w:tab/>
            </w:r>
            <w:r w:rsidR="00742C7E">
              <w:rPr>
                <w:webHidden/>
              </w:rPr>
              <w:fldChar w:fldCharType="begin"/>
            </w:r>
            <w:r w:rsidR="00742C7E">
              <w:rPr>
                <w:webHidden/>
              </w:rPr>
              <w:instrText xml:space="preserve"> PAGEREF _Toc156483714 \h </w:instrText>
            </w:r>
            <w:r w:rsidR="00742C7E">
              <w:rPr>
                <w:webHidden/>
              </w:rPr>
            </w:r>
            <w:r w:rsidR="00742C7E">
              <w:rPr>
                <w:webHidden/>
              </w:rPr>
              <w:fldChar w:fldCharType="separate"/>
            </w:r>
            <w:r w:rsidR="00742C7E">
              <w:rPr>
                <w:webHidden/>
              </w:rPr>
              <w:t>12</w:t>
            </w:r>
            <w:r w:rsidR="00742C7E">
              <w:rPr>
                <w:webHidden/>
              </w:rPr>
              <w:fldChar w:fldCharType="end"/>
            </w:r>
          </w:hyperlink>
        </w:p>
        <w:p w14:paraId="24A0F7EC" w14:textId="36DDC9B7" w:rsidR="00742C7E" w:rsidRDefault="00F759C6">
          <w:pPr>
            <w:pStyle w:val="TOC2"/>
            <w:rPr>
              <w:rFonts w:asciiTheme="minorHAnsi" w:eastAsiaTheme="minorEastAsia" w:hAnsiTheme="minorHAnsi" w:cstheme="minorBidi"/>
              <w:color w:val="auto"/>
              <w:kern w:val="2"/>
              <w14:ligatures w14:val="standardContextual"/>
            </w:rPr>
          </w:pPr>
          <w:hyperlink w:anchor="_Toc156483715" w:history="1">
            <w:r w:rsidR="00742C7E" w:rsidRPr="0001502E">
              <w:rPr>
                <w:rStyle w:val="Hyperlink"/>
                <w:spacing w:val="-8"/>
              </w:rPr>
              <w:t>5.2</w:t>
            </w:r>
            <w:r w:rsidR="00742C7E">
              <w:rPr>
                <w:rFonts w:asciiTheme="minorHAnsi" w:eastAsiaTheme="minorEastAsia" w:hAnsiTheme="minorHAnsi" w:cstheme="minorBidi"/>
                <w:color w:val="auto"/>
                <w:kern w:val="2"/>
                <w14:ligatures w14:val="standardContextual"/>
              </w:rPr>
              <w:tab/>
            </w:r>
            <w:r w:rsidR="00742C7E" w:rsidRPr="0001502E">
              <w:rPr>
                <w:rStyle w:val="Hyperlink"/>
              </w:rPr>
              <w:t>Resource Centralisation</w:t>
            </w:r>
            <w:r w:rsidR="00742C7E">
              <w:rPr>
                <w:webHidden/>
              </w:rPr>
              <w:tab/>
            </w:r>
            <w:r w:rsidR="00742C7E">
              <w:rPr>
                <w:webHidden/>
              </w:rPr>
              <w:fldChar w:fldCharType="begin"/>
            </w:r>
            <w:r w:rsidR="00742C7E">
              <w:rPr>
                <w:webHidden/>
              </w:rPr>
              <w:instrText xml:space="preserve"> PAGEREF _Toc156483715 \h </w:instrText>
            </w:r>
            <w:r w:rsidR="00742C7E">
              <w:rPr>
                <w:webHidden/>
              </w:rPr>
            </w:r>
            <w:r w:rsidR="00742C7E">
              <w:rPr>
                <w:webHidden/>
              </w:rPr>
              <w:fldChar w:fldCharType="separate"/>
            </w:r>
            <w:r w:rsidR="00742C7E">
              <w:rPr>
                <w:webHidden/>
              </w:rPr>
              <w:t>12</w:t>
            </w:r>
            <w:r w:rsidR="00742C7E">
              <w:rPr>
                <w:webHidden/>
              </w:rPr>
              <w:fldChar w:fldCharType="end"/>
            </w:r>
          </w:hyperlink>
        </w:p>
        <w:p w14:paraId="4E53E5AF" w14:textId="664EC167" w:rsidR="00742C7E" w:rsidRDefault="00F759C6">
          <w:pPr>
            <w:pStyle w:val="TOC2"/>
            <w:rPr>
              <w:rFonts w:asciiTheme="minorHAnsi" w:eastAsiaTheme="minorEastAsia" w:hAnsiTheme="minorHAnsi" w:cstheme="minorBidi"/>
              <w:color w:val="auto"/>
              <w:kern w:val="2"/>
              <w14:ligatures w14:val="standardContextual"/>
            </w:rPr>
          </w:pPr>
          <w:hyperlink w:anchor="_Toc156483716" w:history="1">
            <w:r w:rsidR="00742C7E" w:rsidRPr="0001502E">
              <w:rPr>
                <w:rStyle w:val="Hyperlink"/>
                <w:spacing w:val="-8"/>
              </w:rPr>
              <w:t>5.3</w:t>
            </w:r>
            <w:r w:rsidR="00742C7E">
              <w:rPr>
                <w:rFonts w:asciiTheme="minorHAnsi" w:eastAsiaTheme="minorEastAsia" w:hAnsiTheme="minorHAnsi" w:cstheme="minorBidi"/>
                <w:color w:val="auto"/>
                <w:kern w:val="2"/>
                <w14:ligatures w14:val="standardContextual"/>
              </w:rPr>
              <w:tab/>
            </w:r>
            <w:r w:rsidR="00742C7E" w:rsidRPr="0001502E">
              <w:rPr>
                <w:rStyle w:val="Hyperlink"/>
              </w:rPr>
              <w:t>RBAC</w:t>
            </w:r>
            <w:r w:rsidR="00742C7E">
              <w:rPr>
                <w:webHidden/>
              </w:rPr>
              <w:tab/>
            </w:r>
            <w:r w:rsidR="00742C7E">
              <w:rPr>
                <w:webHidden/>
              </w:rPr>
              <w:fldChar w:fldCharType="begin"/>
            </w:r>
            <w:r w:rsidR="00742C7E">
              <w:rPr>
                <w:webHidden/>
              </w:rPr>
              <w:instrText xml:space="preserve"> PAGEREF _Toc156483716 \h </w:instrText>
            </w:r>
            <w:r w:rsidR="00742C7E">
              <w:rPr>
                <w:webHidden/>
              </w:rPr>
            </w:r>
            <w:r w:rsidR="00742C7E">
              <w:rPr>
                <w:webHidden/>
              </w:rPr>
              <w:fldChar w:fldCharType="separate"/>
            </w:r>
            <w:r w:rsidR="00742C7E">
              <w:rPr>
                <w:webHidden/>
              </w:rPr>
              <w:t>13</w:t>
            </w:r>
            <w:r w:rsidR="00742C7E">
              <w:rPr>
                <w:webHidden/>
              </w:rPr>
              <w:fldChar w:fldCharType="end"/>
            </w:r>
          </w:hyperlink>
        </w:p>
        <w:p w14:paraId="039F5952" w14:textId="1C05CE64" w:rsidR="00742C7E" w:rsidRDefault="00F759C6">
          <w:pPr>
            <w:pStyle w:val="TOC2"/>
            <w:rPr>
              <w:rFonts w:asciiTheme="minorHAnsi" w:eastAsiaTheme="minorEastAsia" w:hAnsiTheme="minorHAnsi" w:cstheme="minorBidi"/>
              <w:color w:val="auto"/>
              <w:kern w:val="2"/>
              <w14:ligatures w14:val="standardContextual"/>
            </w:rPr>
          </w:pPr>
          <w:hyperlink w:anchor="_Toc156483717" w:history="1">
            <w:r w:rsidR="00742C7E" w:rsidRPr="0001502E">
              <w:rPr>
                <w:rStyle w:val="Hyperlink"/>
                <w:spacing w:val="-8"/>
              </w:rPr>
              <w:t>5.4</w:t>
            </w:r>
            <w:r w:rsidR="00742C7E">
              <w:rPr>
                <w:rFonts w:asciiTheme="minorHAnsi" w:eastAsiaTheme="minorEastAsia" w:hAnsiTheme="minorHAnsi" w:cstheme="minorBidi"/>
                <w:color w:val="auto"/>
                <w:kern w:val="2"/>
                <w14:ligatures w14:val="standardContextual"/>
              </w:rPr>
              <w:tab/>
            </w:r>
            <w:r w:rsidR="00742C7E" w:rsidRPr="0001502E">
              <w:rPr>
                <w:rStyle w:val="Hyperlink"/>
              </w:rPr>
              <w:t>Solution Diagram</w:t>
            </w:r>
            <w:r w:rsidR="00742C7E">
              <w:rPr>
                <w:webHidden/>
              </w:rPr>
              <w:tab/>
            </w:r>
            <w:r w:rsidR="00742C7E">
              <w:rPr>
                <w:webHidden/>
              </w:rPr>
              <w:fldChar w:fldCharType="begin"/>
            </w:r>
            <w:r w:rsidR="00742C7E">
              <w:rPr>
                <w:webHidden/>
              </w:rPr>
              <w:instrText xml:space="preserve"> PAGEREF _Toc156483717 \h </w:instrText>
            </w:r>
            <w:r w:rsidR="00742C7E">
              <w:rPr>
                <w:webHidden/>
              </w:rPr>
            </w:r>
            <w:r w:rsidR="00742C7E">
              <w:rPr>
                <w:webHidden/>
              </w:rPr>
              <w:fldChar w:fldCharType="separate"/>
            </w:r>
            <w:r w:rsidR="00742C7E">
              <w:rPr>
                <w:webHidden/>
              </w:rPr>
              <w:t>13</w:t>
            </w:r>
            <w:r w:rsidR="00742C7E">
              <w:rPr>
                <w:webHidden/>
              </w:rPr>
              <w:fldChar w:fldCharType="end"/>
            </w:r>
          </w:hyperlink>
        </w:p>
        <w:p w14:paraId="1332641A" w14:textId="1D15B073" w:rsidR="00742C7E" w:rsidRDefault="00F759C6">
          <w:pPr>
            <w:pStyle w:val="TOC2"/>
            <w:rPr>
              <w:rFonts w:asciiTheme="minorHAnsi" w:eastAsiaTheme="minorEastAsia" w:hAnsiTheme="minorHAnsi" w:cstheme="minorBidi"/>
              <w:color w:val="auto"/>
              <w:kern w:val="2"/>
              <w14:ligatures w14:val="standardContextual"/>
            </w:rPr>
          </w:pPr>
          <w:hyperlink w:anchor="_Toc156483718" w:history="1">
            <w:r w:rsidR="00742C7E" w:rsidRPr="0001502E">
              <w:rPr>
                <w:rStyle w:val="Hyperlink"/>
                <w:spacing w:val="-8"/>
              </w:rPr>
              <w:t>5.5</w:t>
            </w:r>
            <w:r w:rsidR="00742C7E">
              <w:rPr>
                <w:rFonts w:asciiTheme="minorHAnsi" w:eastAsiaTheme="minorEastAsia" w:hAnsiTheme="minorHAnsi" w:cstheme="minorBidi"/>
                <w:color w:val="auto"/>
                <w:kern w:val="2"/>
                <w14:ligatures w14:val="standardContextual"/>
              </w:rPr>
              <w:tab/>
            </w:r>
            <w:r w:rsidR="00742C7E" w:rsidRPr="0001502E">
              <w:rPr>
                <w:rStyle w:val="Hyperlink"/>
              </w:rPr>
              <w:t>Design Decisions and Justifications</w:t>
            </w:r>
            <w:r w:rsidR="00742C7E">
              <w:rPr>
                <w:webHidden/>
              </w:rPr>
              <w:tab/>
            </w:r>
            <w:r w:rsidR="00742C7E">
              <w:rPr>
                <w:webHidden/>
              </w:rPr>
              <w:fldChar w:fldCharType="begin"/>
            </w:r>
            <w:r w:rsidR="00742C7E">
              <w:rPr>
                <w:webHidden/>
              </w:rPr>
              <w:instrText xml:space="preserve"> PAGEREF _Toc156483718 \h </w:instrText>
            </w:r>
            <w:r w:rsidR="00742C7E">
              <w:rPr>
                <w:webHidden/>
              </w:rPr>
            </w:r>
            <w:r w:rsidR="00742C7E">
              <w:rPr>
                <w:webHidden/>
              </w:rPr>
              <w:fldChar w:fldCharType="separate"/>
            </w:r>
            <w:r w:rsidR="00742C7E">
              <w:rPr>
                <w:webHidden/>
              </w:rPr>
              <w:t>14</w:t>
            </w:r>
            <w:r w:rsidR="00742C7E">
              <w:rPr>
                <w:webHidden/>
              </w:rPr>
              <w:fldChar w:fldCharType="end"/>
            </w:r>
          </w:hyperlink>
        </w:p>
        <w:p w14:paraId="0F36ED99" w14:textId="44A3B101"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19" w:history="1">
            <w:r w:rsidR="00742C7E" w:rsidRPr="0001502E">
              <w:rPr>
                <w:rStyle w:val="Hyperlink"/>
              </w:rPr>
              <w:t>5.5.1</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Use</w:t>
            </w:r>
            <w:r w:rsidR="00742C7E">
              <w:rPr>
                <w:webHidden/>
              </w:rPr>
              <w:tab/>
            </w:r>
            <w:r w:rsidR="00742C7E">
              <w:rPr>
                <w:webHidden/>
              </w:rPr>
              <w:fldChar w:fldCharType="begin"/>
            </w:r>
            <w:r w:rsidR="00742C7E">
              <w:rPr>
                <w:webHidden/>
              </w:rPr>
              <w:instrText xml:space="preserve"> PAGEREF _Toc156483719 \h </w:instrText>
            </w:r>
            <w:r w:rsidR="00742C7E">
              <w:rPr>
                <w:webHidden/>
              </w:rPr>
            </w:r>
            <w:r w:rsidR="00742C7E">
              <w:rPr>
                <w:webHidden/>
              </w:rPr>
              <w:fldChar w:fldCharType="separate"/>
            </w:r>
            <w:r w:rsidR="00742C7E">
              <w:rPr>
                <w:webHidden/>
              </w:rPr>
              <w:t>14</w:t>
            </w:r>
            <w:r w:rsidR="00742C7E">
              <w:rPr>
                <w:webHidden/>
              </w:rPr>
              <w:fldChar w:fldCharType="end"/>
            </w:r>
          </w:hyperlink>
        </w:p>
        <w:p w14:paraId="4945CA3E" w14:textId="2513C31E"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0" w:history="1">
            <w:r w:rsidR="00742C7E" w:rsidRPr="0001502E">
              <w:rPr>
                <w:rStyle w:val="Hyperlink"/>
              </w:rPr>
              <w:t>5.5.2</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Endpoint Policies</w:t>
            </w:r>
            <w:r w:rsidR="00742C7E">
              <w:rPr>
                <w:webHidden/>
              </w:rPr>
              <w:tab/>
            </w:r>
            <w:r w:rsidR="00742C7E">
              <w:rPr>
                <w:webHidden/>
              </w:rPr>
              <w:fldChar w:fldCharType="begin"/>
            </w:r>
            <w:r w:rsidR="00742C7E">
              <w:rPr>
                <w:webHidden/>
              </w:rPr>
              <w:instrText xml:space="preserve"> PAGEREF _Toc156483720 \h </w:instrText>
            </w:r>
            <w:r w:rsidR="00742C7E">
              <w:rPr>
                <w:webHidden/>
              </w:rPr>
            </w:r>
            <w:r w:rsidR="00742C7E">
              <w:rPr>
                <w:webHidden/>
              </w:rPr>
              <w:fldChar w:fldCharType="separate"/>
            </w:r>
            <w:r w:rsidR="00742C7E">
              <w:rPr>
                <w:webHidden/>
              </w:rPr>
              <w:t>14</w:t>
            </w:r>
            <w:r w:rsidR="00742C7E">
              <w:rPr>
                <w:webHidden/>
              </w:rPr>
              <w:fldChar w:fldCharType="end"/>
            </w:r>
          </w:hyperlink>
        </w:p>
        <w:p w14:paraId="156C8731" w14:textId="7ACC0A53"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1" w:history="1">
            <w:r w:rsidR="00742C7E" w:rsidRPr="0001502E">
              <w:rPr>
                <w:rStyle w:val="Hyperlink"/>
              </w:rPr>
              <w:t>5.5.3</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DNS</w:t>
            </w:r>
            <w:r w:rsidR="00742C7E">
              <w:rPr>
                <w:webHidden/>
              </w:rPr>
              <w:tab/>
            </w:r>
            <w:r w:rsidR="00742C7E">
              <w:rPr>
                <w:webHidden/>
              </w:rPr>
              <w:fldChar w:fldCharType="begin"/>
            </w:r>
            <w:r w:rsidR="00742C7E">
              <w:rPr>
                <w:webHidden/>
              </w:rPr>
              <w:instrText xml:space="preserve"> PAGEREF _Toc156483721 \h </w:instrText>
            </w:r>
            <w:r w:rsidR="00742C7E">
              <w:rPr>
                <w:webHidden/>
              </w:rPr>
            </w:r>
            <w:r w:rsidR="00742C7E">
              <w:rPr>
                <w:webHidden/>
              </w:rPr>
              <w:fldChar w:fldCharType="separate"/>
            </w:r>
            <w:r w:rsidR="00742C7E">
              <w:rPr>
                <w:webHidden/>
              </w:rPr>
              <w:t>14</w:t>
            </w:r>
            <w:r w:rsidR="00742C7E">
              <w:rPr>
                <w:webHidden/>
              </w:rPr>
              <w:fldChar w:fldCharType="end"/>
            </w:r>
          </w:hyperlink>
        </w:p>
        <w:p w14:paraId="7F8B0E08" w14:textId="138D09E2"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2" w:history="1">
            <w:r w:rsidR="00742C7E" w:rsidRPr="0001502E">
              <w:rPr>
                <w:rStyle w:val="Hyperlink"/>
              </w:rPr>
              <w:t>5.5.4</w:t>
            </w:r>
            <w:r w:rsidR="00742C7E">
              <w:rPr>
                <w:rFonts w:asciiTheme="minorHAnsi" w:eastAsiaTheme="minorEastAsia" w:hAnsiTheme="minorHAnsi" w:cstheme="minorBidi"/>
                <w:color w:val="auto"/>
                <w:kern w:val="2"/>
                <w14:ligatures w14:val="standardContextual"/>
              </w:rPr>
              <w:tab/>
            </w:r>
            <w:r w:rsidR="00742C7E" w:rsidRPr="0001502E">
              <w:rPr>
                <w:rStyle w:val="Hyperlink"/>
              </w:rPr>
              <w:t>Logging</w:t>
            </w:r>
            <w:r w:rsidR="00742C7E">
              <w:rPr>
                <w:webHidden/>
              </w:rPr>
              <w:tab/>
            </w:r>
            <w:r w:rsidR="00742C7E">
              <w:rPr>
                <w:webHidden/>
              </w:rPr>
              <w:fldChar w:fldCharType="begin"/>
            </w:r>
            <w:r w:rsidR="00742C7E">
              <w:rPr>
                <w:webHidden/>
              </w:rPr>
              <w:instrText xml:space="preserve"> PAGEREF _Toc156483722 \h </w:instrText>
            </w:r>
            <w:r w:rsidR="00742C7E">
              <w:rPr>
                <w:webHidden/>
              </w:rPr>
            </w:r>
            <w:r w:rsidR="00742C7E">
              <w:rPr>
                <w:webHidden/>
              </w:rPr>
              <w:fldChar w:fldCharType="separate"/>
            </w:r>
            <w:r w:rsidR="00742C7E">
              <w:rPr>
                <w:webHidden/>
              </w:rPr>
              <w:t>15</w:t>
            </w:r>
            <w:r w:rsidR="00742C7E">
              <w:rPr>
                <w:webHidden/>
              </w:rPr>
              <w:fldChar w:fldCharType="end"/>
            </w:r>
          </w:hyperlink>
        </w:p>
        <w:p w14:paraId="14A641B2" w14:textId="33B296BF"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723" w:history="1">
            <w:r w:rsidR="00742C7E" w:rsidRPr="0001502E">
              <w:rPr>
                <w:rStyle w:val="Hyperlink"/>
                <w:rFonts w:cs="Arial"/>
              </w:rPr>
              <w:t>6.</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Azure Policies</w:t>
            </w:r>
            <w:r w:rsidR="00742C7E">
              <w:rPr>
                <w:webHidden/>
              </w:rPr>
              <w:tab/>
            </w:r>
            <w:r w:rsidR="00742C7E">
              <w:rPr>
                <w:webHidden/>
              </w:rPr>
              <w:fldChar w:fldCharType="begin"/>
            </w:r>
            <w:r w:rsidR="00742C7E">
              <w:rPr>
                <w:webHidden/>
              </w:rPr>
              <w:instrText xml:space="preserve"> PAGEREF _Toc156483723 \h </w:instrText>
            </w:r>
            <w:r w:rsidR="00742C7E">
              <w:rPr>
                <w:webHidden/>
              </w:rPr>
            </w:r>
            <w:r w:rsidR="00742C7E">
              <w:rPr>
                <w:webHidden/>
              </w:rPr>
              <w:fldChar w:fldCharType="separate"/>
            </w:r>
            <w:r w:rsidR="00742C7E">
              <w:rPr>
                <w:webHidden/>
              </w:rPr>
              <w:t>15</w:t>
            </w:r>
            <w:r w:rsidR="00742C7E">
              <w:rPr>
                <w:webHidden/>
              </w:rPr>
              <w:fldChar w:fldCharType="end"/>
            </w:r>
          </w:hyperlink>
        </w:p>
        <w:p w14:paraId="4932F5A6" w14:textId="1420A0B8"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724" w:history="1">
            <w:r w:rsidR="00742C7E" w:rsidRPr="0001502E">
              <w:rPr>
                <w:rStyle w:val="Hyperlink"/>
                <w:rFonts w:cs="Arial"/>
              </w:rPr>
              <w:t>7.</w:t>
            </w:r>
            <w:r w:rsidR="00742C7E">
              <w:rPr>
                <w:rFonts w:asciiTheme="minorHAnsi" w:eastAsiaTheme="minorEastAsia" w:hAnsiTheme="minorHAnsi" w:cstheme="minorBidi"/>
                <w:color w:val="auto"/>
                <w:kern w:val="2"/>
                <w14:ligatures w14:val="standardContextual"/>
              </w:rPr>
              <w:tab/>
            </w:r>
            <w:r w:rsidR="00742C7E" w:rsidRPr="0001502E">
              <w:rPr>
                <w:rStyle w:val="Hyperlink"/>
                <w:rFonts w:cs="Arial"/>
              </w:rPr>
              <w:t>Configuration Templates</w:t>
            </w:r>
            <w:r w:rsidR="00742C7E">
              <w:rPr>
                <w:webHidden/>
              </w:rPr>
              <w:tab/>
            </w:r>
            <w:r w:rsidR="00742C7E">
              <w:rPr>
                <w:webHidden/>
              </w:rPr>
              <w:fldChar w:fldCharType="begin"/>
            </w:r>
            <w:r w:rsidR="00742C7E">
              <w:rPr>
                <w:webHidden/>
              </w:rPr>
              <w:instrText xml:space="preserve"> PAGEREF _Toc156483724 \h </w:instrText>
            </w:r>
            <w:r w:rsidR="00742C7E">
              <w:rPr>
                <w:webHidden/>
              </w:rPr>
            </w:r>
            <w:r w:rsidR="00742C7E">
              <w:rPr>
                <w:webHidden/>
              </w:rPr>
              <w:fldChar w:fldCharType="separate"/>
            </w:r>
            <w:r w:rsidR="00742C7E">
              <w:rPr>
                <w:webHidden/>
              </w:rPr>
              <w:t>16</w:t>
            </w:r>
            <w:r w:rsidR="00742C7E">
              <w:rPr>
                <w:webHidden/>
              </w:rPr>
              <w:fldChar w:fldCharType="end"/>
            </w:r>
          </w:hyperlink>
        </w:p>
        <w:p w14:paraId="4306ACAF" w14:textId="4EBCCCAA" w:rsidR="00742C7E" w:rsidRDefault="00F759C6">
          <w:pPr>
            <w:pStyle w:val="TOC2"/>
            <w:rPr>
              <w:rFonts w:asciiTheme="minorHAnsi" w:eastAsiaTheme="minorEastAsia" w:hAnsiTheme="minorHAnsi" w:cstheme="minorBidi"/>
              <w:color w:val="auto"/>
              <w:kern w:val="2"/>
              <w14:ligatures w14:val="standardContextual"/>
            </w:rPr>
          </w:pPr>
          <w:hyperlink w:anchor="_Toc156483725" w:history="1">
            <w:r w:rsidR="00742C7E" w:rsidRPr="0001502E">
              <w:rPr>
                <w:rStyle w:val="Hyperlink"/>
                <w:spacing w:val="-8"/>
              </w:rPr>
              <w:t>7.1</w:t>
            </w:r>
            <w:r w:rsidR="00742C7E">
              <w:rPr>
                <w:rFonts w:asciiTheme="minorHAnsi" w:eastAsiaTheme="minorEastAsia" w:hAnsiTheme="minorHAnsi" w:cstheme="minorBidi"/>
                <w:color w:val="auto"/>
                <w:kern w:val="2"/>
                <w14:ligatures w14:val="standardContextual"/>
              </w:rPr>
              <w:tab/>
            </w:r>
            <w:r w:rsidR="00742C7E" w:rsidRPr="0001502E">
              <w:rPr>
                <w:rStyle w:val="Hyperlink"/>
              </w:rPr>
              <w:t>Configuration Templates</w:t>
            </w:r>
            <w:r w:rsidR="00742C7E">
              <w:rPr>
                <w:webHidden/>
              </w:rPr>
              <w:tab/>
            </w:r>
            <w:r w:rsidR="00742C7E">
              <w:rPr>
                <w:webHidden/>
              </w:rPr>
              <w:fldChar w:fldCharType="begin"/>
            </w:r>
            <w:r w:rsidR="00742C7E">
              <w:rPr>
                <w:webHidden/>
              </w:rPr>
              <w:instrText xml:space="preserve"> PAGEREF _Toc156483725 \h </w:instrText>
            </w:r>
            <w:r w:rsidR="00742C7E">
              <w:rPr>
                <w:webHidden/>
              </w:rPr>
            </w:r>
            <w:r w:rsidR="00742C7E">
              <w:rPr>
                <w:webHidden/>
              </w:rPr>
              <w:fldChar w:fldCharType="separate"/>
            </w:r>
            <w:r w:rsidR="00742C7E">
              <w:rPr>
                <w:webHidden/>
              </w:rPr>
              <w:t>16</w:t>
            </w:r>
            <w:r w:rsidR="00742C7E">
              <w:rPr>
                <w:webHidden/>
              </w:rPr>
              <w:fldChar w:fldCharType="end"/>
            </w:r>
          </w:hyperlink>
        </w:p>
        <w:p w14:paraId="721B8512" w14:textId="2CFBE0FE"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6" w:history="1">
            <w:r w:rsidR="00742C7E" w:rsidRPr="0001502E">
              <w:rPr>
                <w:rStyle w:val="Hyperlink"/>
              </w:rPr>
              <w:t>7.1.1</w:t>
            </w:r>
            <w:r w:rsidR="00742C7E">
              <w:rPr>
                <w:rFonts w:asciiTheme="minorHAnsi" w:eastAsiaTheme="minorEastAsia" w:hAnsiTheme="minorHAnsi" w:cstheme="minorBidi"/>
                <w:color w:val="auto"/>
                <w:kern w:val="2"/>
                <w14:ligatures w14:val="standardContextual"/>
              </w:rPr>
              <w:tab/>
            </w:r>
            <w:r w:rsidR="00742C7E" w:rsidRPr="0001502E">
              <w:rPr>
                <w:rStyle w:val="Hyperlink"/>
              </w:rPr>
              <w:t>Primary Region Private Endpoint</w:t>
            </w:r>
            <w:r w:rsidR="00742C7E">
              <w:rPr>
                <w:webHidden/>
              </w:rPr>
              <w:tab/>
            </w:r>
            <w:r w:rsidR="00742C7E">
              <w:rPr>
                <w:webHidden/>
              </w:rPr>
              <w:fldChar w:fldCharType="begin"/>
            </w:r>
            <w:r w:rsidR="00742C7E">
              <w:rPr>
                <w:webHidden/>
              </w:rPr>
              <w:instrText xml:space="preserve"> PAGEREF _Toc156483726 \h </w:instrText>
            </w:r>
            <w:r w:rsidR="00742C7E">
              <w:rPr>
                <w:webHidden/>
              </w:rPr>
            </w:r>
            <w:r w:rsidR="00742C7E">
              <w:rPr>
                <w:webHidden/>
              </w:rPr>
              <w:fldChar w:fldCharType="separate"/>
            </w:r>
            <w:r w:rsidR="00742C7E">
              <w:rPr>
                <w:webHidden/>
              </w:rPr>
              <w:t>16</w:t>
            </w:r>
            <w:r w:rsidR="00742C7E">
              <w:rPr>
                <w:webHidden/>
              </w:rPr>
              <w:fldChar w:fldCharType="end"/>
            </w:r>
          </w:hyperlink>
        </w:p>
        <w:p w14:paraId="24CCF907" w14:textId="70620180"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7" w:history="1">
            <w:r w:rsidR="00742C7E" w:rsidRPr="0001502E">
              <w:rPr>
                <w:rStyle w:val="Hyperlink"/>
              </w:rPr>
              <w:t>7.1.2</w:t>
            </w:r>
            <w:r w:rsidR="00742C7E">
              <w:rPr>
                <w:rFonts w:asciiTheme="minorHAnsi" w:eastAsiaTheme="minorEastAsia" w:hAnsiTheme="minorHAnsi" w:cstheme="minorBidi"/>
                <w:color w:val="auto"/>
                <w:kern w:val="2"/>
                <w14:ligatures w14:val="standardContextual"/>
              </w:rPr>
              <w:tab/>
            </w:r>
            <w:r w:rsidR="00742C7E" w:rsidRPr="0001502E">
              <w:rPr>
                <w:rStyle w:val="Hyperlink"/>
              </w:rPr>
              <w:t>Secondary Region Private Endpoint</w:t>
            </w:r>
            <w:r w:rsidR="00742C7E">
              <w:rPr>
                <w:webHidden/>
              </w:rPr>
              <w:tab/>
            </w:r>
            <w:r w:rsidR="00742C7E">
              <w:rPr>
                <w:webHidden/>
              </w:rPr>
              <w:fldChar w:fldCharType="begin"/>
            </w:r>
            <w:r w:rsidR="00742C7E">
              <w:rPr>
                <w:webHidden/>
              </w:rPr>
              <w:instrText xml:space="preserve"> PAGEREF _Toc156483727 \h </w:instrText>
            </w:r>
            <w:r w:rsidR="00742C7E">
              <w:rPr>
                <w:webHidden/>
              </w:rPr>
            </w:r>
            <w:r w:rsidR="00742C7E">
              <w:rPr>
                <w:webHidden/>
              </w:rPr>
              <w:fldChar w:fldCharType="separate"/>
            </w:r>
            <w:r w:rsidR="00742C7E">
              <w:rPr>
                <w:webHidden/>
              </w:rPr>
              <w:t>16</w:t>
            </w:r>
            <w:r w:rsidR="00742C7E">
              <w:rPr>
                <w:webHidden/>
              </w:rPr>
              <w:fldChar w:fldCharType="end"/>
            </w:r>
          </w:hyperlink>
        </w:p>
        <w:p w14:paraId="667A5430" w14:textId="686DB45D" w:rsidR="00742C7E" w:rsidRDefault="00F759C6">
          <w:pPr>
            <w:pStyle w:val="TOC3"/>
            <w:tabs>
              <w:tab w:val="left" w:pos="2552"/>
            </w:tabs>
            <w:rPr>
              <w:rFonts w:asciiTheme="minorHAnsi" w:eastAsiaTheme="minorEastAsia" w:hAnsiTheme="minorHAnsi" w:cstheme="minorBidi"/>
              <w:color w:val="auto"/>
              <w:kern w:val="2"/>
              <w14:ligatures w14:val="standardContextual"/>
            </w:rPr>
          </w:pPr>
          <w:hyperlink w:anchor="_Toc156483728" w:history="1">
            <w:r w:rsidR="00742C7E" w:rsidRPr="0001502E">
              <w:rPr>
                <w:rStyle w:val="Hyperlink"/>
              </w:rPr>
              <w:t>7.1.3</w:t>
            </w:r>
            <w:r w:rsidR="00742C7E">
              <w:rPr>
                <w:rFonts w:asciiTheme="minorHAnsi" w:eastAsiaTheme="minorEastAsia" w:hAnsiTheme="minorHAnsi" w:cstheme="minorBidi"/>
                <w:color w:val="auto"/>
                <w:kern w:val="2"/>
                <w14:ligatures w14:val="standardContextual"/>
              </w:rPr>
              <w:tab/>
            </w:r>
            <w:r w:rsidR="00742C7E" w:rsidRPr="0001502E">
              <w:rPr>
                <w:rStyle w:val="Hyperlink"/>
              </w:rPr>
              <w:t>Private DNS Zones</w:t>
            </w:r>
            <w:r w:rsidR="00742C7E">
              <w:rPr>
                <w:webHidden/>
              </w:rPr>
              <w:tab/>
            </w:r>
            <w:r w:rsidR="00742C7E">
              <w:rPr>
                <w:webHidden/>
              </w:rPr>
              <w:fldChar w:fldCharType="begin"/>
            </w:r>
            <w:r w:rsidR="00742C7E">
              <w:rPr>
                <w:webHidden/>
              </w:rPr>
              <w:instrText xml:space="preserve"> PAGEREF _Toc156483728 \h </w:instrText>
            </w:r>
            <w:r w:rsidR="00742C7E">
              <w:rPr>
                <w:webHidden/>
              </w:rPr>
            </w:r>
            <w:r w:rsidR="00742C7E">
              <w:rPr>
                <w:webHidden/>
              </w:rPr>
              <w:fldChar w:fldCharType="separate"/>
            </w:r>
            <w:r w:rsidR="00742C7E">
              <w:rPr>
                <w:webHidden/>
              </w:rPr>
              <w:t>16</w:t>
            </w:r>
            <w:r w:rsidR="00742C7E">
              <w:rPr>
                <w:webHidden/>
              </w:rPr>
              <w:fldChar w:fldCharType="end"/>
            </w:r>
          </w:hyperlink>
        </w:p>
        <w:p w14:paraId="7DFC9CAF" w14:textId="0DBD6265" w:rsidR="00742C7E" w:rsidRDefault="00F759C6">
          <w:pPr>
            <w:pStyle w:val="TOC1"/>
            <w:tabs>
              <w:tab w:val="left" w:pos="851"/>
            </w:tabs>
            <w:rPr>
              <w:rFonts w:asciiTheme="minorHAnsi" w:eastAsiaTheme="minorEastAsia" w:hAnsiTheme="minorHAnsi" w:cstheme="minorBidi"/>
              <w:color w:val="auto"/>
              <w:kern w:val="2"/>
              <w14:ligatures w14:val="standardContextual"/>
            </w:rPr>
          </w:pPr>
          <w:hyperlink w:anchor="_Toc156483729" w:history="1">
            <w:r w:rsidR="00742C7E" w:rsidRPr="0001502E">
              <w:rPr>
                <w:rStyle w:val="Hyperlink"/>
              </w:rPr>
              <w:t>8.</w:t>
            </w:r>
            <w:r w:rsidR="00742C7E">
              <w:rPr>
                <w:rFonts w:asciiTheme="minorHAnsi" w:eastAsiaTheme="minorEastAsia" w:hAnsiTheme="minorHAnsi" w:cstheme="minorBidi"/>
                <w:color w:val="auto"/>
                <w:kern w:val="2"/>
                <w14:ligatures w14:val="standardContextual"/>
              </w:rPr>
              <w:tab/>
            </w:r>
            <w:r w:rsidR="00742C7E" w:rsidRPr="0001502E">
              <w:rPr>
                <w:rStyle w:val="Hyperlink"/>
              </w:rPr>
              <w:t>Acceptance</w:t>
            </w:r>
            <w:r w:rsidR="00742C7E">
              <w:rPr>
                <w:webHidden/>
              </w:rPr>
              <w:tab/>
            </w:r>
            <w:r w:rsidR="00742C7E">
              <w:rPr>
                <w:webHidden/>
              </w:rPr>
              <w:fldChar w:fldCharType="begin"/>
            </w:r>
            <w:r w:rsidR="00742C7E">
              <w:rPr>
                <w:webHidden/>
              </w:rPr>
              <w:instrText xml:space="preserve"> PAGEREF _Toc156483729 \h </w:instrText>
            </w:r>
            <w:r w:rsidR="00742C7E">
              <w:rPr>
                <w:webHidden/>
              </w:rPr>
            </w:r>
            <w:r w:rsidR="00742C7E">
              <w:rPr>
                <w:webHidden/>
              </w:rPr>
              <w:fldChar w:fldCharType="separate"/>
            </w:r>
            <w:r w:rsidR="00742C7E">
              <w:rPr>
                <w:webHidden/>
              </w:rPr>
              <w:t>17</w:t>
            </w:r>
            <w:r w:rsidR="00742C7E">
              <w:rPr>
                <w:webHidden/>
              </w:rPr>
              <w:fldChar w:fldCharType="end"/>
            </w:r>
          </w:hyperlink>
        </w:p>
        <w:p w14:paraId="62338099" w14:textId="5F13F150"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6483692"/>
      <w:r w:rsidRPr="00633B64">
        <w:rPr>
          <w:rFonts w:cs="Arial"/>
        </w:rPr>
        <w:t>Overview</w:t>
      </w:r>
      <w:bookmarkEnd w:id="0"/>
      <w:r w:rsidRPr="00633B64">
        <w:rPr>
          <w:rFonts w:cs="Arial"/>
        </w:rPr>
        <w:t xml:space="preserve"> </w:t>
      </w:r>
    </w:p>
    <w:p w14:paraId="7A66AFA1" w14:textId="0804E6F2"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rFonts w:eastAsia="Arial"/>
              <w:sz w:val="22"/>
              <w:szCs w:val="28"/>
            </w:rPr>
            <w:t>Private Endpoint &amp; Azure Private DNS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rFonts w:eastAsia="Arial"/>
              <w:sz w:val="22"/>
              <w:szCs w:val="28"/>
            </w:rPr>
            <w:t>Private Endpoint &amp; Azure Private DNS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rFonts w:eastAsia="Arial"/>
              <w:sz w:val="22"/>
              <w:szCs w:val="28"/>
            </w:rPr>
            <w:t>Private Endpoint &amp; Azure Private DNS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6483693"/>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6483694"/>
      <w:r w:rsidRPr="00633B64">
        <w:rPr>
          <w:rFonts w:cs="Arial"/>
        </w:rPr>
        <w:t xml:space="preserve">Scope </w:t>
      </w:r>
      <w:r w:rsidR="000B5FB3">
        <w:rPr>
          <w:rFonts w:cs="Arial"/>
        </w:rPr>
        <w:t>and Key Deliverables</w:t>
      </w:r>
      <w:bookmarkEnd w:id="2"/>
    </w:p>
    <w:p w14:paraId="1B652062" w14:textId="5D48307C"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rFonts w:cs="Arial"/>
            </w:rPr>
            <w:t>Private Endpoint &amp; Azure Private DNS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6483695"/>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EC4D94">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EC4D94">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EC4D94">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EC4D94">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EC4D94">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EC4D94">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EC4D94">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EC4D94">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EC4D94">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EC4D94">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EC4D94">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EC4D94">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EC4D94">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EC4D94">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EC4D94">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EC4D94">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6A53E4" w14:paraId="43D237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23AA52" w14:textId="5AF10EFB" w:rsidR="006A53E4" w:rsidRDefault="006A53E4" w:rsidP="00EC4D94">
            <w:pPr>
              <w:spacing w:line="240" w:lineRule="auto"/>
              <w:jc w:val="both"/>
              <w:textAlignment w:val="baseline"/>
              <w:rPr>
                <w:rFonts w:cs="Arial"/>
                <w:b/>
                <w:bCs/>
                <w:lang w:val="en-US"/>
              </w:rPr>
            </w:pPr>
            <w:r>
              <w:rPr>
                <w:rFonts w:cs="Arial"/>
                <w:b/>
                <w:bCs/>
                <w:lang w:val="en-US"/>
              </w:rPr>
              <w:t>PE</w:t>
            </w:r>
          </w:p>
        </w:tc>
        <w:tc>
          <w:tcPr>
            <w:tcW w:w="7229" w:type="dxa"/>
            <w:tcBorders>
              <w:top w:val="single" w:sz="6" w:space="0" w:color="808080"/>
              <w:left w:val="nil"/>
              <w:bottom w:val="single" w:sz="6" w:space="0" w:color="808080"/>
              <w:right w:val="nil"/>
            </w:tcBorders>
            <w:shd w:val="clear" w:color="auto" w:fill="auto"/>
            <w:vAlign w:val="center"/>
          </w:tcPr>
          <w:p w14:paraId="3A49FF41" w14:textId="3658272C" w:rsidR="006A53E4" w:rsidRDefault="006A53E4" w:rsidP="00EC4D94">
            <w:pPr>
              <w:spacing w:line="240" w:lineRule="auto"/>
              <w:textAlignment w:val="baseline"/>
              <w:rPr>
                <w:rFonts w:cs="Arial"/>
                <w:lang w:val="en-US"/>
              </w:rPr>
            </w:pPr>
            <w:r>
              <w:rPr>
                <w:rFonts w:cs="Arial"/>
                <w:lang w:val="en-US"/>
              </w:rPr>
              <w:t>Private Endpoint</w:t>
            </w:r>
          </w:p>
        </w:tc>
      </w:tr>
      <w:tr w:rsidR="00E12F7D" w14:paraId="2FEC5A6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A3F37EE" w14:textId="143764A2" w:rsidR="00E12F7D" w:rsidRDefault="00E12F7D" w:rsidP="00EC4D94">
            <w:pPr>
              <w:spacing w:line="240" w:lineRule="auto"/>
              <w:jc w:val="both"/>
              <w:textAlignment w:val="baseline"/>
              <w:rPr>
                <w:rFonts w:cs="Arial"/>
                <w:b/>
                <w:bCs/>
                <w:lang w:val="en-US"/>
              </w:rPr>
            </w:pPr>
            <w:r>
              <w:rPr>
                <w:rFonts w:cs="Arial"/>
                <w:b/>
                <w:bCs/>
                <w:lang w:val="en-US"/>
              </w:rPr>
              <w:t>DNS</w:t>
            </w:r>
          </w:p>
        </w:tc>
        <w:tc>
          <w:tcPr>
            <w:tcW w:w="7229" w:type="dxa"/>
            <w:tcBorders>
              <w:top w:val="single" w:sz="6" w:space="0" w:color="808080"/>
              <w:left w:val="nil"/>
              <w:bottom w:val="single" w:sz="6" w:space="0" w:color="808080"/>
              <w:right w:val="nil"/>
            </w:tcBorders>
            <w:shd w:val="clear" w:color="auto" w:fill="auto"/>
            <w:vAlign w:val="center"/>
          </w:tcPr>
          <w:p w14:paraId="765181C5" w14:textId="5C660773" w:rsidR="00E12F7D" w:rsidRDefault="00E12F7D" w:rsidP="00EC4D94">
            <w:pPr>
              <w:spacing w:line="240" w:lineRule="auto"/>
              <w:textAlignment w:val="baseline"/>
              <w:rPr>
                <w:rFonts w:cs="Arial"/>
                <w:lang w:val="en-US"/>
              </w:rPr>
            </w:pPr>
            <w:r>
              <w:rPr>
                <w:rFonts w:cs="Arial"/>
                <w:lang w:val="en-US"/>
              </w:rPr>
              <w:t>Domain Name Services</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EC4D94">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EC4D94">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EC4D94">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EC4D94">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EC4D94">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EC4D94">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EC4D94">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64EF104E" w:rsidR="00A81BF5" w:rsidRDefault="00411A13" w:rsidP="00411A13">
      <w:pPr>
        <w:pStyle w:val="Caption"/>
        <w:jc w:val="center"/>
        <w:rPr>
          <w:rFonts w:cs="Arial"/>
          <w:highlight w:val="yellow"/>
        </w:rPr>
      </w:pPr>
      <w:r>
        <w:t xml:space="preserve">Table </w:t>
      </w:r>
      <w:r w:rsidR="00F759C6">
        <w:fldChar w:fldCharType="begin"/>
      </w:r>
      <w:r w:rsidR="00F759C6">
        <w:instrText xml:space="preserve"> SEQ Table \* ARABIC </w:instrText>
      </w:r>
      <w:r w:rsidR="00F759C6">
        <w:fldChar w:fldCharType="separate"/>
      </w:r>
      <w:r w:rsidR="009B3946">
        <w:rPr>
          <w:noProof/>
        </w:rPr>
        <w:t>1</w:t>
      </w:r>
      <w:r w:rsidR="00F759C6">
        <w:rPr>
          <w:noProof/>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6483696"/>
      <w:r w:rsidRPr="00633B64">
        <w:rPr>
          <w:rFonts w:cs="Arial"/>
        </w:rPr>
        <w:t>Executive Summar</w:t>
      </w:r>
      <w:r w:rsidR="00006C3A">
        <w:rPr>
          <w:rFonts w:cs="Arial"/>
        </w:rPr>
        <w:t>y</w:t>
      </w:r>
      <w:bookmarkEnd w:id="4"/>
    </w:p>
    <w:p w14:paraId="1CA06FD5" w14:textId="16DDC24E"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rFonts w:cs="Arial"/>
            </w:rPr>
            <w:t>Private Endpoint &amp; Azure Private DNS</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1CE28002" w14:textId="5D6718F9" w:rsidR="001371F2" w:rsidRDefault="00245C45" w:rsidP="00245C45">
      <w:pPr>
        <w:jc w:val="both"/>
        <w:rPr>
          <w:rFonts w:cs="Arial"/>
        </w:rPr>
      </w:pPr>
      <w:r w:rsidRPr="009D7B61">
        <w:rPr>
          <w:rFonts w:cs="Arial"/>
        </w:rPr>
        <w:t xml:space="preserve">Of the five WAF Pillars, it was found </w:t>
      </w:r>
      <w:r w:rsidR="003E6D10">
        <w:rPr>
          <w:rFonts w:cs="Arial"/>
        </w:rPr>
        <w:t xml:space="preserve">that </w:t>
      </w:r>
      <w:r w:rsidR="00B75E9D">
        <w:rPr>
          <w:rFonts w:cs="Arial"/>
        </w:rPr>
        <w:t xml:space="preserve">Reliability and </w:t>
      </w:r>
      <w:r w:rsidR="00E768BD">
        <w:rPr>
          <w:rFonts w:cs="Arial"/>
        </w:rPr>
        <w:t>S</w:t>
      </w:r>
      <w:r w:rsidR="001E0C10">
        <w:rPr>
          <w:rFonts w:cs="Arial"/>
        </w:rPr>
        <w:t>ecurity</w:t>
      </w:r>
      <w:r w:rsidR="003E6D10">
        <w:rPr>
          <w:rFonts w:cs="Arial"/>
        </w:rPr>
        <w:t xml:space="preserve"> </w:t>
      </w:r>
      <w:r w:rsidR="00B75E9D">
        <w:rPr>
          <w:rFonts w:cs="Arial"/>
        </w:rPr>
        <w:t>were applicable for</w:t>
      </w:r>
      <w:r w:rsidR="001371F2">
        <w:rPr>
          <w:rFonts w:cs="Arial"/>
        </w:rPr>
        <w:t xml:space="preserve"> Azure Private Endpoints and Private DNS Zones.</w:t>
      </w:r>
    </w:p>
    <w:p w14:paraId="5A484DB1" w14:textId="77777777" w:rsidR="00741B2F" w:rsidRDefault="00741B2F" w:rsidP="00245C45">
      <w:pPr>
        <w:jc w:val="both"/>
        <w:rPr>
          <w:rFonts w:cs="Arial"/>
        </w:rPr>
      </w:pPr>
    </w:p>
    <w:p w14:paraId="00C49438" w14:textId="4B5B2A3A" w:rsidR="00741B2F" w:rsidRPr="00741B2F" w:rsidRDefault="00741B2F" w:rsidP="00741B2F">
      <w:pPr>
        <w:jc w:val="both"/>
        <w:rPr>
          <w:rFonts w:cs="Arial"/>
        </w:rPr>
      </w:pPr>
      <w:r w:rsidRPr="00741B2F">
        <w:rPr>
          <w:rFonts w:cs="Arial"/>
        </w:rPr>
        <w:t xml:space="preserve">Azure Private Endpoints </w:t>
      </w:r>
      <w:r w:rsidR="00B25A1F">
        <w:rPr>
          <w:rFonts w:cs="Arial"/>
        </w:rPr>
        <w:t>boots</w:t>
      </w:r>
      <w:r w:rsidRPr="00741B2F">
        <w:rPr>
          <w:rFonts w:cs="Arial"/>
        </w:rPr>
        <w:t xml:space="preserve"> security and performance by establishing a private link to Azure services within </w:t>
      </w:r>
      <w:r w:rsidR="005A7DD4">
        <w:rPr>
          <w:rFonts w:cs="Arial"/>
        </w:rPr>
        <w:t>a</w:t>
      </w:r>
      <w:r w:rsidRPr="00741B2F">
        <w:rPr>
          <w:rFonts w:cs="Arial"/>
        </w:rPr>
        <w:t xml:space="preserve"> virtual network. This ensures resource isolation, meeting regulatory requirements and data residency standards. When combined with Private DNS Zones, an extra layer of isolation from external DNS services is achieved, preventing inadvertent exposure of internal resources through private name resolution.</w:t>
      </w:r>
    </w:p>
    <w:p w14:paraId="1076DBBF" w14:textId="77777777" w:rsidR="00741B2F" w:rsidRPr="00741B2F" w:rsidRDefault="00741B2F" w:rsidP="009A2136">
      <w:pPr>
        <w:jc w:val="both"/>
        <w:rPr>
          <w:rFonts w:cs="Arial"/>
        </w:rPr>
      </w:pPr>
    </w:p>
    <w:p w14:paraId="167C6C51" w14:textId="744BD7CC" w:rsidR="00245C45" w:rsidRDefault="00741B2F" w:rsidP="009A2136">
      <w:pPr>
        <w:jc w:val="both"/>
        <w:rPr>
          <w:rFonts w:cs="Arial"/>
        </w:rPr>
      </w:pPr>
      <w:r w:rsidRPr="00741B2F">
        <w:rPr>
          <w:rFonts w:cs="Arial"/>
        </w:rPr>
        <w:t xml:space="preserve">By keeping data confined within the Azure network, Private Endpoints </w:t>
      </w:r>
      <w:r w:rsidR="003F43A7">
        <w:rPr>
          <w:rFonts w:cs="Arial"/>
        </w:rPr>
        <w:t>lower</w:t>
      </w:r>
      <w:r w:rsidRPr="00741B2F">
        <w:rPr>
          <w:rFonts w:cs="Arial"/>
        </w:rPr>
        <w:t xml:space="preserve"> the risk of internet threats, providing a more secure and efficient means of connecting to Azure services while upholding compliance and optimizing performance.</w:t>
      </w:r>
    </w:p>
    <w:p w14:paraId="0777092B" w14:textId="77777777" w:rsidR="00741B2F" w:rsidRPr="00515DC2" w:rsidRDefault="00741B2F" w:rsidP="009A2136">
      <w:pPr>
        <w:jc w:val="both"/>
        <w:rPr>
          <w:rFonts w:cs="Arial"/>
        </w:rPr>
      </w:pPr>
    </w:p>
    <w:p w14:paraId="3E5413EA" w14:textId="3E2DFCF0" w:rsidR="00245C45" w:rsidRPr="00227585" w:rsidRDefault="00245C45" w:rsidP="009A2136">
      <w:pPr>
        <w:pStyle w:val="BodyText"/>
        <w:jc w:val="both"/>
      </w:pPr>
      <w:r w:rsidRPr="00227585">
        <w:t>For</w:t>
      </w:r>
      <w:r w:rsidR="003E6D10">
        <w:t xml:space="preserve"> this service</w:t>
      </w:r>
      <w:r w:rsidRPr="00227585">
        <w:t xml:space="preserve"> the main baseline configurations include:</w:t>
      </w:r>
    </w:p>
    <w:p w14:paraId="354DC36F" w14:textId="7334161D" w:rsidR="009D32B9" w:rsidRPr="00D83F37" w:rsidRDefault="00FB21D1" w:rsidP="009A2136">
      <w:pPr>
        <w:pStyle w:val="BodyText"/>
        <w:numPr>
          <w:ilvl w:val="0"/>
          <w:numId w:val="31"/>
        </w:numPr>
        <w:jc w:val="both"/>
      </w:pPr>
      <w:r w:rsidRPr="00D83F37">
        <w:t xml:space="preserve">The </w:t>
      </w:r>
      <w:r w:rsidR="00F36502">
        <w:t>P</w:t>
      </w:r>
      <w:r w:rsidRPr="00D83F37">
        <w:t xml:space="preserve">rivate </w:t>
      </w:r>
      <w:r w:rsidR="00F36502">
        <w:t>E</w:t>
      </w:r>
      <w:r w:rsidRPr="00D83F37">
        <w:t xml:space="preserve">ndpoint </w:t>
      </w:r>
      <w:r w:rsidR="00936C5E" w:rsidRPr="00D83F37">
        <w:t>resource</w:t>
      </w:r>
      <w:r w:rsidR="00F36502">
        <w:t xml:space="preserve">s </w:t>
      </w:r>
      <w:r w:rsidR="00936C5E" w:rsidRPr="00D83F37">
        <w:t>are to</w:t>
      </w:r>
      <w:r w:rsidRPr="00D83F37">
        <w:t xml:space="preserve"> reside in</w:t>
      </w:r>
      <w:r w:rsidR="007B57B5">
        <w:t xml:space="preserve"> the spoke closest to the application resources that require access to that specific service</w:t>
      </w:r>
      <w:r w:rsidR="009D32B9" w:rsidRPr="00D83F37">
        <w:t>.</w:t>
      </w:r>
    </w:p>
    <w:p w14:paraId="5BD229D9" w14:textId="6BB83E42" w:rsidR="009D32B9" w:rsidRPr="00B75E9D" w:rsidRDefault="00813527" w:rsidP="009A2136">
      <w:pPr>
        <w:pStyle w:val="ListParagraph"/>
        <w:numPr>
          <w:ilvl w:val="0"/>
          <w:numId w:val="31"/>
        </w:numPr>
        <w:jc w:val="both"/>
        <w:rPr>
          <w:i/>
          <w:iCs/>
        </w:rPr>
      </w:pPr>
      <w:r w:rsidRPr="00813527">
        <w:t xml:space="preserve">The </w:t>
      </w:r>
      <w:r w:rsidR="00B75E9D">
        <w:t>P</w:t>
      </w:r>
      <w:r w:rsidRPr="00813527">
        <w:t xml:space="preserve">rivate </w:t>
      </w:r>
      <w:r w:rsidR="00B75E9D">
        <w:t>E</w:t>
      </w:r>
      <w:r w:rsidRPr="00813527">
        <w:t xml:space="preserve">ndpoint must be connected to </w:t>
      </w:r>
      <w:r w:rsidR="00B75E9D">
        <w:t>a Private</w:t>
      </w:r>
      <w:r w:rsidRPr="00813527">
        <w:t xml:space="preserve"> DNS zone, which </w:t>
      </w:r>
      <w:r w:rsidR="000F135F" w:rsidRPr="00813527">
        <w:t>is in</w:t>
      </w:r>
      <w:r w:rsidR="00B75E9D">
        <w:t xml:space="preserve"> the AV ALZ Connectivity subscription.</w:t>
      </w:r>
    </w:p>
    <w:p w14:paraId="5C8B1595" w14:textId="295B7A4D" w:rsidR="00B75E9D" w:rsidRPr="00813527" w:rsidRDefault="00B75E9D" w:rsidP="009A2136">
      <w:pPr>
        <w:pStyle w:val="ListParagraph"/>
        <w:numPr>
          <w:ilvl w:val="0"/>
          <w:numId w:val="31"/>
        </w:numPr>
        <w:jc w:val="both"/>
        <w:rPr>
          <w:i/>
          <w:iCs/>
        </w:rPr>
      </w:pPr>
      <w:r>
        <w:t>An A-record must be created in the relat</w:t>
      </w:r>
      <w:r w:rsidR="0024350C">
        <w:t>ed Private DNS zone in the hub for each Private Endpoint created</w:t>
      </w:r>
      <w:r w:rsidR="009E3507">
        <w:rPr>
          <w:rStyle w:val="FootnoteReference"/>
        </w:rPr>
        <w:footnoteReference w:id="3"/>
      </w:r>
      <w:r w:rsidR="0024350C">
        <w:t xml:space="preserve">. </w:t>
      </w:r>
    </w:p>
    <w:p w14:paraId="391BED63" w14:textId="77777777" w:rsidR="00813527" w:rsidRDefault="00813527" w:rsidP="009A2136">
      <w:pPr>
        <w:pStyle w:val="ListParagraph"/>
        <w:jc w:val="both"/>
        <w:rPr>
          <w:i/>
          <w:iCs/>
        </w:rPr>
      </w:pPr>
    </w:p>
    <w:p w14:paraId="1CB48595" w14:textId="241756B6" w:rsidR="00F431E9" w:rsidRPr="00F431E9" w:rsidRDefault="00F431E9" w:rsidP="009A2136">
      <w:pPr>
        <w:jc w:val="both"/>
      </w:pPr>
      <w:r>
        <w:t xml:space="preserve">There are on differences between Platinum, Gold, </w:t>
      </w:r>
      <w:r w:rsidR="00667BD4">
        <w:t>Silver,</w:t>
      </w:r>
      <w:r>
        <w:t xml:space="preserve"> or </w:t>
      </w:r>
      <w:r w:rsidR="001264D4">
        <w:t>Bronze</w:t>
      </w:r>
      <w:r>
        <w:t xml:space="preserve"> deployments for Private Endpoint. Due to the nature of the </w:t>
      </w:r>
      <w:r w:rsidR="00D54435">
        <w:t>service,</w:t>
      </w:r>
      <w:r>
        <w:t xml:space="preserve"> it is inherently Platinum as they support connectivity</w:t>
      </w:r>
      <w:r w:rsidR="00B8315D">
        <w:t xml:space="preserve"> and networking. </w:t>
      </w:r>
    </w:p>
    <w:p w14:paraId="7BA70C7D" w14:textId="77777777" w:rsidR="009B3946" w:rsidRDefault="009B3946" w:rsidP="00813527">
      <w:pPr>
        <w:pStyle w:val="ListParagraph"/>
        <w:rPr>
          <w:i/>
          <w:iCs/>
        </w:rPr>
      </w:pPr>
    </w:p>
    <w:p w14:paraId="078629D3" w14:textId="77777777" w:rsidR="009B3946" w:rsidRDefault="009B3946" w:rsidP="00813527">
      <w:pPr>
        <w:pStyle w:val="ListParagraph"/>
        <w:rPr>
          <w:i/>
          <w:iCs/>
        </w:rPr>
      </w:pPr>
    </w:p>
    <w:p w14:paraId="1C00C6FF" w14:textId="77777777" w:rsidR="009B3946" w:rsidRDefault="009B3946" w:rsidP="00813527">
      <w:pPr>
        <w:pStyle w:val="ListParagraph"/>
        <w:rPr>
          <w:i/>
          <w:iCs/>
        </w:rPr>
      </w:pPr>
    </w:p>
    <w:p w14:paraId="55FB6C5A" w14:textId="77777777" w:rsidR="009B3946" w:rsidRDefault="009B3946" w:rsidP="00813527">
      <w:pPr>
        <w:pStyle w:val="ListParagraph"/>
        <w:rPr>
          <w:i/>
          <w:iCs/>
        </w:rPr>
      </w:pPr>
    </w:p>
    <w:p w14:paraId="10A60E70" w14:textId="77777777" w:rsidR="009B3946" w:rsidRDefault="009B3946" w:rsidP="00813527">
      <w:pPr>
        <w:pStyle w:val="ListParagraph"/>
        <w:rPr>
          <w:i/>
          <w:iCs/>
        </w:rPr>
      </w:pPr>
    </w:p>
    <w:p w14:paraId="72977F0A" w14:textId="77777777" w:rsidR="009B3946" w:rsidRDefault="009B3946" w:rsidP="00813527">
      <w:pPr>
        <w:pStyle w:val="ListParagraph"/>
        <w:rPr>
          <w:i/>
          <w:iCs/>
        </w:rPr>
      </w:pPr>
    </w:p>
    <w:p w14:paraId="25C202F1" w14:textId="77777777" w:rsidR="009B3946" w:rsidRDefault="009B3946" w:rsidP="00813527">
      <w:pPr>
        <w:pStyle w:val="ListParagraph"/>
        <w:rPr>
          <w:i/>
          <w:iCs/>
        </w:rPr>
      </w:pPr>
    </w:p>
    <w:p w14:paraId="1BE4E2F7" w14:textId="77777777" w:rsidR="009B3946" w:rsidRDefault="009B3946" w:rsidP="00813527">
      <w:pPr>
        <w:pStyle w:val="ListParagraph"/>
        <w:rPr>
          <w:i/>
          <w:iCs/>
        </w:rPr>
      </w:pPr>
    </w:p>
    <w:p w14:paraId="5DE903E6" w14:textId="77777777" w:rsidR="009B3946" w:rsidRDefault="009B3946" w:rsidP="00813527">
      <w:pPr>
        <w:pStyle w:val="ListParagraph"/>
        <w:rPr>
          <w:i/>
          <w:iCs/>
        </w:rPr>
      </w:pPr>
    </w:p>
    <w:p w14:paraId="0179DC7F" w14:textId="77777777" w:rsidR="009B3946" w:rsidRDefault="009B3946" w:rsidP="00813527">
      <w:pPr>
        <w:pStyle w:val="ListParagraph"/>
        <w:rPr>
          <w:i/>
          <w:iCs/>
        </w:rPr>
      </w:pPr>
    </w:p>
    <w:p w14:paraId="7013DD5E" w14:textId="77777777" w:rsidR="009B3946" w:rsidRPr="00813527" w:rsidRDefault="009B3946" w:rsidP="00813527">
      <w:pPr>
        <w:pStyle w:val="ListParagraph"/>
        <w:rPr>
          <w:i/>
          <w:iCs/>
        </w:rPr>
      </w:pPr>
    </w:p>
    <w:p w14:paraId="34673AF0" w14:textId="4E80902F" w:rsidR="008211CA" w:rsidRPr="00633B64" w:rsidRDefault="008211CA" w:rsidP="008211CA">
      <w:pPr>
        <w:pStyle w:val="Heading1"/>
        <w:rPr>
          <w:rFonts w:cs="Arial"/>
        </w:rPr>
      </w:pPr>
      <w:bookmarkStart w:id="5" w:name="_Toc156483697"/>
      <w:r>
        <w:rPr>
          <w:rFonts w:cs="Arial"/>
        </w:rPr>
        <w:t>Resource Cost</w:t>
      </w:r>
      <w:bookmarkEnd w:id="5"/>
    </w:p>
    <w:p w14:paraId="5560B743" w14:textId="211C445C" w:rsidR="007B7752" w:rsidRDefault="00813EF4" w:rsidP="00D2676D">
      <w:pPr>
        <w:pStyle w:val="BodyText"/>
        <w:jc w:val="both"/>
      </w:pPr>
      <w:r w:rsidRPr="00813EF4">
        <w:t>Private Endpoints come with additional costs compared to accessing Azure services</w:t>
      </w:r>
      <w:r w:rsidR="00CA11D6">
        <w:t xml:space="preserve"> freely over a virtual network</w:t>
      </w:r>
      <w:r w:rsidRPr="00813EF4">
        <w:t>. These costs include the Private Endpoint itself and data transfer expenses, which vary based on the endpoint's region and the amount of data transferred. Despite the added costs, using Private Endpoints can potentially lower expenses by minimizing data transfer over the public internet, resulting in reduced egress charges and improved network performance</w:t>
      </w:r>
      <w:r w:rsidR="00D2676D">
        <w:t>. The following table shows the pricing construct for Private Endpoints</w:t>
      </w:r>
      <w:r w:rsidR="00267273">
        <w:rPr>
          <w:rStyle w:val="FootnoteReference"/>
        </w:rPr>
        <w:footnoteReference w:id="4"/>
      </w:r>
      <w:r w:rsidR="00D2676D">
        <w:t xml:space="preserve">: </w:t>
      </w:r>
    </w:p>
    <w:tbl>
      <w:tblPr>
        <w:tblStyle w:val="AVTable1"/>
        <w:tblW w:w="0" w:type="auto"/>
        <w:tblLook w:val="04A0" w:firstRow="1" w:lastRow="0" w:firstColumn="1" w:lastColumn="0" w:noHBand="0" w:noVBand="1"/>
      </w:tblPr>
      <w:tblGrid>
        <w:gridCol w:w="4513"/>
        <w:gridCol w:w="4514"/>
      </w:tblGrid>
      <w:tr w:rsidR="00CA1FD0" w14:paraId="04868EDD" w14:textId="77777777" w:rsidTr="00CA1FD0">
        <w:trPr>
          <w:cnfStyle w:val="100000000000" w:firstRow="1" w:lastRow="0" w:firstColumn="0" w:lastColumn="0" w:oddVBand="0" w:evenVBand="0" w:oddHBand="0" w:evenHBand="0" w:firstRowFirstColumn="0" w:firstRowLastColumn="0" w:lastRowFirstColumn="0" w:lastRowLastColumn="0"/>
        </w:trPr>
        <w:tc>
          <w:tcPr>
            <w:tcW w:w="4513" w:type="dxa"/>
          </w:tcPr>
          <w:p w14:paraId="4C9C5D62" w14:textId="1F59E373" w:rsidR="00CA1FD0" w:rsidRPr="00482095" w:rsidRDefault="00CA1FD0" w:rsidP="00D2676D">
            <w:pPr>
              <w:pStyle w:val="BodyText"/>
              <w:jc w:val="both"/>
              <w:rPr>
                <w:color w:val="FFFFFF" w:themeColor="background1"/>
              </w:rPr>
            </w:pPr>
            <w:r w:rsidRPr="00482095">
              <w:rPr>
                <w:color w:val="FFFFFF" w:themeColor="background1"/>
              </w:rPr>
              <w:t>Cost Item</w:t>
            </w:r>
          </w:p>
        </w:tc>
        <w:tc>
          <w:tcPr>
            <w:tcW w:w="4514" w:type="dxa"/>
          </w:tcPr>
          <w:p w14:paraId="25B7500B" w14:textId="7103C6FC" w:rsidR="00CA1FD0" w:rsidRPr="00482095" w:rsidRDefault="00482095" w:rsidP="00D2676D">
            <w:pPr>
              <w:pStyle w:val="BodyText"/>
              <w:jc w:val="both"/>
              <w:rPr>
                <w:color w:val="FFFFFF" w:themeColor="background1"/>
              </w:rPr>
            </w:pPr>
            <w:r>
              <w:rPr>
                <w:color w:val="FFFFFF" w:themeColor="background1"/>
              </w:rPr>
              <w:t>Cost</w:t>
            </w:r>
          </w:p>
        </w:tc>
      </w:tr>
      <w:tr w:rsidR="00CA1FD0" w14:paraId="77AF2824" w14:textId="77777777" w:rsidTr="00CA1FD0">
        <w:tc>
          <w:tcPr>
            <w:tcW w:w="4513" w:type="dxa"/>
          </w:tcPr>
          <w:p w14:paraId="39237819" w14:textId="2904710A" w:rsidR="00CA1FD0" w:rsidRDefault="00CA1FD0" w:rsidP="00D2676D">
            <w:pPr>
              <w:pStyle w:val="BodyText"/>
              <w:jc w:val="both"/>
            </w:pPr>
            <w:r>
              <w:t>Private Link Service</w:t>
            </w:r>
          </w:p>
        </w:tc>
        <w:tc>
          <w:tcPr>
            <w:tcW w:w="4514" w:type="dxa"/>
          </w:tcPr>
          <w:p w14:paraId="20C31952" w14:textId="0DBC1923" w:rsidR="00CA1FD0" w:rsidRDefault="00361C0C" w:rsidP="00D2676D">
            <w:pPr>
              <w:pStyle w:val="BodyText"/>
              <w:jc w:val="both"/>
            </w:pPr>
            <w:r w:rsidRPr="00361C0C">
              <w:t>No charge for private link service</w:t>
            </w:r>
          </w:p>
        </w:tc>
      </w:tr>
      <w:tr w:rsidR="00CA1FD0" w14:paraId="73FAF1E0" w14:textId="77777777" w:rsidTr="00CA1FD0">
        <w:tc>
          <w:tcPr>
            <w:tcW w:w="4513" w:type="dxa"/>
          </w:tcPr>
          <w:p w14:paraId="15A3E69D" w14:textId="0CB11AE8" w:rsidR="00CA1FD0" w:rsidRDefault="00CA1FD0" w:rsidP="00D2676D">
            <w:pPr>
              <w:pStyle w:val="BodyText"/>
              <w:jc w:val="both"/>
            </w:pPr>
            <w:r>
              <w:t>Private Endpoint</w:t>
            </w:r>
          </w:p>
        </w:tc>
        <w:tc>
          <w:tcPr>
            <w:tcW w:w="4514" w:type="dxa"/>
          </w:tcPr>
          <w:p w14:paraId="4BD2E07D" w14:textId="674E81B1" w:rsidR="00CA1FD0" w:rsidRDefault="00361C0C" w:rsidP="00D2676D">
            <w:pPr>
              <w:pStyle w:val="BodyText"/>
              <w:jc w:val="both"/>
            </w:pPr>
            <w:r w:rsidRPr="00361C0C">
              <w:t>$0.016 per hour</w:t>
            </w:r>
          </w:p>
        </w:tc>
      </w:tr>
      <w:tr w:rsidR="00CA1FD0" w14:paraId="3906CCAC" w14:textId="77777777" w:rsidTr="00CA1FD0">
        <w:tc>
          <w:tcPr>
            <w:tcW w:w="4513" w:type="dxa"/>
          </w:tcPr>
          <w:p w14:paraId="7D1E0FBD" w14:textId="2D1DF5BD" w:rsidR="00CA1FD0" w:rsidRDefault="00CA1FD0" w:rsidP="00D2676D">
            <w:pPr>
              <w:pStyle w:val="BodyText"/>
              <w:jc w:val="both"/>
            </w:pPr>
            <w:r>
              <w:t>Inbound Data Processed</w:t>
            </w:r>
          </w:p>
        </w:tc>
        <w:tc>
          <w:tcPr>
            <w:tcW w:w="4514" w:type="dxa"/>
          </w:tcPr>
          <w:p w14:paraId="0BDF2024" w14:textId="77777777" w:rsidR="00361C0C" w:rsidRDefault="00361C0C" w:rsidP="00361C0C">
            <w:pPr>
              <w:pStyle w:val="BodyText"/>
              <w:jc w:val="both"/>
            </w:pPr>
            <w:r>
              <w:t>0-1 PB - $0.0151 per GB</w:t>
            </w:r>
          </w:p>
          <w:p w14:paraId="09E0C871" w14:textId="77777777" w:rsidR="00361C0C" w:rsidRDefault="00361C0C" w:rsidP="00361C0C">
            <w:pPr>
              <w:pStyle w:val="BodyText"/>
              <w:jc w:val="both"/>
            </w:pPr>
            <w:r>
              <w:t>1-5 PB - $0.0091 per GB</w:t>
            </w:r>
          </w:p>
          <w:p w14:paraId="054EBF1F" w14:textId="0F7655D8" w:rsidR="00CA1FD0" w:rsidRDefault="00361C0C" w:rsidP="00361C0C">
            <w:pPr>
              <w:pStyle w:val="BodyText"/>
              <w:jc w:val="both"/>
            </w:pPr>
            <w:r>
              <w:t>5+ PB - $0.0061 per GB</w:t>
            </w:r>
          </w:p>
        </w:tc>
      </w:tr>
      <w:tr w:rsidR="00CA1FD0" w14:paraId="38205C1E" w14:textId="77777777" w:rsidTr="00CA1FD0">
        <w:tc>
          <w:tcPr>
            <w:tcW w:w="4513" w:type="dxa"/>
          </w:tcPr>
          <w:p w14:paraId="54E6B61A" w14:textId="4008216F" w:rsidR="00CA1FD0" w:rsidRDefault="00CA1FD0" w:rsidP="00D2676D">
            <w:pPr>
              <w:pStyle w:val="BodyText"/>
              <w:jc w:val="both"/>
            </w:pPr>
            <w:r>
              <w:t>Outbound Data Processed</w:t>
            </w:r>
          </w:p>
        </w:tc>
        <w:tc>
          <w:tcPr>
            <w:tcW w:w="4514" w:type="dxa"/>
          </w:tcPr>
          <w:p w14:paraId="3B64232F" w14:textId="77777777" w:rsidR="00361C0C" w:rsidRDefault="00361C0C" w:rsidP="00361C0C">
            <w:pPr>
              <w:pStyle w:val="BodyText"/>
              <w:jc w:val="both"/>
            </w:pPr>
            <w:r>
              <w:t>0-1 PB - $0.0151 per GB</w:t>
            </w:r>
          </w:p>
          <w:p w14:paraId="0BA698C5" w14:textId="77777777" w:rsidR="00361C0C" w:rsidRDefault="00361C0C" w:rsidP="00361C0C">
            <w:pPr>
              <w:pStyle w:val="BodyText"/>
              <w:jc w:val="both"/>
            </w:pPr>
            <w:r>
              <w:t>1-5 PB - $0.0091 per GB</w:t>
            </w:r>
          </w:p>
          <w:p w14:paraId="31E4F88F" w14:textId="113F8580" w:rsidR="00CA1FD0" w:rsidRDefault="00361C0C" w:rsidP="009B3946">
            <w:pPr>
              <w:pStyle w:val="BodyText"/>
              <w:keepNext/>
              <w:jc w:val="both"/>
            </w:pPr>
            <w:r>
              <w:t>5+ PB - $0.0061 per GB</w:t>
            </w:r>
          </w:p>
        </w:tc>
      </w:tr>
    </w:tbl>
    <w:p w14:paraId="675D894B" w14:textId="1A28C236" w:rsidR="007157DC" w:rsidRDefault="009B3946" w:rsidP="009B3946">
      <w:pPr>
        <w:pStyle w:val="Caption"/>
        <w:jc w:val="center"/>
      </w:pPr>
      <w:r>
        <w:t xml:space="preserve">Table </w:t>
      </w:r>
      <w:r w:rsidR="00F759C6">
        <w:fldChar w:fldCharType="begin"/>
      </w:r>
      <w:r w:rsidR="00F759C6">
        <w:instrText xml:space="preserve"> SEQ Table \* ARABIC </w:instrText>
      </w:r>
      <w:r w:rsidR="00F759C6">
        <w:fldChar w:fldCharType="separate"/>
      </w:r>
      <w:r>
        <w:rPr>
          <w:noProof/>
        </w:rPr>
        <w:t>2</w:t>
      </w:r>
      <w:r w:rsidR="00F759C6">
        <w:rPr>
          <w:noProof/>
        </w:rPr>
        <w:fldChar w:fldCharType="end"/>
      </w:r>
      <w:r>
        <w:t>: Pricing construct</w:t>
      </w:r>
    </w:p>
    <w:p w14:paraId="0B6B5ED4" w14:textId="77777777" w:rsidR="00CA11D6" w:rsidRPr="00DA3D56" w:rsidRDefault="00CA11D6" w:rsidP="00D313BB">
      <w:pPr>
        <w:pStyle w:val="BodyText"/>
      </w:pPr>
    </w:p>
    <w:p w14:paraId="7CA67623" w14:textId="47E2D258" w:rsidR="00150AD0" w:rsidRDefault="007D289F" w:rsidP="00150AD0">
      <w:pPr>
        <w:pStyle w:val="Heading1"/>
        <w:jc w:val="both"/>
        <w:rPr>
          <w:rFonts w:cs="Arial"/>
        </w:rPr>
      </w:pPr>
      <w:bookmarkStart w:id="6" w:name="_Toc156483698"/>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F759C6"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F759C6"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F759C6"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F759C6"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F759C6"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65F49A96" w14:textId="3C843DE7" w:rsidR="00C050D6"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2D2318D8" w14:textId="77777777" w:rsidR="00C050D6" w:rsidRDefault="00C050D6" w:rsidP="00A93204">
      <w:pPr>
        <w:pStyle w:val="BodyText"/>
        <w:jc w:val="both"/>
      </w:pPr>
    </w:p>
    <w:p w14:paraId="190F2144" w14:textId="581120F1" w:rsidR="00150AD0" w:rsidRPr="00050F61" w:rsidRDefault="00442D9E" w:rsidP="00150AD0">
      <w:pPr>
        <w:pStyle w:val="Heading2"/>
        <w:rPr>
          <w:sz w:val="40"/>
          <w:szCs w:val="40"/>
        </w:rPr>
      </w:pPr>
      <w:bookmarkStart w:id="7" w:name="_Toc156483699"/>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6483700"/>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5"/>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Private_Endpoint_&amp;"/>
    <w:bookmarkStart w:id="10" w:name="_Toc156483701"/>
    <w:bookmarkEnd w:id="9"/>
    <w:p w14:paraId="0FF62DBA" w14:textId="20C03FDA" w:rsidR="00C57FA5" w:rsidRPr="00DE3BD3" w:rsidRDefault="00F759C6" w:rsidP="000F3B77">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t>Private Endpoint &amp; Azure Private DNS</w:t>
          </w:r>
        </w:sdtContent>
      </w:sdt>
      <w:r w:rsidR="00A57121">
        <w:t xml:space="preserve"> </w:t>
      </w:r>
      <w:r w:rsidR="002348C5">
        <w:t>Reliability Checklist</w:t>
      </w:r>
      <w:bookmarkEnd w:id="10"/>
    </w:p>
    <w:tbl>
      <w:tblPr>
        <w:tblStyle w:val="AVTable1"/>
        <w:tblW w:w="9356" w:type="dxa"/>
        <w:tblLayout w:type="fixed"/>
        <w:tblLook w:val="04A0" w:firstRow="1" w:lastRow="0" w:firstColumn="1" w:lastColumn="0" w:noHBand="0" w:noVBand="1"/>
      </w:tblPr>
      <w:tblGrid>
        <w:gridCol w:w="567"/>
        <w:gridCol w:w="3544"/>
        <w:gridCol w:w="1559"/>
        <w:gridCol w:w="851"/>
        <w:gridCol w:w="1276"/>
        <w:gridCol w:w="1559"/>
      </w:tblGrid>
      <w:tr w:rsidR="00DE3BD3" w:rsidRPr="002348C5" w14:paraId="452AB579" w14:textId="77777777" w:rsidTr="00D86881">
        <w:trPr>
          <w:cnfStyle w:val="100000000000" w:firstRow="1" w:lastRow="0" w:firstColumn="0" w:lastColumn="0" w:oddVBand="0" w:evenVBand="0" w:oddHBand="0" w:evenHBand="0" w:firstRowFirstColumn="0" w:firstRowLastColumn="0" w:lastRowFirstColumn="0" w:lastRowLastColumn="0"/>
          <w:trHeight w:val="290"/>
        </w:trPr>
        <w:tc>
          <w:tcPr>
            <w:tcW w:w="567" w:type="dxa"/>
            <w:tcBorders>
              <w:bottom w:val="single" w:sz="4" w:space="0" w:color="002776"/>
            </w:tcBorders>
            <w:noWrap/>
            <w:hideMark/>
          </w:tcPr>
          <w:p w14:paraId="342680EA" w14:textId="5DFFF909" w:rsidR="002348C5" w:rsidRPr="002348C5" w:rsidRDefault="002348C5" w:rsidP="002348C5">
            <w:pPr>
              <w:pStyle w:val="BodyText"/>
              <w:rPr>
                <w:bCs/>
                <w:color w:val="FFFFFF" w:themeColor="background1"/>
              </w:rPr>
            </w:pPr>
            <w:r w:rsidRPr="002348C5">
              <w:rPr>
                <w:bCs/>
                <w:color w:val="FFFFFF" w:themeColor="background1"/>
              </w:rPr>
              <w:t>ID</w:t>
            </w:r>
          </w:p>
        </w:tc>
        <w:tc>
          <w:tcPr>
            <w:tcW w:w="3544" w:type="dxa"/>
            <w:tcBorders>
              <w:bottom w:val="single" w:sz="4" w:space="0" w:color="002776"/>
            </w:tcBorders>
            <w:hideMark/>
          </w:tcPr>
          <w:p w14:paraId="442C5771" w14:textId="77777777" w:rsidR="002348C5" w:rsidRPr="002348C5" w:rsidRDefault="002348C5" w:rsidP="002348C5">
            <w:pPr>
              <w:pStyle w:val="BodyText"/>
              <w:rPr>
                <w:bCs/>
                <w:color w:val="FFFFFF" w:themeColor="background1"/>
              </w:rPr>
            </w:pPr>
            <w:r w:rsidRPr="002348C5">
              <w:rPr>
                <w:bCs/>
                <w:color w:val="FFFFFF" w:themeColor="background1"/>
              </w:rPr>
              <w:t>Checklist Item</w:t>
            </w:r>
          </w:p>
        </w:tc>
        <w:tc>
          <w:tcPr>
            <w:tcW w:w="1559" w:type="dxa"/>
            <w:tcBorders>
              <w:bottom w:val="single" w:sz="4" w:space="0" w:color="002776"/>
            </w:tcBorders>
            <w:noWrap/>
            <w:hideMark/>
          </w:tcPr>
          <w:p w14:paraId="742359FF" w14:textId="77777777" w:rsidR="002348C5" w:rsidRPr="002348C5" w:rsidRDefault="002348C5" w:rsidP="0035674C">
            <w:pPr>
              <w:pStyle w:val="BodyText"/>
              <w:jc w:val="center"/>
              <w:rPr>
                <w:bCs/>
                <w:color w:val="FFFFFF" w:themeColor="background1"/>
              </w:rPr>
            </w:pPr>
            <w:r w:rsidRPr="002348C5">
              <w:rPr>
                <w:bCs/>
                <w:color w:val="FFFFFF" w:themeColor="background1"/>
              </w:rPr>
              <w:t>Applicable to AV</w:t>
            </w:r>
          </w:p>
        </w:tc>
        <w:tc>
          <w:tcPr>
            <w:tcW w:w="851" w:type="dxa"/>
            <w:noWrap/>
            <w:hideMark/>
          </w:tcPr>
          <w:p w14:paraId="0B408493" w14:textId="77777777" w:rsidR="002348C5" w:rsidRPr="002348C5" w:rsidRDefault="002348C5" w:rsidP="0035674C">
            <w:pPr>
              <w:pStyle w:val="BodyText"/>
              <w:jc w:val="center"/>
              <w:rPr>
                <w:bCs/>
                <w:color w:val="FFFFFF" w:themeColor="background1"/>
              </w:rPr>
            </w:pPr>
            <w:r w:rsidRPr="002348C5">
              <w:rPr>
                <w:bCs/>
                <w:color w:val="FFFFFF" w:themeColor="background1"/>
              </w:rPr>
              <w:t>Built Into Design</w:t>
            </w:r>
          </w:p>
        </w:tc>
        <w:tc>
          <w:tcPr>
            <w:tcW w:w="1276" w:type="dxa"/>
          </w:tcPr>
          <w:p w14:paraId="77BE977E" w14:textId="7AAB3DF4" w:rsidR="6C5D9C1C" w:rsidRDefault="6C5D9C1C" w:rsidP="0035674C">
            <w:pPr>
              <w:pStyle w:val="BodyText"/>
              <w:jc w:val="center"/>
              <w:rPr>
                <w:color w:val="FFFFFF" w:themeColor="background1"/>
              </w:rPr>
            </w:pPr>
            <w:r w:rsidRPr="78DFCD18">
              <w:rPr>
                <w:color w:val="FFFFFF" w:themeColor="background1"/>
              </w:rPr>
              <w:t>Enforcement Option</w:t>
            </w:r>
          </w:p>
        </w:tc>
        <w:tc>
          <w:tcPr>
            <w:tcW w:w="1559" w:type="dxa"/>
          </w:tcPr>
          <w:p w14:paraId="6787EADB" w14:textId="37595F23" w:rsidR="6C5D9C1C" w:rsidRDefault="6C5D9C1C" w:rsidP="0035674C">
            <w:pPr>
              <w:pStyle w:val="BodyText"/>
              <w:jc w:val="center"/>
              <w:rPr>
                <w:color w:val="FFFFFF" w:themeColor="background1"/>
              </w:rPr>
            </w:pPr>
            <w:r w:rsidRPr="78DFCD18">
              <w:rPr>
                <w:color w:val="FFFFFF" w:themeColor="background1"/>
              </w:rPr>
              <w:t>Applicability</w:t>
            </w:r>
          </w:p>
        </w:tc>
      </w:tr>
      <w:tr w:rsidR="00DE3BD3" w:rsidRPr="002348C5" w14:paraId="1ABBE17C" w14:textId="77777777" w:rsidTr="00D86881">
        <w:trPr>
          <w:trHeight w:val="290"/>
        </w:trPr>
        <w:tc>
          <w:tcPr>
            <w:tcW w:w="567" w:type="dxa"/>
            <w:tcBorders>
              <w:bottom w:val="single" w:sz="4" w:space="0" w:color="auto"/>
            </w:tcBorders>
            <w:noWrap/>
            <w:vAlign w:val="center"/>
          </w:tcPr>
          <w:p w14:paraId="72F67A3D" w14:textId="575CF0B9" w:rsidR="008F4814" w:rsidRDefault="008F4814" w:rsidP="008F4814">
            <w:pPr>
              <w:pStyle w:val="BodyText"/>
              <w:rPr>
                <w:b/>
                <w:bCs/>
              </w:rPr>
            </w:pPr>
            <w:r>
              <w:rPr>
                <w:b/>
                <w:bCs/>
              </w:rPr>
              <w:t>R1</w:t>
            </w:r>
          </w:p>
        </w:tc>
        <w:tc>
          <w:tcPr>
            <w:tcW w:w="3544" w:type="dxa"/>
            <w:tcBorders>
              <w:bottom w:val="single" w:sz="4" w:space="0" w:color="auto"/>
            </w:tcBorders>
          </w:tcPr>
          <w:p w14:paraId="74BC5D42" w14:textId="23D70AC8" w:rsidR="008F4814" w:rsidRPr="0092041E" w:rsidRDefault="00794B88" w:rsidP="008F4814">
            <w:pPr>
              <w:rPr>
                <w:rFonts w:cs="Arial"/>
                <w:sz w:val="20"/>
                <w:szCs w:val="20"/>
              </w:rPr>
            </w:pPr>
            <w:r w:rsidRPr="0092041E">
              <w:rPr>
                <w:rFonts w:cs="Arial"/>
                <w:sz w:val="20"/>
                <w:szCs w:val="20"/>
              </w:rPr>
              <w:t xml:space="preserve">Use Private Link, where available, for shared Azure PaaS services. </w:t>
            </w:r>
            <w:r w:rsidR="00240ED5" w:rsidRPr="0092041E">
              <w:rPr>
                <w:rFonts w:cs="Arial"/>
                <w:color w:val="161616"/>
                <w:sz w:val="20"/>
                <w:szCs w:val="20"/>
                <w:shd w:val="clear" w:color="auto" w:fill="FFFFFF"/>
              </w:rPr>
              <w:t>Private Link is generally available for several services and is in public preview for numerous ones.</w:t>
            </w:r>
          </w:p>
        </w:tc>
        <w:tc>
          <w:tcPr>
            <w:tcW w:w="1559" w:type="dxa"/>
            <w:tcBorders>
              <w:bottom w:val="single" w:sz="4" w:space="0" w:color="auto"/>
            </w:tcBorders>
            <w:noWrap/>
            <w:vAlign w:val="center"/>
          </w:tcPr>
          <w:p w14:paraId="7952AAC7" w14:textId="5DBB3945" w:rsidR="008F4814" w:rsidRPr="002348C5" w:rsidRDefault="0035674C" w:rsidP="008F4814">
            <w:pPr>
              <w:pStyle w:val="BodyText"/>
              <w:jc w:val="center"/>
              <w:rPr>
                <w:sz w:val="20"/>
                <w:szCs w:val="20"/>
              </w:rPr>
            </w:pPr>
            <w:r>
              <w:rPr>
                <w:sz w:val="20"/>
                <w:szCs w:val="20"/>
              </w:rPr>
              <w:t>Yes</w:t>
            </w:r>
          </w:p>
        </w:tc>
        <w:tc>
          <w:tcPr>
            <w:tcW w:w="851" w:type="dxa"/>
            <w:noWrap/>
            <w:vAlign w:val="center"/>
          </w:tcPr>
          <w:p w14:paraId="736E9398" w14:textId="76640FD1" w:rsidR="008F4814" w:rsidRDefault="0035674C" w:rsidP="008F4814">
            <w:pPr>
              <w:pStyle w:val="BodyText"/>
              <w:jc w:val="center"/>
              <w:rPr>
                <w:sz w:val="20"/>
                <w:szCs w:val="20"/>
              </w:rPr>
            </w:pPr>
            <w:r>
              <w:rPr>
                <w:sz w:val="20"/>
                <w:szCs w:val="20"/>
              </w:rPr>
              <w:t>Yes</w:t>
            </w:r>
          </w:p>
        </w:tc>
        <w:tc>
          <w:tcPr>
            <w:tcW w:w="1276" w:type="dxa"/>
            <w:vAlign w:val="center"/>
          </w:tcPr>
          <w:p w14:paraId="74211F6F" w14:textId="791C5A76" w:rsidR="008F4814" w:rsidRDefault="0035674C" w:rsidP="008F4814">
            <w:pPr>
              <w:pStyle w:val="BodyText"/>
              <w:jc w:val="center"/>
              <w:rPr>
                <w:sz w:val="20"/>
                <w:szCs w:val="20"/>
              </w:rPr>
            </w:pPr>
            <w:r>
              <w:rPr>
                <w:sz w:val="20"/>
                <w:szCs w:val="20"/>
              </w:rPr>
              <w:t>IaC</w:t>
            </w:r>
          </w:p>
        </w:tc>
        <w:tc>
          <w:tcPr>
            <w:tcW w:w="1559" w:type="dxa"/>
            <w:vAlign w:val="center"/>
          </w:tcPr>
          <w:p w14:paraId="35BFD0D9" w14:textId="249D0945" w:rsidR="008F4814" w:rsidRDefault="0035674C" w:rsidP="008F4814">
            <w:pPr>
              <w:pStyle w:val="BodyText"/>
              <w:jc w:val="center"/>
              <w:rPr>
                <w:sz w:val="20"/>
                <w:szCs w:val="20"/>
              </w:rPr>
            </w:pPr>
            <w:r>
              <w:rPr>
                <w:sz w:val="20"/>
                <w:szCs w:val="20"/>
              </w:rPr>
              <w:t>At deployment</w:t>
            </w:r>
          </w:p>
        </w:tc>
      </w:tr>
      <w:tr w:rsidR="00DE3BD3" w:rsidRPr="002348C5" w14:paraId="4EB6297A" w14:textId="77777777" w:rsidTr="00D86881">
        <w:trPr>
          <w:trHeight w:val="290"/>
        </w:trPr>
        <w:tc>
          <w:tcPr>
            <w:tcW w:w="567" w:type="dxa"/>
            <w:noWrap/>
            <w:vAlign w:val="center"/>
          </w:tcPr>
          <w:p w14:paraId="1EBCA7A3" w14:textId="42ACC1B5" w:rsidR="008F4814" w:rsidRDefault="008F4814" w:rsidP="008F4814">
            <w:pPr>
              <w:pStyle w:val="BodyText"/>
              <w:rPr>
                <w:b/>
                <w:bCs/>
              </w:rPr>
            </w:pPr>
            <w:r>
              <w:rPr>
                <w:b/>
                <w:bCs/>
              </w:rPr>
              <w:t>R2</w:t>
            </w:r>
          </w:p>
        </w:tc>
        <w:tc>
          <w:tcPr>
            <w:tcW w:w="3544" w:type="dxa"/>
          </w:tcPr>
          <w:p w14:paraId="4677D19C" w14:textId="54F942F9" w:rsidR="008F4814" w:rsidRPr="0092041E" w:rsidRDefault="00240ED5" w:rsidP="00240ED5">
            <w:pPr>
              <w:spacing w:before="0" w:after="0"/>
              <w:ind w:left="0" w:right="0"/>
              <w:rPr>
                <w:rFonts w:cs="Arial"/>
                <w:sz w:val="20"/>
                <w:szCs w:val="20"/>
              </w:rPr>
            </w:pPr>
            <w:r w:rsidRPr="0092041E">
              <w:rPr>
                <w:rFonts w:cs="Arial"/>
                <w:sz w:val="20"/>
                <w:szCs w:val="20"/>
              </w:rPr>
              <w:t>Use either virtual network injection for dedicated Azure services or Azure Private Link for available shared Azure services. To access Azure PaaS services from on-premises when virtual network injection or Private Link isn't available, use ExpressRoute with Microsoft peering. This method avoids transiting over the public internet.</w:t>
            </w:r>
          </w:p>
        </w:tc>
        <w:tc>
          <w:tcPr>
            <w:tcW w:w="1559" w:type="dxa"/>
            <w:noWrap/>
            <w:vAlign w:val="center"/>
          </w:tcPr>
          <w:p w14:paraId="7DB12CC1" w14:textId="2BBC23C1" w:rsidR="008F4814" w:rsidRPr="002348C5" w:rsidRDefault="0035674C" w:rsidP="008F4814">
            <w:pPr>
              <w:pStyle w:val="BodyText"/>
              <w:jc w:val="center"/>
              <w:rPr>
                <w:sz w:val="20"/>
                <w:szCs w:val="20"/>
              </w:rPr>
            </w:pPr>
            <w:r>
              <w:rPr>
                <w:sz w:val="20"/>
                <w:szCs w:val="20"/>
              </w:rPr>
              <w:t>Yes</w:t>
            </w:r>
          </w:p>
        </w:tc>
        <w:tc>
          <w:tcPr>
            <w:tcW w:w="851" w:type="dxa"/>
            <w:noWrap/>
            <w:vAlign w:val="center"/>
          </w:tcPr>
          <w:p w14:paraId="110ED536" w14:textId="04F11C6A" w:rsidR="008F4814" w:rsidRDefault="0035674C" w:rsidP="008F4814">
            <w:pPr>
              <w:pStyle w:val="BodyText"/>
              <w:jc w:val="center"/>
              <w:rPr>
                <w:sz w:val="20"/>
                <w:szCs w:val="20"/>
              </w:rPr>
            </w:pPr>
            <w:r>
              <w:rPr>
                <w:sz w:val="20"/>
                <w:szCs w:val="20"/>
              </w:rPr>
              <w:t>No</w:t>
            </w:r>
          </w:p>
        </w:tc>
        <w:tc>
          <w:tcPr>
            <w:tcW w:w="1276" w:type="dxa"/>
            <w:vAlign w:val="center"/>
          </w:tcPr>
          <w:p w14:paraId="01163E14" w14:textId="0F1848C3" w:rsidR="008F4814" w:rsidRDefault="00C26141" w:rsidP="008F4814">
            <w:pPr>
              <w:pStyle w:val="BodyText"/>
              <w:jc w:val="center"/>
              <w:rPr>
                <w:sz w:val="20"/>
                <w:szCs w:val="20"/>
              </w:rPr>
            </w:pPr>
            <w:r>
              <w:rPr>
                <w:sz w:val="20"/>
                <w:szCs w:val="20"/>
              </w:rPr>
              <w:t>N/A</w:t>
            </w:r>
          </w:p>
        </w:tc>
        <w:tc>
          <w:tcPr>
            <w:tcW w:w="1559" w:type="dxa"/>
            <w:vAlign w:val="center"/>
          </w:tcPr>
          <w:p w14:paraId="4D58475A" w14:textId="22E27B1C" w:rsidR="008F4814" w:rsidRDefault="00C26141" w:rsidP="008F4814">
            <w:pPr>
              <w:pStyle w:val="BodyText"/>
              <w:jc w:val="center"/>
              <w:rPr>
                <w:sz w:val="20"/>
                <w:szCs w:val="20"/>
              </w:rPr>
            </w:pPr>
            <w:r>
              <w:rPr>
                <w:sz w:val="20"/>
                <w:szCs w:val="20"/>
              </w:rPr>
              <w:t>Already in place</w:t>
            </w:r>
          </w:p>
        </w:tc>
      </w:tr>
      <w:tr w:rsidR="00DE3BD3" w:rsidRPr="002348C5" w14:paraId="6194C848" w14:textId="77777777" w:rsidTr="00D86881">
        <w:trPr>
          <w:trHeight w:val="290"/>
        </w:trPr>
        <w:tc>
          <w:tcPr>
            <w:tcW w:w="567" w:type="dxa"/>
            <w:noWrap/>
            <w:vAlign w:val="center"/>
          </w:tcPr>
          <w:p w14:paraId="7F06F9FE" w14:textId="268DE813" w:rsidR="00663564" w:rsidRDefault="00663564" w:rsidP="008F4814">
            <w:pPr>
              <w:pStyle w:val="BodyText"/>
              <w:rPr>
                <w:b/>
                <w:bCs/>
              </w:rPr>
            </w:pPr>
            <w:r>
              <w:rPr>
                <w:b/>
                <w:bCs/>
              </w:rPr>
              <w:t>R3</w:t>
            </w:r>
          </w:p>
        </w:tc>
        <w:tc>
          <w:tcPr>
            <w:tcW w:w="3544" w:type="dxa"/>
          </w:tcPr>
          <w:p w14:paraId="49B17717" w14:textId="4B6467FB" w:rsidR="00663564" w:rsidRPr="0092041E" w:rsidRDefault="00F02F16" w:rsidP="00F02F16">
            <w:pPr>
              <w:spacing w:before="0" w:after="0"/>
              <w:ind w:left="0" w:right="0"/>
              <w:rPr>
                <w:rFonts w:cs="Arial"/>
                <w:sz w:val="20"/>
                <w:szCs w:val="20"/>
              </w:rPr>
            </w:pPr>
            <w:r w:rsidRPr="0092041E">
              <w:rPr>
                <w:rFonts w:cs="Arial"/>
                <w:sz w:val="20"/>
                <w:szCs w:val="20"/>
              </w:rPr>
              <w:t>Use virtual network service endpoints to secure access to Azure PaaS services from within your virtual network. Use virtual network service endpoints only when Private Link isn't available and there are no concerns with unauthorized movement of data.</w:t>
            </w:r>
          </w:p>
        </w:tc>
        <w:tc>
          <w:tcPr>
            <w:tcW w:w="1559" w:type="dxa"/>
            <w:noWrap/>
            <w:vAlign w:val="center"/>
          </w:tcPr>
          <w:p w14:paraId="383283E6" w14:textId="10241CD3" w:rsidR="00663564" w:rsidRPr="002348C5" w:rsidRDefault="00C26141" w:rsidP="008F4814">
            <w:pPr>
              <w:pStyle w:val="BodyText"/>
              <w:jc w:val="center"/>
              <w:rPr>
                <w:sz w:val="20"/>
                <w:szCs w:val="20"/>
              </w:rPr>
            </w:pPr>
            <w:r>
              <w:rPr>
                <w:sz w:val="20"/>
                <w:szCs w:val="20"/>
              </w:rPr>
              <w:t>Yes</w:t>
            </w:r>
          </w:p>
        </w:tc>
        <w:tc>
          <w:tcPr>
            <w:tcW w:w="851" w:type="dxa"/>
            <w:noWrap/>
            <w:vAlign w:val="center"/>
          </w:tcPr>
          <w:p w14:paraId="04FAE088" w14:textId="1E915AE6" w:rsidR="00663564" w:rsidRDefault="00C26141" w:rsidP="008F4814">
            <w:pPr>
              <w:pStyle w:val="BodyText"/>
              <w:jc w:val="center"/>
              <w:rPr>
                <w:sz w:val="20"/>
                <w:szCs w:val="20"/>
              </w:rPr>
            </w:pPr>
            <w:r>
              <w:rPr>
                <w:sz w:val="20"/>
                <w:szCs w:val="20"/>
              </w:rPr>
              <w:t>Yes</w:t>
            </w:r>
          </w:p>
        </w:tc>
        <w:tc>
          <w:tcPr>
            <w:tcW w:w="1276" w:type="dxa"/>
            <w:vAlign w:val="center"/>
          </w:tcPr>
          <w:p w14:paraId="278469F2" w14:textId="14D41AEC" w:rsidR="00663564" w:rsidRDefault="00C26141" w:rsidP="008F4814">
            <w:pPr>
              <w:pStyle w:val="BodyText"/>
              <w:jc w:val="center"/>
              <w:rPr>
                <w:sz w:val="20"/>
                <w:szCs w:val="20"/>
              </w:rPr>
            </w:pPr>
            <w:r>
              <w:rPr>
                <w:sz w:val="20"/>
                <w:szCs w:val="20"/>
              </w:rPr>
              <w:t>IaC</w:t>
            </w:r>
          </w:p>
        </w:tc>
        <w:tc>
          <w:tcPr>
            <w:tcW w:w="1559" w:type="dxa"/>
            <w:vAlign w:val="center"/>
          </w:tcPr>
          <w:p w14:paraId="1DE126A8" w14:textId="03B2C36D" w:rsidR="00663564" w:rsidRDefault="00C26141" w:rsidP="008F4814">
            <w:pPr>
              <w:pStyle w:val="BodyText"/>
              <w:jc w:val="center"/>
              <w:rPr>
                <w:sz w:val="20"/>
                <w:szCs w:val="20"/>
              </w:rPr>
            </w:pPr>
            <w:r>
              <w:rPr>
                <w:sz w:val="20"/>
                <w:szCs w:val="20"/>
              </w:rPr>
              <w:t>At deployment</w:t>
            </w:r>
          </w:p>
        </w:tc>
      </w:tr>
      <w:tr w:rsidR="00DE3BD3" w:rsidRPr="002348C5" w14:paraId="63151CD6" w14:textId="77777777" w:rsidTr="00D86881">
        <w:trPr>
          <w:trHeight w:val="290"/>
        </w:trPr>
        <w:tc>
          <w:tcPr>
            <w:tcW w:w="567" w:type="dxa"/>
            <w:noWrap/>
            <w:vAlign w:val="center"/>
          </w:tcPr>
          <w:p w14:paraId="5F1936C7" w14:textId="4620BFD2" w:rsidR="00F02F16" w:rsidRDefault="0035674C" w:rsidP="008F4814">
            <w:pPr>
              <w:pStyle w:val="BodyText"/>
              <w:rPr>
                <w:b/>
                <w:bCs/>
              </w:rPr>
            </w:pPr>
            <w:r>
              <w:rPr>
                <w:b/>
                <w:bCs/>
              </w:rPr>
              <w:t>R4</w:t>
            </w:r>
          </w:p>
        </w:tc>
        <w:tc>
          <w:tcPr>
            <w:tcW w:w="3544" w:type="dxa"/>
          </w:tcPr>
          <w:p w14:paraId="65574F73" w14:textId="3BE2E297" w:rsidR="00F02F16" w:rsidRPr="0092041E" w:rsidRDefault="00F02F16" w:rsidP="00F02F16">
            <w:pPr>
              <w:spacing w:before="0" w:after="0"/>
              <w:ind w:left="0" w:right="0"/>
              <w:rPr>
                <w:rFonts w:cs="Arial"/>
                <w:sz w:val="20"/>
                <w:szCs w:val="20"/>
              </w:rPr>
            </w:pPr>
            <w:r w:rsidRPr="0092041E">
              <w:rPr>
                <w:rFonts w:cs="Arial"/>
                <w:sz w:val="20"/>
                <w:szCs w:val="20"/>
              </w:rPr>
              <w:t>Service Endpoints don't allow a PaaS service to be accessed from on-premises networks. Private Endpoints do.</w:t>
            </w:r>
          </w:p>
        </w:tc>
        <w:tc>
          <w:tcPr>
            <w:tcW w:w="1559" w:type="dxa"/>
            <w:noWrap/>
            <w:vAlign w:val="center"/>
          </w:tcPr>
          <w:p w14:paraId="618FE2D7" w14:textId="52A379A1" w:rsidR="00F02F16" w:rsidRPr="002348C5" w:rsidRDefault="00C26141" w:rsidP="008F4814">
            <w:pPr>
              <w:pStyle w:val="BodyText"/>
              <w:jc w:val="center"/>
              <w:rPr>
                <w:sz w:val="20"/>
                <w:szCs w:val="20"/>
              </w:rPr>
            </w:pPr>
            <w:r>
              <w:rPr>
                <w:sz w:val="20"/>
                <w:szCs w:val="20"/>
              </w:rPr>
              <w:t>Yes</w:t>
            </w:r>
          </w:p>
        </w:tc>
        <w:tc>
          <w:tcPr>
            <w:tcW w:w="851" w:type="dxa"/>
            <w:noWrap/>
            <w:vAlign w:val="center"/>
          </w:tcPr>
          <w:p w14:paraId="67FE39CE" w14:textId="20CA244B" w:rsidR="00F02F16" w:rsidRDefault="00C26141" w:rsidP="008F4814">
            <w:pPr>
              <w:pStyle w:val="BodyText"/>
              <w:jc w:val="center"/>
              <w:rPr>
                <w:sz w:val="20"/>
                <w:szCs w:val="20"/>
              </w:rPr>
            </w:pPr>
            <w:r>
              <w:rPr>
                <w:sz w:val="20"/>
                <w:szCs w:val="20"/>
              </w:rPr>
              <w:t>Yes</w:t>
            </w:r>
          </w:p>
        </w:tc>
        <w:tc>
          <w:tcPr>
            <w:tcW w:w="1276" w:type="dxa"/>
            <w:vAlign w:val="center"/>
          </w:tcPr>
          <w:p w14:paraId="1EFC7CAA" w14:textId="41B2334D" w:rsidR="00F02F16" w:rsidRDefault="00C26141" w:rsidP="008F4814">
            <w:pPr>
              <w:pStyle w:val="BodyText"/>
              <w:jc w:val="center"/>
              <w:rPr>
                <w:sz w:val="20"/>
                <w:szCs w:val="20"/>
              </w:rPr>
            </w:pPr>
            <w:r>
              <w:rPr>
                <w:sz w:val="20"/>
                <w:szCs w:val="20"/>
              </w:rPr>
              <w:t>IaC</w:t>
            </w:r>
          </w:p>
        </w:tc>
        <w:tc>
          <w:tcPr>
            <w:tcW w:w="1559" w:type="dxa"/>
            <w:vAlign w:val="center"/>
          </w:tcPr>
          <w:p w14:paraId="57473DA7" w14:textId="25A60113" w:rsidR="00F02F16" w:rsidRDefault="00C26141" w:rsidP="008F4814">
            <w:pPr>
              <w:pStyle w:val="BodyText"/>
              <w:jc w:val="center"/>
              <w:rPr>
                <w:sz w:val="20"/>
                <w:szCs w:val="20"/>
              </w:rPr>
            </w:pPr>
            <w:r>
              <w:rPr>
                <w:sz w:val="20"/>
                <w:szCs w:val="20"/>
              </w:rPr>
              <w:t>At deployment</w:t>
            </w:r>
          </w:p>
        </w:tc>
      </w:tr>
    </w:tbl>
    <w:p w14:paraId="0275DB6D" w14:textId="69766615" w:rsidR="00DD6259" w:rsidRDefault="00411A13" w:rsidP="00BF0D51">
      <w:pPr>
        <w:pStyle w:val="Caption"/>
        <w:jc w:val="center"/>
        <w:rPr>
          <w:b w:val="0"/>
          <w:bCs/>
        </w:rPr>
      </w:pPr>
      <w:r>
        <w:t xml:space="preserve">Table </w:t>
      </w:r>
      <w:r w:rsidR="00F759C6">
        <w:fldChar w:fldCharType="begin"/>
      </w:r>
      <w:r w:rsidR="00F759C6">
        <w:instrText xml:space="preserve"> SEQ Table \* ARABIC </w:instrText>
      </w:r>
      <w:r w:rsidR="00F759C6">
        <w:fldChar w:fldCharType="separate"/>
      </w:r>
      <w:r w:rsidR="009B3946">
        <w:rPr>
          <w:noProof/>
        </w:rPr>
        <w:t>3</w:t>
      </w:r>
      <w:r w:rsidR="00F759C6">
        <w:rPr>
          <w:noProof/>
        </w:rPr>
        <w:fldChar w:fldCharType="end"/>
      </w:r>
      <w:r>
        <w:t>: WAF Reliability checklist summary</w:t>
      </w:r>
    </w:p>
    <w:p w14:paraId="7A30FF92" w14:textId="1ACE6CCD" w:rsidR="00442D9E" w:rsidRPr="00050F61" w:rsidRDefault="00442D9E" w:rsidP="00442D9E">
      <w:pPr>
        <w:pStyle w:val="Heading2"/>
        <w:rPr>
          <w:sz w:val="40"/>
          <w:szCs w:val="40"/>
        </w:rPr>
      </w:pPr>
      <w:bookmarkStart w:id="11" w:name="_Toc156483702"/>
      <w:r w:rsidRPr="00050F61">
        <w:rPr>
          <w:sz w:val="40"/>
          <w:szCs w:val="40"/>
        </w:rPr>
        <w:t>Cost Optimisation</w:t>
      </w:r>
      <w:bookmarkEnd w:id="11"/>
    </w:p>
    <w:p w14:paraId="045676B4" w14:textId="77777777" w:rsidR="009937DD" w:rsidRDefault="009937DD" w:rsidP="009937DD">
      <w:pPr>
        <w:pStyle w:val="Heading3"/>
        <w:numPr>
          <w:ilvl w:val="2"/>
          <w:numId w:val="7"/>
        </w:numPr>
      </w:pPr>
      <w:bookmarkStart w:id="12" w:name="_Toc156483703"/>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6"/>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Toc156483704"/>
    <w:p w14:paraId="5115B1F0" w14:textId="476B24CD" w:rsidR="002B1410" w:rsidRDefault="00F759C6"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t>Private Endpoint &amp; Azure Private DNS</w:t>
          </w:r>
        </w:sdtContent>
      </w:sdt>
      <w:r w:rsidR="002B1410">
        <w:t xml:space="preserve"> Cost Optimisation Checklist</w:t>
      </w:r>
      <w:bookmarkEnd w:id="13"/>
    </w:p>
    <w:p w14:paraId="1DAB537C" w14:textId="57666A79" w:rsidR="00D60BAD" w:rsidRPr="00702021" w:rsidRDefault="00535B30" w:rsidP="00702021">
      <w:pPr>
        <w:pStyle w:val="BodyText"/>
      </w:pPr>
      <w:r w:rsidRPr="00702021">
        <w:t>Th</w:t>
      </w:r>
      <w:r w:rsidR="00702021" w:rsidRPr="00702021">
        <w:t>ere is no guidance for cost optimisation for Private Endpoints or Private DNS.</w:t>
      </w:r>
      <w:r w:rsidR="00913D1E">
        <w:t xml:space="preserve"> Azure Private Link is a free service. </w:t>
      </w:r>
    </w:p>
    <w:p w14:paraId="201A9A97" w14:textId="596FDA7A" w:rsidR="00FC1BD7" w:rsidRPr="00FC1BD7" w:rsidRDefault="00535B30" w:rsidP="00702021">
      <w:pPr>
        <w:pStyle w:val="BodyText"/>
      </w:pPr>
      <w:r w:rsidRPr="00535B30">
        <w:rPr>
          <w:highlight w:val="yellow"/>
        </w:rPr>
        <w:t xml:space="preserve"> </w:t>
      </w:r>
    </w:p>
    <w:p w14:paraId="71DBA49E" w14:textId="090D1E75" w:rsidR="00442D9E" w:rsidRPr="00050F61" w:rsidRDefault="00442D9E" w:rsidP="00442D9E">
      <w:pPr>
        <w:pStyle w:val="Heading2"/>
        <w:rPr>
          <w:sz w:val="40"/>
          <w:szCs w:val="40"/>
        </w:rPr>
      </w:pPr>
      <w:bookmarkStart w:id="14" w:name="_Toc156483705"/>
      <w:r w:rsidRPr="00050F61">
        <w:rPr>
          <w:sz w:val="40"/>
          <w:szCs w:val="40"/>
        </w:rPr>
        <w:t>Operational Excellence</w:t>
      </w:r>
      <w:bookmarkEnd w:id="14"/>
    </w:p>
    <w:p w14:paraId="05CC32DA" w14:textId="32EB56EE" w:rsidR="002348C5" w:rsidRDefault="002348C5" w:rsidP="00EC4D94">
      <w:pPr>
        <w:pStyle w:val="Heading3"/>
        <w:numPr>
          <w:ilvl w:val="2"/>
          <w:numId w:val="7"/>
        </w:numPr>
      </w:pPr>
      <w:r>
        <w:t xml:space="preserve"> </w:t>
      </w:r>
      <w:bookmarkStart w:id="15" w:name="_Toc156483706"/>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6" w:name="_Toc156483707"/>
    <w:p w14:paraId="78EFAA12" w14:textId="7DA37326" w:rsidR="002B1410" w:rsidRDefault="00F759C6"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t>Private Endpoint &amp; Azure Private DNS</w:t>
          </w:r>
        </w:sdtContent>
      </w:sdt>
      <w:r w:rsidR="002B1410">
        <w:t xml:space="preserve"> Operational Excellence Checklist</w:t>
      </w:r>
      <w:bookmarkEnd w:id="16"/>
    </w:p>
    <w:p w14:paraId="0F143702" w14:textId="6545632D" w:rsidR="009D740E" w:rsidRDefault="009D740E" w:rsidP="009D740E">
      <w:pPr>
        <w:pStyle w:val="BodyText"/>
      </w:pPr>
      <w:r>
        <w:t>There is no guidance for Operational Excellence for Private Endpoint or Private DNS.</w:t>
      </w:r>
    </w:p>
    <w:p w14:paraId="7864874A" w14:textId="77777777" w:rsidR="009D740E" w:rsidRDefault="009D740E" w:rsidP="009D740E">
      <w:pPr>
        <w:pStyle w:val="BodyText"/>
      </w:pPr>
    </w:p>
    <w:p w14:paraId="63A9C6A1" w14:textId="77777777" w:rsidR="00D60BAD" w:rsidRDefault="00D60BAD" w:rsidP="009D740E">
      <w:pPr>
        <w:pStyle w:val="BodyText"/>
      </w:pPr>
    </w:p>
    <w:p w14:paraId="47D67C67" w14:textId="77777777" w:rsidR="00D60BAD" w:rsidRPr="009D740E" w:rsidRDefault="00D60BAD" w:rsidP="009D740E">
      <w:pPr>
        <w:pStyle w:val="BodyText"/>
      </w:pPr>
    </w:p>
    <w:p w14:paraId="2C368515" w14:textId="1C2173EF" w:rsidR="00442D9E" w:rsidRPr="00050F61" w:rsidRDefault="00442D9E" w:rsidP="00442D9E">
      <w:pPr>
        <w:pStyle w:val="Heading2"/>
        <w:rPr>
          <w:sz w:val="40"/>
          <w:szCs w:val="40"/>
        </w:rPr>
      </w:pPr>
      <w:bookmarkStart w:id="17" w:name="_Toc156483708"/>
      <w:r w:rsidRPr="00050F61">
        <w:rPr>
          <w:sz w:val="40"/>
          <w:szCs w:val="40"/>
        </w:rPr>
        <w:t>Performance Efficiency</w:t>
      </w:r>
      <w:bookmarkEnd w:id="17"/>
    </w:p>
    <w:p w14:paraId="3A46ECA4" w14:textId="77777777" w:rsidR="00050F61" w:rsidRDefault="00050F61" w:rsidP="00050F61">
      <w:pPr>
        <w:pStyle w:val="Heading3"/>
        <w:numPr>
          <w:ilvl w:val="2"/>
          <w:numId w:val="7"/>
        </w:numPr>
      </w:pPr>
      <w:bookmarkStart w:id="18" w:name="_Toc156483709"/>
      <w:r w:rsidRPr="002348C5">
        <w:t>Overview</w:t>
      </w:r>
      <w:bookmarkEnd w:id="18"/>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7"/>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9" w:name="_Toc156483710"/>
    <w:p w14:paraId="33F4EEB7" w14:textId="5796F06A" w:rsidR="008E30DC" w:rsidRDefault="00F759C6"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t>Private Endpoint &amp; Azure Private DNS</w:t>
          </w:r>
        </w:sdtContent>
      </w:sdt>
      <w:r w:rsidR="008E30DC">
        <w:t xml:space="preserve"> Performance Efficiency Checklist</w:t>
      </w:r>
      <w:bookmarkEnd w:id="19"/>
    </w:p>
    <w:p w14:paraId="7A24A4F9" w14:textId="2BB2B43F" w:rsidR="00DD6259" w:rsidRDefault="00243AFD" w:rsidP="00050F61">
      <w:pPr>
        <w:pStyle w:val="BodyText"/>
      </w:pPr>
      <w:r>
        <w:t xml:space="preserve">There is no guidance for Performance Efficiency for Private Endpoint or Private DNS. </w:t>
      </w:r>
    </w:p>
    <w:p w14:paraId="2100795A" w14:textId="77777777" w:rsidR="006E092C" w:rsidRPr="00050F61" w:rsidRDefault="006E092C" w:rsidP="00050F61">
      <w:pPr>
        <w:pStyle w:val="BodyText"/>
      </w:pPr>
    </w:p>
    <w:p w14:paraId="1F6E6333" w14:textId="5710D6B5" w:rsidR="00442D9E" w:rsidRPr="00050F61" w:rsidRDefault="00442D9E" w:rsidP="00EC4D94">
      <w:pPr>
        <w:pStyle w:val="Heading2"/>
        <w:rPr>
          <w:sz w:val="40"/>
          <w:szCs w:val="40"/>
        </w:rPr>
      </w:pPr>
      <w:bookmarkStart w:id="20" w:name="_Toc156483711"/>
      <w:r w:rsidRPr="00050F61">
        <w:rPr>
          <w:sz w:val="40"/>
          <w:szCs w:val="40"/>
        </w:rPr>
        <w:t>Security</w:t>
      </w:r>
      <w:bookmarkEnd w:id="20"/>
    </w:p>
    <w:p w14:paraId="7C4DECDC" w14:textId="77777777" w:rsidR="00050F61" w:rsidRDefault="00050F61" w:rsidP="007D289F">
      <w:pPr>
        <w:pStyle w:val="Heading3"/>
        <w:numPr>
          <w:ilvl w:val="2"/>
          <w:numId w:val="7"/>
        </w:numPr>
        <w:jc w:val="both"/>
      </w:pPr>
      <w:bookmarkStart w:id="21" w:name="_Overview"/>
      <w:bookmarkStart w:id="22" w:name="_Toc156483712"/>
      <w:bookmarkEnd w:id="21"/>
      <w:r w:rsidRPr="002348C5">
        <w:t>Overview</w:t>
      </w:r>
      <w:bookmarkEnd w:id="22"/>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8"/>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57177A26" w14:textId="74D7EAC2" w:rsidR="00AB4AC0" w:rsidRDefault="00AB4AC0" w:rsidP="007D289F">
      <w:pPr>
        <w:pStyle w:val="BodyText"/>
        <w:jc w:val="both"/>
      </w:pPr>
      <w:r>
        <w:t>The following Microsoft Security Benchmark controls are:</w:t>
      </w:r>
    </w:p>
    <w:p w14:paraId="6F733646" w14:textId="44C9F9B4" w:rsidR="00AB4AC0" w:rsidRDefault="00AB4AC0" w:rsidP="00AB4AC0">
      <w:pPr>
        <w:pStyle w:val="BodyText"/>
        <w:numPr>
          <w:ilvl w:val="0"/>
          <w:numId w:val="38"/>
        </w:numPr>
        <w:jc w:val="both"/>
      </w:pPr>
      <w:r w:rsidRPr="00AB4AC0">
        <w:t>NS-1: Establish network segmentation boundaries</w:t>
      </w:r>
    </w:p>
    <w:p w14:paraId="0ED593B4" w14:textId="3FC93729" w:rsidR="00AB4AC0" w:rsidRDefault="00500311" w:rsidP="00AB4AC0">
      <w:pPr>
        <w:pStyle w:val="BodyText"/>
        <w:numPr>
          <w:ilvl w:val="0"/>
          <w:numId w:val="38"/>
        </w:numPr>
        <w:jc w:val="both"/>
      </w:pPr>
      <w:r w:rsidRPr="00500311">
        <w:t>NS-2: Secure cloud services with network controls</w:t>
      </w:r>
    </w:p>
    <w:p w14:paraId="4E9C4605" w14:textId="1FF8C5E3" w:rsidR="00961CC7" w:rsidRDefault="00961CC7" w:rsidP="00AB4AC0">
      <w:pPr>
        <w:pStyle w:val="BodyText"/>
        <w:numPr>
          <w:ilvl w:val="0"/>
          <w:numId w:val="38"/>
        </w:numPr>
        <w:jc w:val="both"/>
      </w:pPr>
      <w:r w:rsidRPr="00961CC7">
        <w:t>LT-1: Enable threat detection capabilities</w:t>
      </w:r>
    </w:p>
    <w:p w14:paraId="2DB1A233" w14:textId="17533EB3" w:rsidR="00961CC7" w:rsidRDefault="00961CC7" w:rsidP="00AB4AC0">
      <w:pPr>
        <w:pStyle w:val="BodyText"/>
        <w:numPr>
          <w:ilvl w:val="0"/>
          <w:numId w:val="38"/>
        </w:numPr>
        <w:jc w:val="both"/>
      </w:pPr>
      <w:r w:rsidRPr="00961CC7">
        <w:t>LT-4: Enable logging for security investigation</w:t>
      </w:r>
    </w:p>
    <w:p w14:paraId="4825034D" w14:textId="77777777" w:rsidR="006E5345" w:rsidRDefault="006E5345" w:rsidP="002034C7">
      <w:pPr>
        <w:pStyle w:val="BodyText"/>
        <w:ind w:left="720"/>
        <w:jc w:val="both"/>
      </w:pPr>
    </w:p>
    <w:p w14:paraId="2C656A81" w14:textId="63D45E0D" w:rsidR="00CB3FE9" w:rsidRDefault="00A15A6E" w:rsidP="00CB3FE9">
      <w:r>
        <w:t xml:space="preserve">There are no Department of Health controls above and beyond the Microsoft Benchmark. </w:t>
      </w:r>
    </w:p>
    <w:p w14:paraId="7618CD5D" w14:textId="77777777" w:rsidR="00CB3FE9" w:rsidRDefault="00CB3FE9" w:rsidP="00CB3FE9"/>
    <w:p w14:paraId="6B448DFD" w14:textId="77777777" w:rsidR="00525B21" w:rsidRDefault="00525B21" w:rsidP="00525B21">
      <w:pPr>
        <w:pStyle w:val="Heading1"/>
        <w:jc w:val="both"/>
        <w:rPr>
          <w:rFonts w:cs="Arial"/>
        </w:rPr>
      </w:pPr>
      <w:bookmarkStart w:id="23" w:name="_Toc156483713"/>
      <w:r>
        <w:rPr>
          <w:rFonts w:cs="Arial"/>
        </w:rPr>
        <w:t>Architecture Summary</w:t>
      </w:r>
      <w:bookmarkEnd w:id="23"/>
    </w:p>
    <w:p w14:paraId="43739DFB" w14:textId="77777777" w:rsidR="00116140" w:rsidRDefault="00116140" w:rsidP="00116140">
      <w:pPr>
        <w:pStyle w:val="Heading2"/>
      </w:pPr>
      <w:bookmarkStart w:id="24" w:name="_Toc150966124"/>
      <w:bookmarkStart w:id="25" w:name="_Toc156483714"/>
      <w:r>
        <w:t>Resource Overview</w:t>
      </w:r>
      <w:bookmarkEnd w:id="24"/>
      <w:bookmarkEnd w:id="25"/>
    </w:p>
    <w:p w14:paraId="5EF2B4D5" w14:textId="5D58BA6A" w:rsidR="00796C11" w:rsidRDefault="00796C11" w:rsidP="00F81506">
      <w:pPr>
        <w:pStyle w:val="BodyText"/>
        <w:jc w:val="both"/>
      </w:pPr>
      <w:r>
        <w:t>Azure offers several services that are related to Private Connectivity:</w:t>
      </w:r>
    </w:p>
    <w:p w14:paraId="1BA5A80D" w14:textId="4467D8BD" w:rsidR="00796C11" w:rsidRDefault="00796C11" w:rsidP="00796C11">
      <w:pPr>
        <w:pStyle w:val="BodyText"/>
        <w:numPr>
          <w:ilvl w:val="0"/>
          <w:numId w:val="36"/>
        </w:numPr>
        <w:jc w:val="both"/>
      </w:pPr>
      <w:r>
        <w:t>Private Endpoint</w:t>
      </w:r>
    </w:p>
    <w:p w14:paraId="0C6999D1" w14:textId="62A26AF6" w:rsidR="00796C11" w:rsidRDefault="00796C11" w:rsidP="00796C11">
      <w:pPr>
        <w:pStyle w:val="BodyText"/>
        <w:numPr>
          <w:ilvl w:val="0"/>
          <w:numId w:val="36"/>
        </w:numPr>
        <w:jc w:val="both"/>
      </w:pPr>
      <w:r>
        <w:t>Private Link</w:t>
      </w:r>
    </w:p>
    <w:p w14:paraId="5239FCB2" w14:textId="26DB4160" w:rsidR="00796C11" w:rsidRDefault="00796C11" w:rsidP="00796C11">
      <w:pPr>
        <w:pStyle w:val="BodyText"/>
        <w:numPr>
          <w:ilvl w:val="0"/>
          <w:numId w:val="36"/>
        </w:numPr>
        <w:jc w:val="both"/>
      </w:pPr>
      <w:r>
        <w:t>Private DNS</w:t>
      </w:r>
    </w:p>
    <w:p w14:paraId="198BCD74" w14:textId="77777777" w:rsidR="00796C11" w:rsidRDefault="00796C11" w:rsidP="00796C11">
      <w:pPr>
        <w:pStyle w:val="BodyText"/>
        <w:jc w:val="both"/>
      </w:pPr>
    </w:p>
    <w:p w14:paraId="44D45080" w14:textId="25EABE4E" w:rsidR="00D54E32" w:rsidRDefault="00FE41E7" w:rsidP="00C36D39">
      <w:pPr>
        <w:pStyle w:val="BodyText"/>
        <w:jc w:val="both"/>
      </w:pPr>
      <w:r>
        <w:t>Azure P</w:t>
      </w:r>
      <w:r w:rsidR="00392EDC">
        <w:t>riv</w:t>
      </w:r>
      <w:r>
        <w:t>ate Endpoint</w:t>
      </w:r>
      <w:r w:rsidR="009112C2">
        <w:t xml:space="preserve"> (PE)</w:t>
      </w:r>
      <w:r>
        <w:t xml:space="preserve"> is a Network Interface that </w:t>
      </w:r>
      <w:r w:rsidR="00392EDC">
        <w:t>enables you to connect securely to Azure services</w:t>
      </w:r>
      <w:r w:rsidR="00A81280">
        <w:rPr>
          <w:rStyle w:val="FootnoteReference"/>
        </w:rPr>
        <w:footnoteReference w:id="9"/>
      </w:r>
      <w:r w:rsidR="00392EDC">
        <w:t xml:space="preserve">. </w:t>
      </w:r>
      <w:r w:rsidR="00743C7D">
        <w:t>This interface uses a private IP address from an existing Azure Virtual Network</w:t>
      </w:r>
      <w:r w:rsidR="009112C2">
        <w:t xml:space="preserve">. Deploying a PE brings the service into your virtual network. </w:t>
      </w:r>
    </w:p>
    <w:p w14:paraId="53EF1450" w14:textId="77777777" w:rsidR="004E55EC" w:rsidRDefault="004E55EC" w:rsidP="00C36D39">
      <w:pPr>
        <w:pStyle w:val="BodyText"/>
        <w:jc w:val="both"/>
      </w:pPr>
    </w:p>
    <w:p w14:paraId="6F1C19AA" w14:textId="61D189E3" w:rsidR="004E55EC" w:rsidRDefault="004E55EC" w:rsidP="00C36D39">
      <w:pPr>
        <w:pStyle w:val="BodyText"/>
        <w:jc w:val="both"/>
      </w:pPr>
      <w:r>
        <w:t xml:space="preserve">Private Link is a </w:t>
      </w:r>
      <w:r w:rsidR="00953084">
        <w:t>service that allows you to access PaaS services through a Private Endpoint in your own virtual network without exposing network traffic to the public internet</w:t>
      </w:r>
      <w:r w:rsidR="00C36D39">
        <w:rPr>
          <w:rStyle w:val="FootnoteReference"/>
        </w:rPr>
        <w:footnoteReference w:id="10"/>
      </w:r>
      <w:r w:rsidR="00953084">
        <w:t xml:space="preserve">. </w:t>
      </w:r>
      <w:r w:rsidR="005E3820">
        <w:t xml:space="preserve">A Private Link service can have many Private Endpoints pointing to it, but a Private Endpoint can only be attached to a single Private Link. </w:t>
      </w:r>
      <w:r w:rsidR="00EF4EC5">
        <w:t xml:space="preserve">A Private link is not always required. </w:t>
      </w:r>
      <w:r w:rsidR="00BE3231">
        <w:t>Typically,</w:t>
      </w:r>
      <w:r w:rsidR="00EF4EC5">
        <w:t xml:space="preserve"> this is to privately render a service, as opposed to Private Endpoint which is typically used to connect to a service and is the more likely use case. </w:t>
      </w:r>
      <w:r w:rsidR="00062B6D">
        <w:t xml:space="preserve">In some cases, a service may have a pre-defined Private Link Scope required, such as Azure Arc. </w:t>
      </w:r>
    </w:p>
    <w:p w14:paraId="01364E7B" w14:textId="77777777" w:rsidR="004E55EC" w:rsidRDefault="004E55EC" w:rsidP="00C36D39">
      <w:pPr>
        <w:pStyle w:val="BodyText"/>
        <w:jc w:val="both"/>
      </w:pPr>
    </w:p>
    <w:p w14:paraId="45CE8217" w14:textId="4ECB2183" w:rsidR="00770EF2" w:rsidRDefault="00740785" w:rsidP="00C36D39">
      <w:pPr>
        <w:pStyle w:val="BodyText"/>
        <w:jc w:val="both"/>
      </w:pPr>
      <w:r>
        <w:t>Finally</w:t>
      </w:r>
      <w:r w:rsidR="00062B6D">
        <w:t>,</w:t>
      </w:r>
      <w:r>
        <w:t xml:space="preserve"> to ensure that Private Endpoints </w:t>
      </w:r>
      <w:r w:rsidR="003C4202">
        <w:t>can</w:t>
      </w:r>
      <w:r>
        <w:t xml:space="preserve"> correctly resolve names against their Private IPs, a Private DNS zone is required for each service</w:t>
      </w:r>
      <w:r w:rsidR="007E7A5E">
        <w:t xml:space="preserve"> with some configuration also required in the On-Prem DNS to enable the use of custom DNS</w:t>
      </w:r>
      <w:r w:rsidR="00C36D39">
        <w:t xml:space="preserve"> when Azure DNS is not being used. </w:t>
      </w:r>
    </w:p>
    <w:p w14:paraId="557672E0" w14:textId="77777777" w:rsidR="00BE3231" w:rsidRDefault="00BE3231" w:rsidP="00C36D39">
      <w:pPr>
        <w:pStyle w:val="BodyText"/>
        <w:jc w:val="both"/>
      </w:pPr>
    </w:p>
    <w:p w14:paraId="4986235F" w14:textId="0E3C757F" w:rsidR="00BE3231" w:rsidRDefault="00BE3231" w:rsidP="00BE3231">
      <w:pPr>
        <w:pStyle w:val="Heading2"/>
      </w:pPr>
      <w:bookmarkStart w:id="26" w:name="_Toc156483715"/>
      <w:r>
        <w:t>Resource Centralisation</w:t>
      </w:r>
      <w:bookmarkEnd w:id="26"/>
    </w:p>
    <w:p w14:paraId="691866B1" w14:textId="5D3149BE" w:rsidR="00BE3231" w:rsidRDefault="00CC4AC8" w:rsidP="006A28F3">
      <w:pPr>
        <w:pStyle w:val="BodyText"/>
        <w:jc w:val="both"/>
      </w:pPr>
      <w:r>
        <w:t xml:space="preserve">For a hub-and-spoke architecture it is recommended to have the Private DNS zones centralised in the same location as </w:t>
      </w:r>
      <w:r w:rsidR="00C344A9">
        <w:t xml:space="preserve">the Hub </w:t>
      </w:r>
      <w:r>
        <w:t>network</w:t>
      </w:r>
      <w:r w:rsidR="00C344A9">
        <w:rPr>
          <w:rStyle w:val="FootnoteReference"/>
        </w:rPr>
        <w:footnoteReference w:id="11"/>
      </w:r>
      <w:r>
        <w:t xml:space="preserve">. </w:t>
      </w:r>
      <w:r w:rsidR="00B40F02">
        <w:t xml:space="preserve">This centralised model is </w:t>
      </w:r>
      <w:r w:rsidR="006A28F3">
        <w:t xml:space="preserve">driven by cross-premises DNS name resolution, and RBAC control. </w:t>
      </w:r>
    </w:p>
    <w:p w14:paraId="218B2DF0" w14:textId="2D58BC04" w:rsidR="00BE3231" w:rsidRDefault="00BE3231" w:rsidP="006A28F3">
      <w:pPr>
        <w:pStyle w:val="BodyText"/>
        <w:jc w:val="both"/>
      </w:pPr>
    </w:p>
    <w:p w14:paraId="4E5F3F1C" w14:textId="6AD17700" w:rsidR="001D02D5" w:rsidRDefault="001D02D5" w:rsidP="006A28F3">
      <w:pPr>
        <w:pStyle w:val="BodyText"/>
        <w:jc w:val="both"/>
      </w:pPr>
      <w:r>
        <w:t xml:space="preserve">For Ambulance Victoria a resource group will host all the Private DNS zones, and for every new Private Endpoint deployment there will be a requirement to update the central Private DNS zone with an A record for the new Private Endpoint. </w:t>
      </w:r>
      <w:r w:rsidR="0080044C">
        <w:t>This configuration is detailed in</w:t>
      </w:r>
      <w:r w:rsidR="00DD7627">
        <w:t xml:space="preserve"> Figure </w:t>
      </w:r>
      <w:r w:rsidR="00A53566">
        <w:t xml:space="preserve">1 in the following section. </w:t>
      </w:r>
    </w:p>
    <w:p w14:paraId="2544BB6C" w14:textId="77777777" w:rsidR="0091798A" w:rsidRDefault="0091798A" w:rsidP="006A28F3">
      <w:pPr>
        <w:pStyle w:val="BodyText"/>
        <w:jc w:val="both"/>
      </w:pPr>
    </w:p>
    <w:p w14:paraId="1B04BA01" w14:textId="77777777" w:rsidR="00740801" w:rsidRDefault="00740801" w:rsidP="006A28F3">
      <w:pPr>
        <w:pStyle w:val="BodyText"/>
        <w:jc w:val="both"/>
      </w:pPr>
    </w:p>
    <w:p w14:paraId="1A4034AC" w14:textId="77777777" w:rsidR="00D54E32" w:rsidRPr="009F3BA8" w:rsidRDefault="00D54E32" w:rsidP="009F3BA8">
      <w:pPr>
        <w:pStyle w:val="BodyText"/>
      </w:pPr>
    </w:p>
    <w:p w14:paraId="392B427B" w14:textId="29F8962C" w:rsidR="00BB11AE" w:rsidRDefault="00BB11AE" w:rsidP="00EC4D94">
      <w:pPr>
        <w:pStyle w:val="Heading2"/>
      </w:pPr>
      <w:bookmarkStart w:id="27" w:name="_Toc156483716"/>
      <w:r>
        <w:t>RBAC</w:t>
      </w:r>
      <w:bookmarkEnd w:id="27"/>
    </w:p>
    <w:p w14:paraId="4783E2C2" w14:textId="49356DD2" w:rsidR="00CB76E0" w:rsidRPr="00D54E32" w:rsidRDefault="00CB76E0" w:rsidP="00CB76E0">
      <w:pPr>
        <w:pStyle w:val="BodyText"/>
        <w:jc w:val="both"/>
      </w:pPr>
      <w:r w:rsidRPr="00D54E32">
        <w:t>For th</w:t>
      </w:r>
      <w:r w:rsidR="0054628C" w:rsidRPr="00D54E32">
        <w:t xml:space="preserve">is </w:t>
      </w:r>
      <w:r w:rsidRPr="00D54E32">
        <w:t>resource, the specific roles that can be applied are as follows:</w:t>
      </w:r>
    </w:p>
    <w:tbl>
      <w:tblPr>
        <w:tblStyle w:val="AVTable1"/>
        <w:tblW w:w="0" w:type="auto"/>
        <w:tblLook w:val="04A0" w:firstRow="1" w:lastRow="0" w:firstColumn="1" w:lastColumn="0" w:noHBand="0" w:noVBand="1"/>
      </w:tblPr>
      <w:tblGrid>
        <w:gridCol w:w="3402"/>
        <w:gridCol w:w="5625"/>
      </w:tblGrid>
      <w:tr w:rsidR="00CB76E0" w:rsidRPr="00D54E32" w14:paraId="28BE6462" w14:textId="77777777" w:rsidTr="00EC4D94">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D54E32" w:rsidRDefault="00CB76E0" w:rsidP="00EC4D94">
            <w:pPr>
              <w:pStyle w:val="BodyText"/>
              <w:jc w:val="both"/>
              <w:rPr>
                <w:color w:val="FFFFFF" w:themeColor="background1"/>
              </w:rPr>
            </w:pPr>
            <w:r w:rsidRPr="00D54E32">
              <w:rPr>
                <w:color w:val="FFFFFF" w:themeColor="background1"/>
              </w:rPr>
              <w:t>Role Name</w:t>
            </w:r>
          </w:p>
        </w:tc>
        <w:tc>
          <w:tcPr>
            <w:tcW w:w="5625" w:type="dxa"/>
          </w:tcPr>
          <w:p w14:paraId="564ED140" w14:textId="77777777" w:rsidR="00CB76E0" w:rsidRPr="00D54E32" w:rsidRDefault="00CB76E0" w:rsidP="00EC4D94">
            <w:pPr>
              <w:pStyle w:val="BodyText"/>
              <w:jc w:val="both"/>
              <w:rPr>
                <w:color w:val="FFFFFF" w:themeColor="background1"/>
              </w:rPr>
            </w:pPr>
            <w:r w:rsidRPr="00D54E32">
              <w:rPr>
                <w:color w:val="FFFFFF" w:themeColor="background1"/>
              </w:rPr>
              <w:t>Description</w:t>
            </w:r>
          </w:p>
        </w:tc>
      </w:tr>
      <w:tr w:rsidR="00CB76E0" w:rsidRPr="00D54E32" w14:paraId="6B9EF577" w14:textId="77777777" w:rsidTr="00EC4D94">
        <w:tc>
          <w:tcPr>
            <w:tcW w:w="3402" w:type="dxa"/>
          </w:tcPr>
          <w:p w14:paraId="1EC10B79" w14:textId="77777777" w:rsidR="00CB76E0" w:rsidRPr="00D54E32" w:rsidRDefault="00CB76E0" w:rsidP="00EC4D94">
            <w:pPr>
              <w:pStyle w:val="BodyText"/>
              <w:jc w:val="both"/>
            </w:pPr>
            <w:r w:rsidRPr="00D54E32">
              <w:t>Network Contributor</w:t>
            </w:r>
          </w:p>
        </w:tc>
        <w:tc>
          <w:tcPr>
            <w:tcW w:w="5625" w:type="dxa"/>
          </w:tcPr>
          <w:p w14:paraId="6EE1E870" w14:textId="77777777" w:rsidR="00CB76E0" w:rsidRPr="00D54E32" w:rsidRDefault="00CB76E0" w:rsidP="00EC4D94">
            <w:pPr>
              <w:pStyle w:val="BodyText"/>
              <w:keepNext/>
              <w:jc w:val="both"/>
              <w:rPr>
                <w:rFonts w:cs="Arial"/>
              </w:rPr>
            </w:pPr>
            <w:r w:rsidRPr="00D54E32">
              <w:rPr>
                <w:rFonts w:cs="Arial"/>
                <w:color w:val="161616"/>
                <w:shd w:val="clear" w:color="auto" w:fill="FFFFFF"/>
              </w:rPr>
              <w:t>Lets you manage networks, but not access to them.</w:t>
            </w:r>
          </w:p>
        </w:tc>
      </w:tr>
    </w:tbl>
    <w:p w14:paraId="54D3AF9B" w14:textId="3C7381E8" w:rsidR="00CB76E0" w:rsidRPr="00CB76E0" w:rsidRDefault="00CB76E0" w:rsidP="00FE41E7">
      <w:pPr>
        <w:pStyle w:val="Caption"/>
        <w:jc w:val="center"/>
      </w:pPr>
      <w:r w:rsidRPr="00D54E32">
        <w:t xml:space="preserve">Table </w:t>
      </w:r>
      <w:r w:rsidR="00F759C6">
        <w:fldChar w:fldCharType="begin"/>
      </w:r>
      <w:r w:rsidR="00F759C6">
        <w:instrText xml:space="preserve"> SEQ Table \* ARABIC </w:instrText>
      </w:r>
      <w:r w:rsidR="00F759C6">
        <w:fldChar w:fldCharType="separate"/>
      </w:r>
      <w:r w:rsidR="009B3946">
        <w:rPr>
          <w:noProof/>
        </w:rPr>
        <w:t>7</w:t>
      </w:r>
      <w:r w:rsidR="00F759C6">
        <w:rPr>
          <w:noProof/>
        </w:rPr>
        <w:fldChar w:fldCharType="end"/>
      </w:r>
      <w:r w:rsidRPr="00D54E32">
        <w:t>: RBAC roles relevant for this core service</w:t>
      </w:r>
    </w:p>
    <w:p w14:paraId="40082283" w14:textId="4E15FD5E" w:rsidR="00525B21" w:rsidRDefault="00525B21" w:rsidP="00525B21">
      <w:pPr>
        <w:pStyle w:val="Heading2"/>
      </w:pPr>
      <w:bookmarkStart w:id="28" w:name="_Toc156483717"/>
      <w:r>
        <w:t xml:space="preserve">Solution </w:t>
      </w:r>
      <w:r w:rsidR="00AE7D6D">
        <w:t>D</w:t>
      </w:r>
      <w:r>
        <w:t>iagram</w:t>
      </w:r>
      <w:bookmarkEnd w:id="28"/>
    </w:p>
    <w:p w14:paraId="2C6CD7EB" w14:textId="77777777" w:rsidR="008A37E9" w:rsidRDefault="008A37E9" w:rsidP="008A37E9">
      <w:pPr>
        <w:pStyle w:val="BodyText"/>
        <w:keepNext/>
      </w:pPr>
      <w:r>
        <w:object w:dxaOrig="12821" w:dyaOrig="12391" w14:anchorId="71EC9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5pt;height:467.7pt" o:ole="">
            <v:imagedata r:id="rId18" o:title=""/>
          </v:shape>
          <o:OLEObject Type="Embed" ProgID="Visio.Drawing.15" ShapeID="_x0000_i1025" DrawAspect="Content" ObjectID="_1767598999" r:id="rId19"/>
        </w:object>
      </w:r>
    </w:p>
    <w:p w14:paraId="3C6372EE" w14:textId="3E95EB32" w:rsidR="00E51AF4" w:rsidRDefault="008A37E9" w:rsidP="008A37E9">
      <w:pPr>
        <w:pStyle w:val="Caption"/>
        <w:jc w:val="center"/>
      </w:pPr>
      <w:r>
        <w:t xml:space="preserve">Figure </w:t>
      </w:r>
      <w:r w:rsidR="00F759C6">
        <w:fldChar w:fldCharType="begin"/>
      </w:r>
      <w:r w:rsidR="00F759C6">
        <w:instrText xml:space="preserve"> SEQ Figure \* ARABIC </w:instrText>
      </w:r>
      <w:r w:rsidR="00F759C6">
        <w:fldChar w:fldCharType="separate"/>
      </w:r>
      <w:r>
        <w:rPr>
          <w:noProof/>
        </w:rPr>
        <w:t>1</w:t>
      </w:r>
      <w:r w:rsidR="00F759C6">
        <w:rPr>
          <w:noProof/>
        </w:rPr>
        <w:fldChar w:fldCharType="end"/>
      </w:r>
      <w:r>
        <w:t>: Private DNS and Private Endpoint Configuration (Including AZ 2 DCs)</w:t>
      </w:r>
    </w:p>
    <w:p w14:paraId="63E83749" w14:textId="77777777" w:rsidR="00E51AF4" w:rsidRDefault="00E51AF4" w:rsidP="00525B21">
      <w:pPr>
        <w:pStyle w:val="BodyText"/>
      </w:pPr>
    </w:p>
    <w:p w14:paraId="1844774B" w14:textId="77777777" w:rsidR="00E51AF4" w:rsidRDefault="00E51AF4" w:rsidP="00525B21">
      <w:pPr>
        <w:pStyle w:val="BodyText"/>
      </w:pPr>
    </w:p>
    <w:p w14:paraId="76D4AAC1" w14:textId="7FFDADE1" w:rsidR="00525B21" w:rsidRDefault="00525B21" w:rsidP="00525B21">
      <w:pPr>
        <w:pStyle w:val="Heading2"/>
      </w:pPr>
      <w:bookmarkStart w:id="29" w:name="_Toc156483718"/>
      <w:r>
        <w:t>Design Decisions and Justifications</w:t>
      </w:r>
      <w:bookmarkEnd w:id="29"/>
    </w:p>
    <w:p w14:paraId="427E9337" w14:textId="767702F1"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t>Private Endpoint &amp; Azure Private DNS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23CBE4BA" w:rsidR="00DA6DA9" w:rsidRPr="005A4EBA" w:rsidRDefault="00985BF9" w:rsidP="007D289F">
      <w:pPr>
        <w:pStyle w:val="Heading3"/>
        <w:numPr>
          <w:ilvl w:val="2"/>
          <w:numId w:val="7"/>
        </w:numPr>
        <w:jc w:val="both"/>
      </w:pPr>
      <w:bookmarkStart w:id="30" w:name="_Toc156483719"/>
      <w:r w:rsidRPr="005A4EBA">
        <w:t xml:space="preserve">Private Endpoint </w:t>
      </w:r>
      <w:r w:rsidR="005A4EBA" w:rsidRPr="005A4EBA">
        <w:t>Use</w:t>
      </w:r>
      <w:bookmarkEnd w:id="30"/>
      <w:r w:rsidR="00B86C94">
        <w:t xml:space="preserve"> and Deployment</w:t>
      </w:r>
    </w:p>
    <w:p w14:paraId="76DA95FF" w14:textId="31D7F44C" w:rsidR="00A42B8D" w:rsidRPr="005A4EBA" w:rsidRDefault="00A42B8D" w:rsidP="007D289F">
      <w:pPr>
        <w:pStyle w:val="BodyText"/>
        <w:jc w:val="both"/>
        <w:rPr>
          <w:b/>
          <w:bCs/>
        </w:rPr>
      </w:pPr>
      <w:r w:rsidRPr="005A4EBA">
        <w:rPr>
          <w:b/>
          <w:bCs/>
        </w:rPr>
        <w:t xml:space="preserve">Design Reference: </w:t>
      </w:r>
      <w:r w:rsidRPr="005A4EBA">
        <w:t xml:space="preserve">Table 2 – </w:t>
      </w:r>
      <w:hyperlink w:anchor="_Private_Endpoint_&amp;" w:history="1">
        <w:r w:rsidRPr="005A4EBA">
          <w:rPr>
            <w:rStyle w:val="Hyperlink"/>
          </w:rPr>
          <w:t>R</w:t>
        </w:r>
        <w:r w:rsidR="00B41CED" w:rsidRPr="005A4EBA">
          <w:rPr>
            <w:rStyle w:val="Hyperlink"/>
          </w:rPr>
          <w:t>1, R3, R4</w:t>
        </w:r>
      </w:hyperlink>
    </w:p>
    <w:p w14:paraId="7A1CE1C9" w14:textId="77777777" w:rsidR="00A42B8D" w:rsidRPr="005A4EBA" w:rsidRDefault="00A42B8D" w:rsidP="007D289F">
      <w:pPr>
        <w:pStyle w:val="BodyText"/>
        <w:jc w:val="both"/>
        <w:rPr>
          <w:b/>
          <w:bCs/>
        </w:rPr>
      </w:pPr>
    </w:p>
    <w:p w14:paraId="25D6AE94" w14:textId="2EA882B2" w:rsidR="00DA6DA9" w:rsidRPr="005A4EBA" w:rsidRDefault="00DA6DA9" w:rsidP="007D289F">
      <w:pPr>
        <w:pStyle w:val="BodyText"/>
        <w:jc w:val="both"/>
      </w:pPr>
      <w:r w:rsidRPr="005A4EBA">
        <w:rPr>
          <w:b/>
          <w:bCs/>
        </w:rPr>
        <w:t>Design Decision</w:t>
      </w:r>
      <w:r w:rsidRPr="005A4EBA">
        <w:t xml:space="preserve">: </w:t>
      </w:r>
      <w:r w:rsidR="00A42B8D" w:rsidRPr="005A4EBA">
        <w:t>Private Endpoints will be used to access services where available. If not available or possible for a specific deployment, Service Endpoints will be used. Public Access will not be allowed.</w:t>
      </w:r>
      <w:r w:rsidR="00B86C94">
        <w:t xml:space="preserve"> Private Endpoints will be deployed in each spoke closest to the application that requires their use. </w:t>
      </w:r>
    </w:p>
    <w:p w14:paraId="37F41E6F" w14:textId="77777777" w:rsidR="00DA6DA9" w:rsidRPr="005A4EBA" w:rsidRDefault="00DA6DA9" w:rsidP="007D289F">
      <w:pPr>
        <w:pStyle w:val="BodyText"/>
        <w:jc w:val="both"/>
      </w:pPr>
    </w:p>
    <w:p w14:paraId="2B406AC8" w14:textId="7EC91D0D" w:rsidR="00DA6DA9" w:rsidRDefault="00DA6DA9" w:rsidP="007D289F">
      <w:pPr>
        <w:pStyle w:val="BodyText"/>
        <w:jc w:val="both"/>
      </w:pPr>
      <w:r w:rsidRPr="005A4EBA">
        <w:rPr>
          <w:b/>
          <w:bCs/>
        </w:rPr>
        <w:t>Design Justification</w:t>
      </w:r>
      <w:r w:rsidR="00A42B8D" w:rsidRPr="005A4EBA">
        <w:rPr>
          <w:b/>
          <w:bCs/>
        </w:rPr>
        <w:t xml:space="preserve">: </w:t>
      </w:r>
      <w:r w:rsidR="00A42B8D" w:rsidRPr="005A4EBA">
        <w:t xml:space="preserve">Private access to Azure resources is the most secure form of access to Azure services. It is a security requirement to </w:t>
      </w:r>
      <w:r w:rsidR="005A4EBA" w:rsidRPr="005A4EBA">
        <w:t xml:space="preserve">use private connectivity wherever possible. If for any reason this is not available for a particular service, then Service Endpoints will be used. Public Access will not be allowed by default on any resource, and any applications that require access through the public Internet will need to either leverage existing constructs, such as Perimeter Services, or have a secure entry point such as an Azure Application Gateway. </w:t>
      </w:r>
    </w:p>
    <w:p w14:paraId="52739E6F" w14:textId="7450EE92" w:rsidR="00B86C94" w:rsidRPr="005A4EBA" w:rsidRDefault="00B86C94" w:rsidP="007D289F">
      <w:pPr>
        <w:pStyle w:val="BodyText"/>
        <w:jc w:val="both"/>
      </w:pPr>
      <w:r>
        <w:t xml:space="preserve">Additionally, to support the segmentation strategy that Ambulance Victoria have, Private Endpoints will be deployed in spokes closest to the resources of the application using them. At this stage, each application has different requirements and will use different deployments of each service. </w:t>
      </w:r>
    </w:p>
    <w:p w14:paraId="64779B32" w14:textId="77777777" w:rsidR="00A42B8D" w:rsidRDefault="00A42B8D" w:rsidP="007D289F">
      <w:pPr>
        <w:pStyle w:val="BodyText"/>
        <w:jc w:val="both"/>
      </w:pPr>
    </w:p>
    <w:p w14:paraId="28148B0A" w14:textId="7A67CEE9" w:rsidR="00851F54" w:rsidRDefault="00851F54" w:rsidP="00214777">
      <w:pPr>
        <w:pStyle w:val="Heading3"/>
        <w:numPr>
          <w:ilvl w:val="2"/>
          <w:numId w:val="7"/>
        </w:numPr>
        <w:jc w:val="both"/>
      </w:pPr>
      <w:bookmarkStart w:id="31" w:name="_Toc156483720"/>
      <w:r>
        <w:t>Private Endpoint Policies</w:t>
      </w:r>
      <w:bookmarkEnd w:id="31"/>
    </w:p>
    <w:p w14:paraId="26148BAC" w14:textId="3D368C8E" w:rsidR="00076ECD" w:rsidRDefault="00076ECD" w:rsidP="00851F54">
      <w:pPr>
        <w:pStyle w:val="BodyText"/>
      </w:pPr>
      <w:r w:rsidRPr="567BFBA8">
        <w:rPr>
          <w:b/>
        </w:rPr>
        <w:t>Design Reference:</w:t>
      </w:r>
      <w:r>
        <w:t xml:space="preserve"> </w:t>
      </w:r>
      <w:r w:rsidR="0015474B">
        <w:t xml:space="preserve">Microsoft Security Benchmark – </w:t>
      </w:r>
      <w:hyperlink w:anchor="_Overview">
        <w:r w:rsidR="002034C7" w:rsidRPr="567BFBA8">
          <w:rPr>
            <w:rStyle w:val="Hyperlink"/>
          </w:rPr>
          <w:t>NS-1, NS-2</w:t>
        </w:r>
      </w:hyperlink>
    </w:p>
    <w:p w14:paraId="6BB61951" w14:textId="77777777" w:rsidR="00221AE1" w:rsidRDefault="00221AE1" w:rsidP="00271903">
      <w:pPr>
        <w:pStyle w:val="BodyText"/>
        <w:jc w:val="both"/>
        <w:rPr>
          <w:highlight w:val="yellow"/>
        </w:rPr>
      </w:pPr>
    </w:p>
    <w:p w14:paraId="06951147" w14:textId="609C89CE" w:rsidR="00851F54" w:rsidRPr="00271903" w:rsidRDefault="00076ECD" w:rsidP="00271903">
      <w:pPr>
        <w:pStyle w:val="BodyText"/>
        <w:jc w:val="both"/>
        <w:rPr>
          <w:b/>
          <w:bCs/>
        </w:rPr>
      </w:pPr>
      <w:r w:rsidRPr="00271903">
        <w:rPr>
          <w:b/>
          <w:bCs/>
        </w:rPr>
        <w:t>Design Decision:</w:t>
      </w:r>
      <w:r w:rsidR="00026DA9" w:rsidRPr="00271903">
        <w:t xml:space="preserve"> private endpoints policies will be </w:t>
      </w:r>
      <w:r w:rsidR="21150CCD" w:rsidRPr="00271903">
        <w:t>left disabled by default</w:t>
      </w:r>
      <w:r w:rsidR="00026DA9" w:rsidRPr="00271903">
        <w:t xml:space="preserve"> in subnets that host a Private Endpoint</w:t>
      </w:r>
      <w:r w:rsidR="00453283" w:rsidRPr="00271903">
        <w:t xml:space="preserve"> unless specifically required</w:t>
      </w:r>
      <w:r w:rsidR="003E2779" w:rsidRPr="00271903">
        <w:t xml:space="preserve"> for an application. </w:t>
      </w:r>
    </w:p>
    <w:p w14:paraId="00B644B7" w14:textId="77777777" w:rsidR="00076ECD" w:rsidRPr="00271903" w:rsidRDefault="00076ECD" w:rsidP="00271903">
      <w:pPr>
        <w:pStyle w:val="BodyText"/>
        <w:jc w:val="both"/>
      </w:pPr>
    </w:p>
    <w:p w14:paraId="48D94DBD" w14:textId="0E9C6445" w:rsidR="00076ECD" w:rsidRPr="00271903" w:rsidRDefault="00076ECD" w:rsidP="00271903">
      <w:pPr>
        <w:pStyle w:val="BodyText"/>
        <w:jc w:val="both"/>
        <w:rPr>
          <w:b/>
          <w:bCs/>
        </w:rPr>
      </w:pPr>
      <w:r w:rsidRPr="00271903">
        <w:rPr>
          <w:b/>
          <w:bCs/>
        </w:rPr>
        <w:t>Design Justification</w:t>
      </w:r>
      <w:r w:rsidR="006E24C0" w:rsidRPr="00271903">
        <w:rPr>
          <w:b/>
          <w:bCs/>
        </w:rPr>
        <w:t xml:space="preserve">: </w:t>
      </w:r>
      <w:r w:rsidR="245164C3" w:rsidRPr="00271903">
        <w:t xml:space="preserve">private endpoint policies </w:t>
      </w:r>
      <w:r w:rsidR="00424ED1" w:rsidRPr="00271903">
        <w:t xml:space="preserve">can add more granular routing and </w:t>
      </w:r>
      <w:r w:rsidR="00271903" w:rsidRPr="00271903">
        <w:t xml:space="preserve">management for private endpoints. There is no specific requirement for them to be enabled so they will be assumed to be disabled by default unless specifically required by the application in question. </w:t>
      </w:r>
    </w:p>
    <w:p w14:paraId="16787B7B" w14:textId="6487E699" w:rsidR="00076ECD" w:rsidRDefault="00076ECD" w:rsidP="00851F54">
      <w:pPr>
        <w:pStyle w:val="BodyText"/>
        <w:rPr>
          <w:highlight w:val="yellow"/>
        </w:rPr>
      </w:pPr>
    </w:p>
    <w:p w14:paraId="614D480E" w14:textId="4B3E5BAE" w:rsidR="00DA6DA9" w:rsidRPr="001A57E8" w:rsidRDefault="00875B73" w:rsidP="007D289F">
      <w:pPr>
        <w:pStyle w:val="Heading3"/>
        <w:numPr>
          <w:ilvl w:val="2"/>
          <w:numId w:val="7"/>
        </w:numPr>
        <w:jc w:val="both"/>
      </w:pPr>
      <w:bookmarkStart w:id="32" w:name="_Toc156483721"/>
      <w:r w:rsidRPr="001A57E8">
        <w:t xml:space="preserve">Private </w:t>
      </w:r>
      <w:r w:rsidR="00044259" w:rsidRPr="001A57E8">
        <w:t>DNS</w:t>
      </w:r>
      <w:bookmarkEnd w:id="32"/>
    </w:p>
    <w:p w14:paraId="7F1387E3" w14:textId="0D23DBFA" w:rsidR="002F11B0" w:rsidRPr="001A57E8" w:rsidRDefault="002F11B0" w:rsidP="002F11B0">
      <w:pPr>
        <w:pStyle w:val="BodyText"/>
        <w:rPr>
          <w:b/>
          <w:bCs/>
        </w:rPr>
      </w:pPr>
      <w:r w:rsidRPr="001A57E8">
        <w:rPr>
          <w:b/>
          <w:bCs/>
        </w:rPr>
        <w:t xml:space="preserve">Design Reference: </w:t>
      </w:r>
      <w:r w:rsidR="007F2BC8" w:rsidRPr="001A57E8">
        <w:t>N/A</w:t>
      </w:r>
    </w:p>
    <w:p w14:paraId="3104FEE3" w14:textId="77777777" w:rsidR="002F11B0" w:rsidRPr="001A57E8" w:rsidRDefault="002F11B0" w:rsidP="002F11B0">
      <w:pPr>
        <w:pStyle w:val="BodyText"/>
      </w:pPr>
    </w:p>
    <w:p w14:paraId="6CD23346" w14:textId="3D441CB7" w:rsidR="00DA6DA9" w:rsidRPr="001A57E8" w:rsidRDefault="00DA6DA9" w:rsidP="007D289F">
      <w:pPr>
        <w:pStyle w:val="BodyText"/>
        <w:jc w:val="both"/>
      </w:pPr>
      <w:r w:rsidRPr="001A57E8">
        <w:rPr>
          <w:b/>
          <w:bCs/>
        </w:rPr>
        <w:t>Design Decision:</w:t>
      </w:r>
      <w:r w:rsidRPr="001A57E8">
        <w:t xml:space="preserve"> </w:t>
      </w:r>
      <w:r w:rsidR="00B32BC1" w:rsidRPr="001A57E8">
        <w:t xml:space="preserve">Private DNS Zones will be used for each Private Endpoint service deployed and will be used in conjunction with Custom DNS. </w:t>
      </w:r>
    </w:p>
    <w:p w14:paraId="5705FDBD" w14:textId="77777777" w:rsidR="00DA6DA9" w:rsidRPr="001A57E8" w:rsidRDefault="00DA6DA9" w:rsidP="007D289F">
      <w:pPr>
        <w:pStyle w:val="BodyText"/>
        <w:jc w:val="both"/>
        <w:rPr>
          <w:b/>
          <w:bCs/>
        </w:rPr>
      </w:pPr>
    </w:p>
    <w:p w14:paraId="27DB0F6A" w14:textId="123CA7D5" w:rsidR="00116140" w:rsidRPr="001A57E8" w:rsidRDefault="00DA6DA9" w:rsidP="007D289F">
      <w:pPr>
        <w:pStyle w:val="BodyText"/>
        <w:tabs>
          <w:tab w:val="clear" w:pos="4536"/>
          <w:tab w:val="clear" w:pos="6804"/>
          <w:tab w:val="clear" w:pos="9638"/>
          <w:tab w:val="left" w:pos="3065"/>
        </w:tabs>
        <w:jc w:val="both"/>
      </w:pPr>
      <w:r w:rsidRPr="001A57E8">
        <w:rPr>
          <w:b/>
          <w:bCs/>
        </w:rPr>
        <w:t xml:space="preserve">Design Justification: </w:t>
      </w:r>
      <w:r w:rsidR="007F2BC8" w:rsidRPr="001A57E8">
        <w:t xml:space="preserve">In order for the deployed Private Endpoints to have name resolution with the custom DNS currently in place, Private DNS zones are required to be created for each service. They will be created centrally in the Connectivity subscription, and will have a Vnet link to the subnet that hosts the DNS servers. Each time a new Private Endpoint is created for that service, if the Private DNS zone already exists, then an A record will need to be created in the central DNS zone. </w:t>
      </w:r>
    </w:p>
    <w:p w14:paraId="1AAA1515" w14:textId="0EAFF48E" w:rsidR="007F2BC8" w:rsidRDefault="007F2BC8" w:rsidP="007D289F">
      <w:pPr>
        <w:pStyle w:val="BodyText"/>
        <w:tabs>
          <w:tab w:val="clear" w:pos="4536"/>
          <w:tab w:val="clear" w:pos="6804"/>
          <w:tab w:val="clear" w:pos="9638"/>
          <w:tab w:val="left" w:pos="3065"/>
        </w:tabs>
        <w:jc w:val="both"/>
      </w:pPr>
      <w:r w:rsidRPr="001A57E8">
        <w:t xml:space="preserve">For each Private DNS Zone a conditional forwarder is required on </w:t>
      </w:r>
      <w:r w:rsidR="00ED34DE" w:rsidRPr="001A57E8">
        <w:t>the DNS server.</w:t>
      </w:r>
      <w:r w:rsidR="00ED34DE">
        <w:t xml:space="preserve"> </w:t>
      </w:r>
    </w:p>
    <w:p w14:paraId="31B051E2" w14:textId="77777777" w:rsidR="00041915" w:rsidRDefault="00041915" w:rsidP="007D289F">
      <w:pPr>
        <w:pStyle w:val="BodyText"/>
        <w:tabs>
          <w:tab w:val="clear" w:pos="4536"/>
          <w:tab w:val="clear" w:pos="6804"/>
          <w:tab w:val="clear" w:pos="9638"/>
          <w:tab w:val="left" w:pos="3065"/>
        </w:tabs>
        <w:jc w:val="both"/>
      </w:pPr>
    </w:p>
    <w:p w14:paraId="162F415F" w14:textId="76A10B2F" w:rsidR="002A1D84" w:rsidRPr="00A044D0" w:rsidRDefault="002A1D84" w:rsidP="00140F11">
      <w:pPr>
        <w:pStyle w:val="Heading3"/>
        <w:numPr>
          <w:ilvl w:val="2"/>
          <w:numId w:val="7"/>
        </w:numPr>
        <w:tabs>
          <w:tab w:val="left" w:pos="3065"/>
        </w:tabs>
        <w:jc w:val="both"/>
      </w:pPr>
      <w:bookmarkStart w:id="33" w:name="_Toc156483722"/>
      <w:r w:rsidRPr="00A044D0">
        <w:t>Logging</w:t>
      </w:r>
      <w:bookmarkEnd w:id="33"/>
    </w:p>
    <w:p w14:paraId="239E1D7A" w14:textId="7D8F29FD" w:rsidR="007E05AA" w:rsidRPr="00A044D0" w:rsidRDefault="007E05AA" w:rsidP="00140F11">
      <w:pPr>
        <w:pStyle w:val="BodyText"/>
        <w:jc w:val="both"/>
      </w:pPr>
      <w:r w:rsidRPr="00A044D0">
        <w:rPr>
          <w:b/>
          <w:bCs/>
        </w:rPr>
        <w:t>Design Reference</w:t>
      </w:r>
      <w:r w:rsidRPr="00A044D0">
        <w:t xml:space="preserve">: Microsoft Security Benchmark - </w:t>
      </w:r>
      <w:hyperlink w:anchor="_Overview" w:history="1">
        <w:r w:rsidRPr="00A044D0">
          <w:rPr>
            <w:rStyle w:val="Hyperlink"/>
          </w:rPr>
          <w:t>NS-4</w:t>
        </w:r>
      </w:hyperlink>
    </w:p>
    <w:p w14:paraId="65A0C7BE" w14:textId="77777777" w:rsidR="007E05AA" w:rsidRPr="00A044D0" w:rsidRDefault="007E05AA" w:rsidP="00140F11">
      <w:pPr>
        <w:pStyle w:val="BodyText"/>
        <w:jc w:val="both"/>
      </w:pPr>
    </w:p>
    <w:p w14:paraId="25E69362" w14:textId="18C02FAB" w:rsidR="00B64B55" w:rsidRPr="00A044D0" w:rsidRDefault="007E05AA" w:rsidP="00140F11">
      <w:pPr>
        <w:pStyle w:val="BodyText"/>
        <w:jc w:val="both"/>
      </w:pPr>
      <w:r w:rsidRPr="00A044D0">
        <w:rPr>
          <w:b/>
          <w:bCs/>
        </w:rPr>
        <w:t>Design Decision:</w:t>
      </w:r>
      <w:r w:rsidRPr="00A044D0">
        <w:t xml:space="preserve"> </w:t>
      </w:r>
      <w:r w:rsidR="00B64B55" w:rsidRPr="00A044D0">
        <w:t xml:space="preserve">Resource logging is not available for </w:t>
      </w:r>
      <w:r w:rsidRPr="00A044D0">
        <w:t xml:space="preserve">the </w:t>
      </w:r>
      <w:r w:rsidR="00B64B55" w:rsidRPr="00A044D0">
        <w:t>Private Endpoint</w:t>
      </w:r>
      <w:r w:rsidR="00140F11" w:rsidRPr="00A044D0">
        <w:t xml:space="preserve"> or Private DNS zone</w:t>
      </w:r>
      <w:r w:rsidRPr="00A044D0">
        <w:t xml:space="preserve"> resources themselves so cannot be enabled</w:t>
      </w:r>
      <w:r w:rsidR="00140F11" w:rsidRPr="00A044D0">
        <w:t xml:space="preserve"> directly</w:t>
      </w:r>
      <w:r w:rsidR="00B64B55" w:rsidRPr="00A044D0">
        <w:t>.</w:t>
      </w:r>
      <w:r w:rsidR="00140F11" w:rsidRPr="00A044D0">
        <w:t xml:space="preserve"> NSG Flow Logs and Network Watcher resources with Azure Network Monitor will be used to manage logs for network connectivity. </w:t>
      </w:r>
      <w:r w:rsidRPr="00A044D0">
        <w:t xml:space="preserve"> </w:t>
      </w:r>
    </w:p>
    <w:p w14:paraId="4698DC79" w14:textId="14BB82CC" w:rsidR="007E05AA" w:rsidRDefault="007E05AA" w:rsidP="00B64B55">
      <w:pPr>
        <w:pStyle w:val="BodyText"/>
        <w:rPr>
          <w:b/>
          <w:bCs/>
        </w:rPr>
      </w:pPr>
      <w:r w:rsidRPr="00A044D0">
        <w:br/>
      </w:r>
      <w:r w:rsidRPr="00A044D0">
        <w:rPr>
          <w:b/>
          <w:bCs/>
        </w:rPr>
        <w:t xml:space="preserve">Design Justification: </w:t>
      </w:r>
      <w:r w:rsidR="00140F11" w:rsidRPr="00A044D0">
        <w:t xml:space="preserve">There is currently no option to enable logging </w:t>
      </w:r>
      <w:r w:rsidR="00A044D0" w:rsidRPr="00A044D0">
        <w:t>on Private Endpoint or Private DNS resources.</w:t>
      </w:r>
      <w:r w:rsidR="00A044D0">
        <w:rPr>
          <w:b/>
          <w:bCs/>
        </w:rPr>
        <w:t xml:space="preserve"> </w:t>
      </w:r>
    </w:p>
    <w:p w14:paraId="07F961A7" w14:textId="77777777" w:rsidR="007E05AA" w:rsidRPr="007E05AA" w:rsidRDefault="007E05AA" w:rsidP="00B64B55">
      <w:pPr>
        <w:pStyle w:val="BodyText"/>
        <w:rPr>
          <w:b/>
          <w:bCs/>
        </w:rPr>
      </w:pPr>
    </w:p>
    <w:p w14:paraId="436BCF4C" w14:textId="1E2D2ECF" w:rsidR="00A63014" w:rsidRDefault="00A63014" w:rsidP="00A63014">
      <w:pPr>
        <w:pStyle w:val="Heading1"/>
        <w:jc w:val="both"/>
        <w:rPr>
          <w:rFonts w:cs="Arial"/>
        </w:rPr>
      </w:pPr>
      <w:bookmarkStart w:id="34" w:name="_Toc156483723"/>
      <w:r>
        <w:rPr>
          <w:rFonts w:cs="Arial"/>
        </w:rPr>
        <w:t>Azure Policies</w:t>
      </w:r>
      <w:bookmarkEnd w:id="34"/>
    </w:p>
    <w:p w14:paraId="735C554D" w14:textId="778CCB94" w:rsidR="007A301B" w:rsidRDefault="00743068" w:rsidP="007A301B">
      <w:pPr>
        <w:pStyle w:val="BodyText"/>
        <w:jc w:val="both"/>
      </w:pPr>
      <w:r>
        <w:t xml:space="preserve">There are no Azure Policies required for Private Endpoints or Azure Private DNS. </w:t>
      </w:r>
    </w:p>
    <w:p w14:paraId="2DF02F6B" w14:textId="77777777" w:rsidR="00F431E9" w:rsidRDefault="00F431E9" w:rsidP="007A301B">
      <w:pPr>
        <w:pStyle w:val="BodyText"/>
        <w:jc w:val="both"/>
      </w:pPr>
    </w:p>
    <w:p w14:paraId="1892F94B" w14:textId="77777777" w:rsidR="001A57E8" w:rsidRDefault="001A57E8" w:rsidP="007A301B">
      <w:pPr>
        <w:pStyle w:val="BodyText"/>
        <w:jc w:val="both"/>
      </w:pPr>
    </w:p>
    <w:p w14:paraId="19050A38" w14:textId="77777777" w:rsidR="001A57E8" w:rsidRDefault="001A57E8" w:rsidP="007A301B">
      <w:pPr>
        <w:pStyle w:val="BodyText"/>
        <w:jc w:val="both"/>
      </w:pPr>
    </w:p>
    <w:p w14:paraId="3EE5627F" w14:textId="77777777" w:rsidR="001A57E8" w:rsidRDefault="001A57E8" w:rsidP="007A301B">
      <w:pPr>
        <w:pStyle w:val="BodyText"/>
        <w:jc w:val="both"/>
      </w:pPr>
    </w:p>
    <w:p w14:paraId="7DFEA842" w14:textId="77777777" w:rsidR="001A57E8" w:rsidRDefault="001A57E8" w:rsidP="007A301B">
      <w:pPr>
        <w:pStyle w:val="BodyText"/>
        <w:jc w:val="both"/>
      </w:pPr>
    </w:p>
    <w:p w14:paraId="4B44C627" w14:textId="77777777" w:rsidR="001A57E8" w:rsidRDefault="001A57E8" w:rsidP="007A301B">
      <w:pPr>
        <w:pStyle w:val="BodyText"/>
        <w:jc w:val="both"/>
      </w:pPr>
    </w:p>
    <w:p w14:paraId="615A61D7" w14:textId="77777777" w:rsidR="001A57E8" w:rsidRDefault="001A57E8" w:rsidP="007A301B">
      <w:pPr>
        <w:pStyle w:val="BodyText"/>
        <w:jc w:val="both"/>
      </w:pPr>
    </w:p>
    <w:p w14:paraId="0D9BBB8F" w14:textId="77777777" w:rsidR="001A57E8" w:rsidRDefault="001A57E8" w:rsidP="007A301B">
      <w:pPr>
        <w:pStyle w:val="BodyText"/>
        <w:jc w:val="both"/>
      </w:pPr>
    </w:p>
    <w:p w14:paraId="5F49AEDB" w14:textId="77777777" w:rsidR="001A57E8" w:rsidRDefault="001A57E8" w:rsidP="007A301B">
      <w:pPr>
        <w:pStyle w:val="BodyText"/>
        <w:jc w:val="both"/>
      </w:pPr>
    </w:p>
    <w:p w14:paraId="4CAE782B" w14:textId="77777777" w:rsidR="000C79A3" w:rsidRDefault="000C79A3" w:rsidP="007A301B">
      <w:pPr>
        <w:pStyle w:val="BodyText"/>
        <w:jc w:val="both"/>
      </w:pPr>
    </w:p>
    <w:p w14:paraId="5A47127E" w14:textId="77777777" w:rsidR="000C79A3" w:rsidRDefault="000C79A3" w:rsidP="007A301B">
      <w:pPr>
        <w:pStyle w:val="BodyText"/>
        <w:jc w:val="both"/>
      </w:pPr>
    </w:p>
    <w:p w14:paraId="0A1DAE8F" w14:textId="77777777" w:rsidR="000C79A3" w:rsidRDefault="000C79A3" w:rsidP="007A301B">
      <w:pPr>
        <w:pStyle w:val="BodyText"/>
        <w:jc w:val="both"/>
      </w:pPr>
    </w:p>
    <w:p w14:paraId="494D5498" w14:textId="77777777" w:rsidR="000C79A3" w:rsidRDefault="000C79A3" w:rsidP="007A301B">
      <w:pPr>
        <w:pStyle w:val="BodyText"/>
        <w:jc w:val="both"/>
      </w:pPr>
    </w:p>
    <w:p w14:paraId="14046C93" w14:textId="77777777" w:rsidR="000C79A3" w:rsidRDefault="000C79A3" w:rsidP="007A301B">
      <w:pPr>
        <w:pStyle w:val="BodyText"/>
        <w:jc w:val="both"/>
      </w:pPr>
    </w:p>
    <w:p w14:paraId="1BC0A076" w14:textId="77777777" w:rsidR="000C79A3" w:rsidRDefault="000C79A3" w:rsidP="007A301B">
      <w:pPr>
        <w:pStyle w:val="BodyText"/>
        <w:jc w:val="both"/>
      </w:pPr>
    </w:p>
    <w:p w14:paraId="128A6EE1" w14:textId="77777777" w:rsidR="000C79A3" w:rsidRDefault="000C79A3" w:rsidP="007A301B">
      <w:pPr>
        <w:pStyle w:val="BodyText"/>
        <w:jc w:val="both"/>
      </w:pPr>
    </w:p>
    <w:p w14:paraId="3A5E5870" w14:textId="77777777" w:rsidR="000C79A3" w:rsidRDefault="000C79A3" w:rsidP="007A301B">
      <w:pPr>
        <w:pStyle w:val="BodyText"/>
        <w:jc w:val="both"/>
      </w:pPr>
    </w:p>
    <w:p w14:paraId="53CB82A6" w14:textId="77777777" w:rsidR="000C79A3" w:rsidRDefault="000C79A3" w:rsidP="007A301B">
      <w:pPr>
        <w:pStyle w:val="BodyText"/>
        <w:jc w:val="both"/>
      </w:pPr>
    </w:p>
    <w:p w14:paraId="01CFAC4B" w14:textId="77777777" w:rsidR="000C79A3" w:rsidRDefault="000C79A3" w:rsidP="007A301B">
      <w:pPr>
        <w:pStyle w:val="BodyText"/>
        <w:jc w:val="both"/>
      </w:pPr>
    </w:p>
    <w:p w14:paraId="2BC7A441" w14:textId="77777777" w:rsidR="000C79A3" w:rsidRDefault="000C79A3" w:rsidP="007A301B">
      <w:pPr>
        <w:pStyle w:val="BodyText"/>
        <w:jc w:val="both"/>
      </w:pPr>
    </w:p>
    <w:p w14:paraId="45D0B361" w14:textId="77777777" w:rsidR="000C79A3" w:rsidRDefault="000C79A3" w:rsidP="007A301B">
      <w:pPr>
        <w:pStyle w:val="BodyText"/>
        <w:jc w:val="both"/>
      </w:pPr>
    </w:p>
    <w:p w14:paraId="4DD77C4C" w14:textId="459DA6EB" w:rsidR="00E864CD" w:rsidRDefault="00116140" w:rsidP="00E864CD">
      <w:pPr>
        <w:pStyle w:val="Heading1"/>
        <w:jc w:val="both"/>
        <w:rPr>
          <w:rFonts w:cs="Arial"/>
        </w:rPr>
      </w:pPr>
      <w:bookmarkStart w:id="35" w:name="_Toc156483724"/>
      <w:r>
        <w:rPr>
          <w:rFonts w:cs="Arial"/>
        </w:rPr>
        <w:t>Configuration Templates</w:t>
      </w:r>
      <w:bookmarkEnd w:id="35"/>
    </w:p>
    <w:p w14:paraId="42CC703A" w14:textId="77777777" w:rsidR="00F431E9" w:rsidRDefault="00F431E9" w:rsidP="00F431E9">
      <w:pPr>
        <w:pStyle w:val="Heading2"/>
      </w:pPr>
      <w:bookmarkStart w:id="36" w:name="_Toc156483725"/>
      <w:r>
        <w:t>Configuration Templates</w:t>
      </w:r>
      <w:bookmarkEnd w:id="36"/>
    </w:p>
    <w:p w14:paraId="2E9D70CA" w14:textId="15E544C2" w:rsidR="00F431E9" w:rsidRPr="00F431E9" w:rsidRDefault="00C8764C" w:rsidP="00683993">
      <w:pPr>
        <w:pStyle w:val="Heading3"/>
        <w:numPr>
          <w:ilvl w:val="2"/>
          <w:numId w:val="7"/>
        </w:numPr>
      </w:pPr>
      <w:bookmarkStart w:id="37" w:name="_Toc156483726"/>
      <w:r>
        <w:t xml:space="preserve">Primary Region </w:t>
      </w:r>
      <w:r w:rsidR="00B162DF">
        <w:t>Private Endpoint</w:t>
      </w:r>
      <w:bookmarkEnd w:id="37"/>
    </w:p>
    <w:tbl>
      <w:tblPr>
        <w:tblStyle w:val="TableGrid"/>
        <w:tblW w:w="9214" w:type="dxa"/>
        <w:tblLook w:val="05A0" w:firstRow="1" w:lastRow="0" w:firstColumn="1" w:lastColumn="1" w:noHBand="0" w:noVBand="1"/>
      </w:tblPr>
      <w:tblGrid>
        <w:gridCol w:w="2694"/>
        <w:gridCol w:w="6520"/>
      </w:tblGrid>
      <w:tr w:rsidR="00E864CD" w:rsidRPr="007D1262" w14:paraId="61D36E3C" w14:textId="77777777" w:rsidTr="00EC4D94">
        <w:trPr>
          <w:cnfStyle w:val="100000000000" w:firstRow="1" w:lastRow="0" w:firstColumn="0" w:lastColumn="0" w:oddVBand="0" w:evenVBand="0" w:oddHBand="0" w:evenHBand="0" w:firstRowFirstColumn="0" w:firstRowLastColumn="0" w:lastRowFirstColumn="0" w:lastRowLastColumn="0"/>
        </w:trPr>
        <w:tc>
          <w:tcPr>
            <w:tcW w:w="1462" w:type="pct"/>
          </w:tcPr>
          <w:p w14:paraId="5EC85A88" w14:textId="77777777" w:rsidR="00E864CD" w:rsidRPr="007D1262" w:rsidRDefault="00E864CD" w:rsidP="00EC4D94">
            <w:pPr>
              <w:ind w:left="-106" w:firstLine="106"/>
              <w:rPr>
                <w:color w:val="auto"/>
              </w:rPr>
            </w:pPr>
            <w:r w:rsidRPr="007D1262">
              <w:rPr>
                <w:color w:val="auto"/>
              </w:rPr>
              <w:t>Configuration Item</w:t>
            </w:r>
          </w:p>
        </w:tc>
        <w:tc>
          <w:tcPr>
            <w:tcW w:w="3538" w:type="pct"/>
          </w:tcPr>
          <w:p w14:paraId="4745F4F6" w14:textId="77777777" w:rsidR="00E864CD" w:rsidRPr="007D1262" w:rsidRDefault="00E864CD" w:rsidP="00EC4D94">
            <w:pPr>
              <w:rPr>
                <w:color w:val="auto"/>
              </w:rPr>
            </w:pPr>
            <w:r w:rsidRPr="007D1262">
              <w:rPr>
                <w:color w:val="auto"/>
              </w:rPr>
              <w:t>Configuration Details</w:t>
            </w:r>
          </w:p>
        </w:tc>
      </w:tr>
      <w:tr w:rsidR="00E864CD" w:rsidRPr="007D1262" w14:paraId="4CF5FF23" w14:textId="77777777" w:rsidTr="00EC4D94">
        <w:tc>
          <w:tcPr>
            <w:tcW w:w="1462" w:type="pct"/>
          </w:tcPr>
          <w:p w14:paraId="0738F115" w14:textId="77777777" w:rsidR="00E864CD" w:rsidRPr="007D1262" w:rsidRDefault="00E864CD" w:rsidP="00EC4D94">
            <w:pPr>
              <w:rPr>
                <w:color w:val="auto"/>
              </w:rPr>
            </w:pPr>
            <w:r w:rsidRPr="007D1262">
              <w:rPr>
                <w:color w:val="auto"/>
              </w:rPr>
              <w:t>Subscription</w:t>
            </w:r>
          </w:p>
        </w:tc>
        <w:tc>
          <w:tcPr>
            <w:tcW w:w="3538" w:type="pct"/>
          </w:tcPr>
          <w:p w14:paraId="2E855AB8" w14:textId="7122262E" w:rsidR="00E864CD" w:rsidRPr="007D1262" w:rsidRDefault="0030579A" w:rsidP="00EC4D94">
            <w:r w:rsidRPr="007D1262">
              <w:t xml:space="preserve">AV ALZ </w:t>
            </w:r>
            <w:r w:rsidRPr="007D1262">
              <w:rPr>
                <w:highlight w:val="yellow"/>
              </w:rPr>
              <w:t>[Subscription Name]</w:t>
            </w:r>
          </w:p>
        </w:tc>
      </w:tr>
      <w:tr w:rsidR="00E864CD" w:rsidRPr="007D1262" w14:paraId="30B1A7A8" w14:textId="77777777" w:rsidTr="00EC4D94">
        <w:tc>
          <w:tcPr>
            <w:tcW w:w="1462" w:type="pct"/>
          </w:tcPr>
          <w:p w14:paraId="1449C7B2" w14:textId="77777777" w:rsidR="00E864CD" w:rsidRPr="007D1262" w:rsidRDefault="00E864CD" w:rsidP="00EC4D94">
            <w:pPr>
              <w:rPr>
                <w:color w:val="auto"/>
              </w:rPr>
            </w:pPr>
            <w:r w:rsidRPr="007D1262">
              <w:rPr>
                <w:color w:val="auto"/>
              </w:rPr>
              <w:t>Region</w:t>
            </w:r>
          </w:p>
        </w:tc>
        <w:tc>
          <w:tcPr>
            <w:tcW w:w="3538" w:type="pct"/>
          </w:tcPr>
          <w:p w14:paraId="6D7EB34E" w14:textId="571E31D2" w:rsidR="00E864CD" w:rsidRPr="007D1262" w:rsidRDefault="00E864CD" w:rsidP="00EC4D94">
            <w:r w:rsidRPr="007D1262">
              <w:t>Australia Southeast</w:t>
            </w:r>
          </w:p>
        </w:tc>
      </w:tr>
      <w:tr w:rsidR="00E864CD" w:rsidRPr="007D1262" w14:paraId="003736E3" w14:textId="77777777" w:rsidTr="00EC4D94">
        <w:tc>
          <w:tcPr>
            <w:tcW w:w="1462" w:type="pct"/>
          </w:tcPr>
          <w:p w14:paraId="0E9DA257" w14:textId="77777777" w:rsidR="00E864CD" w:rsidRPr="007D1262" w:rsidRDefault="00E864CD" w:rsidP="00EC4D94">
            <w:pPr>
              <w:rPr>
                <w:color w:val="auto"/>
              </w:rPr>
            </w:pPr>
            <w:r w:rsidRPr="007D1262">
              <w:rPr>
                <w:color w:val="auto"/>
              </w:rPr>
              <w:t>Virtual Network</w:t>
            </w:r>
          </w:p>
        </w:tc>
        <w:tc>
          <w:tcPr>
            <w:tcW w:w="3538" w:type="pct"/>
          </w:tcPr>
          <w:p w14:paraId="5069A6F7" w14:textId="59F67AFB" w:rsidR="00E864CD" w:rsidRPr="007D1262" w:rsidRDefault="0030579A" w:rsidP="00EC4D94">
            <w:r w:rsidRPr="007D1262">
              <w:t>vnet-</w:t>
            </w:r>
            <w:r w:rsidR="00C8764C" w:rsidRPr="007D1262">
              <w:t>[env]</w:t>
            </w:r>
            <w:r w:rsidRPr="007D1262">
              <w:t>-ause-[appname]-01</w:t>
            </w:r>
          </w:p>
        </w:tc>
      </w:tr>
      <w:tr w:rsidR="00E864CD" w:rsidRPr="007D1262" w14:paraId="24A48275" w14:textId="77777777" w:rsidTr="00EC4D94">
        <w:tc>
          <w:tcPr>
            <w:tcW w:w="1462" w:type="pct"/>
          </w:tcPr>
          <w:p w14:paraId="61415E2E" w14:textId="77777777" w:rsidR="00E864CD" w:rsidRPr="007D1262" w:rsidRDefault="00E864CD" w:rsidP="00EC4D94">
            <w:pPr>
              <w:rPr>
                <w:color w:val="auto"/>
              </w:rPr>
            </w:pPr>
            <w:r w:rsidRPr="007D1262">
              <w:rPr>
                <w:color w:val="auto"/>
              </w:rPr>
              <w:t>Associated Subnet</w:t>
            </w:r>
          </w:p>
        </w:tc>
        <w:tc>
          <w:tcPr>
            <w:tcW w:w="3538" w:type="pct"/>
          </w:tcPr>
          <w:p w14:paraId="23C70200" w14:textId="62E3313F" w:rsidR="00E864CD" w:rsidRPr="007D1262" w:rsidRDefault="0030579A" w:rsidP="00EC4D94">
            <w:r w:rsidRPr="007D1262">
              <w:t>sn-</w:t>
            </w:r>
            <w:r w:rsidR="00C8764C" w:rsidRPr="007D1262">
              <w:t>[env]</w:t>
            </w:r>
            <w:r w:rsidRPr="007D1262">
              <w:t>-ause-[appname]-[workload]-01</w:t>
            </w:r>
          </w:p>
        </w:tc>
      </w:tr>
      <w:tr w:rsidR="00E864CD" w:rsidRPr="007D1262" w14:paraId="11F067C3" w14:textId="77777777" w:rsidTr="00EC4D94">
        <w:tc>
          <w:tcPr>
            <w:tcW w:w="1462" w:type="pct"/>
          </w:tcPr>
          <w:p w14:paraId="562D8EC8" w14:textId="77777777" w:rsidR="00E864CD" w:rsidRPr="007D1262" w:rsidRDefault="00E864CD" w:rsidP="00EC4D94">
            <w:pPr>
              <w:rPr>
                <w:color w:val="auto"/>
              </w:rPr>
            </w:pPr>
            <w:r w:rsidRPr="007D1262">
              <w:rPr>
                <w:color w:val="auto"/>
              </w:rPr>
              <w:t>Name</w:t>
            </w:r>
          </w:p>
        </w:tc>
        <w:tc>
          <w:tcPr>
            <w:tcW w:w="3538" w:type="pct"/>
          </w:tcPr>
          <w:p w14:paraId="2CCB650D" w14:textId="258052C7" w:rsidR="00E864CD" w:rsidRPr="007D1262" w:rsidRDefault="00E864CD" w:rsidP="00EC4D94">
            <w:r w:rsidRPr="007D1262">
              <w:t>pe-</w:t>
            </w:r>
            <w:r w:rsidR="00C8764C" w:rsidRPr="007D1262">
              <w:t>[</w:t>
            </w:r>
            <w:r w:rsidRPr="007D1262">
              <w:t>env</w:t>
            </w:r>
            <w:r w:rsidR="00C8764C" w:rsidRPr="007D1262">
              <w:t>]</w:t>
            </w:r>
            <w:r w:rsidRPr="007D1262">
              <w:t>-ause-&lt;appname&gt;-&lt;workload&gt;-01</w:t>
            </w:r>
          </w:p>
        </w:tc>
      </w:tr>
      <w:tr w:rsidR="00E864CD" w:rsidRPr="007D1262" w14:paraId="0FE90469" w14:textId="77777777" w:rsidTr="00EC4D94">
        <w:tc>
          <w:tcPr>
            <w:tcW w:w="1462" w:type="pct"/>
          </w:tcPr>
          <w:p w14:paraId="4EC9549E" w14:textId="77777777" w:rsidR="00E864CD" w:rsidRPr="007D1262" w:rsidRDefault="00E864CD" w:rsidP="00EC4D94">
            <w:pPr>
              <w:rPr>
                <w:color w:val="auto"/>
              </w:rPr>
            </w:pPr>
            <w:r w:rsidRPr="007D1262">
              <w:rPr>
                <w:color w:val="auto"/>
              </w:rPr>
              <w:t>NIC Name</w:t>
            </w:r>
          </w:p>
        </w:tc>
        <w:tc>
          <w:tcPr>
            <w:tcW w:w="3538" w:type="pct"/>
          </w:tcPr>
          <w:p w14:paraId="1CC014C1" w14:textId="26AFC347" w:rsidR="00E864CD" w:rsidRPr="007D1262" w:rsidRDefault="00E864CD" w:rsidP="00EC4D94">
            <w:r w:rsidRPr="007D1262">
              <w:t>nic-</w:t>
            </w:r>
            <w:r w:rsidR="00C8764C" w:rsidRPr="007D1262">
              <w:t>[</w:t>
            </w:r>
            <w:r w:rsidRPr="007D1262">
              <w:t>env</w:t>
            </w:r>
            <w:r w:rsidR="00C8764C" w:rsidRPr="007D1262">
              <w:t>]</w:t>
            </w:r>
            <w:r w:rsidRPr="007D1262">
              <w:t>-ause-</w:t>
            </w:r>
            <w:r w:rsidR="00C8764C" w:rsidRPr="007D1262">
              <w:t>[</w:t>
            </w:r>
            <w:r w:rsidRPr="007D1262">
              <w:t>appname</w:t>
            </w:r>
            <w:r w:rsidR="00C8764C" w:rsidRPr="007D1262">
              <w:t>]</w:t>
            </w:r>
            <w:r w:rsidRPr="007D1262">
              <w:t>-</w:t>
            </w:r>
            <w:r w:rsidR="00C8764C" w:rsidRPr="007D1262">
              <w:t>[</w:t>
            </w:r>
            <w:r w:rsidRPr="007D1262">
              <w:t>workload</w:t>
            </w:r>
            <w:r w:rsidR="00C8764C" w:rsidRPr="007D1262">
              <w:t>]</w:t>
            </w:r>
            <w:r w:rsidRPr="007D1262">
              <w:t>-01</w:t>
            </w:r>
          </w:p>
        </w:tc>
      </w:tr>
      <w:tr w:rsidR="00AB6675" w:rsidRPr="007D1262" w14:paraId="6D61DE1D" w14:textId="77777777" w:rsidTr="00EC4D94">
        <w:tc>
          <w:tcPr>
            <w:tcW w:w="1462" w:type="pct"/>
          </w:tcPr>
          <w:p w14:paraId="168B4D05" w14:textId="375758FA" w:rsidR="00AB6675" w:rsidRPr="007D1262" w:rsidRDefault="00E44601" w:rsidP="00EC4D94">
            <w:pPr>
              <w:rPr>
                <w:color w:val="auto"/>
              </w:rPr>
            </w:pPr>
            <w:r w:rsidRPr="007D1262">
              <w:rPr>
                <w:color w:val="auto"/>
              </w:rPr>
              <w:t>Resource Type</w:t>
            </w:r>
          </w:p>
        </w:tc>
        <w:tc>
          <w:tcPr>
            <w:tcW w:w="3538" w:type="pct"/>
          </w:tcPr>
          <w:p w14:paraId="791673B5" w14:textId="1ACF43A4" w:rsidR="00AB6675" w:rsidRPr="007D1262" w:rsidRDefault="00E44601" w:rsidP="00EC4D94">
            <w:r w:rsidRPr="007D1262">
              <w:t xml:space="preserve">Select resource </w:t>
            </w:r>
            <w:r w:rsidR="00561603" w:rsidRPr="007D1262">
              <w:t>e.g. Key Vault, Storage</w:t>
            </w:r>
          </w:p>
        </w:tc>
      </w:tr>
      <w:tr w:rsidR="00561603" w:rsidRPr="007D1262" w14:paraId="26C4A9DB" w14:textId="77777777" w:rsidTr="00EC4D94">
        <w:tc>
          <w:tcPr>
            <w:tcW w:w="1462" w:type="pct"/>
          </w:tcPr>
          <w:p w14:paraId="0A420C19" w14:textId="692EE816" w:rsidR="00561603" w:rsidRPr="007D1262" w:rsidRDefault="00561603" w:rsidP="00EC4D94">
            <w:pPr>
              <w:rPr>
                <w:color w:val="auto"/>
              </w:rPr>
            </w:pPr>
            <w:r w:rsidRPr="007D1262">
              <w:rPr>
                <w:color w:val="auto"/>
              </w:rPr>
              <w:t>Resource</w:t>
            </w:r>
          </w:p>
        </w:tc>
        <w:tc>
          <w:tcPr>
            <w:tcW w:w="3538" w:type="pct"/>
          </w:tcPr>
          <w:p w14:paraId="22D6D561" w14:textId="17C435C5" w:rsidR="00561603" w:rsidRPr="007D1262" w:rsidRDefault="00561603" w:rsidP="00EC4D94">
            <w:r w:rsidRPr="007D1262">
              <w:t>Select the specific resource</w:t>
            </w:r>
          </w:p>
        </w:tc>
      </w:tr>
      <w:tr w:rsidR="00561603" w:rsidRPr="007D1262" w14:paraId="1F527202" w14:textId="77777777" w:rsidTr="00EC4D94">
        <w:tc>
          <w:tcPr>
            <w:tcW w:w="1462" w:type="pct"/>
          </w:tcPr>
          <w:p w14:paraId="5B5B0905" w14:textId="61AE0163" w:rsidR="00561603" w:rsidRPr="007D1262" w:rsidRDefault="003846AB" w:rsidP="00EC4D94">
            <w:pPr>
              <w:rPr>
                <w:color w:val="auto"/>
              </w:rPr>
            </w:pPr>
            <w:r w:rsidRPr="007D1262">
              <w:rPr>
                <w:color w:val="auto"/>
              </w:rPr>
              <w:t>DNS Zone</w:t>
            </w:r>
          </w:p>
        </w:tc>
        <w:tc>
          <w:tcPr>
            <w:tcW w:w="3538" w:type="pct"/>
          </w:tcPr>
          <w:p w14:paraId="4E75FC07" w14:textId="3FC5BE33" w:rsidR="00561603" w:rsidRPr="007D1262" w:rsidRDefault="00DD7627" w:rsidP="00EC4D94">
            <w:r>
              <w:rPr>
                <w:highlight w:val="yellow"/>
              </w:rPr>
              <w:t>p</w:t>
            </w:r>
            <w:r w:rsidR="003846AB" w:rsidRPr="007D1262">
              <w:rPr>
                <w:highlight w:val="yellow"/>
              </w:rPr>
              <w:t>rivatelink.[</w:t>
            </w:r>
            <w:r w:rsidR="001B68AD" w:rsidRPr="007D1262">
              <w:rPr>
                <w:highlight w:val="yellow"/>
              </w:rPr>
              <w:t>zone required]</w:t>
            </w:r>
          </w:p>
        </w:tc>
      </w:tr>
    </w:tbl>
    <w:p w14:paraId="138074CB" w14:textId="77777777" w:rsidR="000747AD" w:rsidRDefault="000747AD" w:rsidP="00E864CD">
      <w:pPr>
        <w:pStyle w:val="BodyText"/>
        <w:tabs>
          <w:tab w:val="clear" w:pos="4536"/>
          <w:tab w:val="clear" w:pos="6804"/>
          <w:tab w:val="clear" w:pos="9638"/>
          <w:tab w:val="left" w:pos="3065"/>
        </w:tabs>
        <w:jc w:val="both"/>
      </w:pPr>
    </w:p>
    <w:p w14:paraId="3C191C0F" w14:textId="11C2DCC7" w:rsidR="00AB6675" w:rsidRPr="00F431E9" w:rsidRDefault="00AB6675" w:rsidP="00AB6675">
      <w:pPr>
        <w:pStyle w:val="Heading3"/>
        <w:numPr>
          <w:ilvl w:val="2"/>
          <w:numId w:val="7"/>
        </w:numPr>
      </w:pPr>
      <w:bookmarkStart w:id="38" w:name="_Toc156483727"/>
      <w:r>
        <w:t>Secondary Region Private Endpoint</w:t>
      </w:r>
      <w:bookmarkEnd w:id="38"/>
    </w:p>
    <w:tbl>
      <w:tblPr>
        <w:tblStyle w:val="TableGrid"/>
        <w:tblW w:w="9214" w:type="dxa"/>
        <w:tblLook w:val="05A0" w:firstRow="1" w:lastRow="0" w:firstColumn="1" w:lastColumn="1" w:noHBand="0" w:noVBand="1"/>
      </w:tblPr>
      <w:tblGrid>
        <w:gridCol w:w="2694"/>
        <w:gridCol w:w="6520"/>
      </w:tblGrid>
      <w:tr w:rsidR="00F540B1" w:rsidRPr="007D1262" w14:paraId="758C70FB" w14:textId="77777777" w:rsidTr="00251B08">
        <w:trPr>
          <w:cnfStyle w:val="100000000000" w:firstRow="1" w:lastRow="0" w:firstColumn="0" w:lastColumn="0" w:oddVBand="0" w:evenVBand="0" w:oddHBand="0" w:evenHBand="0" w:firstRowFirstColumn="0" w:firstRowLastColumn="0" w:lastRowFirstColumn="0" w:lastRowLastColumn="0"/>
        </w:trPr>
        <w:tc>
          <w:tcPr>
            <w:tcW w:w="1462" w:type="pct"/>
          </w:tcPr>
          <w:p w14:paraId="47A95834" w14:textId="77777777" w:rsidR="00F540B1" w:rsidRPr="0014373B" w:rsidRDefault="00F540B1" w:rsidP="00251B08">
            <w:pPr>
              <w:ind w:left="-106" w:firstLine="106"/>
              <w:rPr>
                <w:color w:val="auto"/>
              </w:rPr>
            </w:pPr>
            <w:r w:rsidRPr="0014373B">
              <w:rPr>
                <w:color w:val="auto"/>
              </w:rPr>
              <w:t>Configuration Item</w:t>
            </w:r>
          </w:p>
        </w:tc>
        <w:tc>
          <w:tcPr>
            <w:tcW w:w="3538" w:type="pct"/>
          </w:tcPr>
          <w:p w14:paraId="46A9A785" w14:textId="77777777" w:rsidR="00F540B1" w:rsidRPr="0014373B" w:rsidRDefault="00F540B1" w:rsidP="00251B08">
            <w:pPr>
              <w:rPr>
                <w:color w:val="auto"/>
              </w:rPr>
            </w:pPr>
            <w:r w:rsidRPr="0014373B">
              <w:rPr>
                <w:color w:val="auto"/>
              </w:rPr>
              <w:t>Configuration Details</w:t>
            </w:r>
          </w:p>
        </w:tc>
      </w:tr>
      <w:tr w:rsidR="00F540B1" w:rsidRPr="007D1262" w14:paraId="4638855F" w14:textId="77777777" w:rsidTr="00251B08">
        <w:tc>
          <w:tcPr>
            <w:tcW w:w="1462" w:type="pct"/>
          </w:tcPr>
          <w:p w14:paraId="27D73AF5" w14:textId="77777777" w:rsidR="00F540B1" w:rsidRPr="0014373B" w:rsidRDefault="00F540B1" w:rsidP="00251B08">
            <w:pPr>
              <w:rPr>
                <w:color w:val="auto"/>
              </w:rPr>
            </w:pPr>
            <w:r w:rsidRPr="0014373B">
              <w:rPr>
                <w:color w:val="auto"/>
              </w:rPr>
              <w:t>Subscription</w:t>
            </w:r>
          </w:p>
        </w:tc>
        <w:tc>
          <w:tcPr>
            <w:tcW w:w="3538" w:type="pct"/>
          </w:tcPr>
          <w:p w14:paraId="06FD8088" w14:textId="77777777" w:rsidR="00F540B1" w:rsidRPr="0014373B" w:rsidRDefault="00F540B1" w:rsidP="00251B08">
            <w:r w:rsidRPr="0014373B">
              <w:t>AV ALZ [Subscription Name]</w:t>
            </w:r>
          </w:p>
        </w:tc>
      </w:tr>
      <w:tr w:rsidR="00F540B1" w:rsidRPr="007D1262" w14:paraId="0D29DA0C" w14:textId="77777777" w:rsidTr="00251B08">
        <w:tc>
          <w:tcPr>
            <w:tcW w:w="1462" w:type="pct"/>
          </w:tcPr>
          <w:p w14:paraId="01616E8C" w14:textId="77777777" w:rsidR="00F540B1" w:rsidRPr="0014373B" w:rsidRDefault="00F540B1" w:rsidP="00251B08">
            <w:pPr>
              <w:rPr>
                <w:color w:val="auto"/>
              </w:rPr>
            </w:pPr>
            <w:r w:rsidRPr="0014373B">
              <w:rPr>
                <w:color w:val="auto"/>
              </w:rPr>
              <w:t>Region</w:t>
            </w:r>
          </w:p>
        </w:tc>
        <w:tc>
          <w:tcPr>
            <w:tcW w:w="3538" w:type="pct"/>
          </w:tcPr>
          <w:p w14:paraId="11DAACF4" w14:textId="77777777" w:rsidR="00F540B1" w:rsidRPr="0014373B" w:rsidRDefault="00F540B1" w:rsidP="00251B08">
            <w:r w:rsidRPr="0014373B">
              <w:t>Australia Southeast</w:t>
            </w:r>
          </w:p>
        </w:tc>
      </w:tr>
      <w:tr w:rsidR="00F540B1" w:rsidRPr="007D1262" w14:paraId="0B2C5090" w14:textId="77777777" w:rsidTr="00251B08">
        <w:tc>
          <w:tcPr>
            <w:tcW w:w="1462" w:type="pct"/>
          </w:tcPr>
          <w:p w14:paraId="199EAF54" w14:textId="77777777" w:rsidR="00F540B1" w:rsidRPr="0014373B" w:rsidRDefault="00F540B1" w:rsidP="00251B08">
            <w:pPr>
              <w:rPr>
                <w:color w:val="auto"/>
              </w:rPr>
            </w:pPr>
            <w:r w:rsidRPr="0014373B">
              <w:rPr>
                <w:color w:val="auto"/>
              </w:rPr>
              <w:t>Virtual Network</w:t>
            </w:r>
          </w:p>
        </w:tc>
        <w:tc>
          <w:tcPr>
            <w:tcW w:w="3538" w:type="pct"/>
          </w:tcPr>
          <w:p w14:paraId="77B8E4BE" w14:textId="77777777" w:rsidR="00F540B1" w:rsidRPr="0014373B" w:rsidRDefault="00F540B1" w:rsidP="00251B08">
            <w:r w:rsidRPr="0014373B">
              <w:t>vnet-[env]-ause-[appname]-01</w:t>
            </w:r>
          </w:p>
        </w:tc>
      </w:tr>
      <w:tr w:rsidR="00F540B1" w:rsidRPr="007D1262" w14:paraId="131533B4" w14:textId="77777777" w:rsidTr="00251B08">
        <w:tc>
          <w:tcPr>
            <w:tcW w:w="1462" w:type="pct"/>
          </w:tcPr>
          <w:p w14:paraId="3E1B6606" w14:textId="77777777" w:rsidR="00F540B1" w:rsidRPr="0014373B" w:rsidRDefault="00F540B1" w:rsidP="00251B08">
            <w:pPr>
              <w:rPr>
                <w:color w:val="auto"/>
              </w:rPr>
            </w:pPr>
            <w:r w:rsidRPr="0014373B">
              <w:rPr>
                <w:color w:val="auto"/>
              </w:rPr>
              <w:t>Associated Subnet</w:t>
            </w:r>
          </w:p>
        </w:tc>
        <w:tc>
          <w:tcPr>
            <w:tcW w:w="3538" w:type="pct"/>
          </w:tcPr>
          <w:p w14:paraId="3C25D97C" w14:textId="77777777" w:rsidR="00F540B1" w:rsidRPr="0014373B" w:rsidRDefault="00F540B1" w:rsidP="00251B08">
            <w:r w:rsidRPr="0014373B">
              <w:t>sn-[env]-ause-[appname]-[workload]-01</w:t>
            </w:r>
          </w:p>
        </w:tc>
      </w:tr>
      <w:tr w:rsidR="00F540B1" w:rsidRPr="007D1262" w14:paraId="22563B3D" w14:textId="77777777" w:rsidTr="00251B08">
        <w:tc>
          <w:tcPr>
            <w:tcW w:w="1462" w:type="pct"/>
          </w:tcPr>
          <w:p w14:paraId="2F6D4913" w14:textId="77777777" w:rsidR="00F540B1" w:rsidRPr="0014373B" w:rsidRDefault="00F540B1" w:rsidP="00251B08">
            <w:pPr>
              <w:rPr>
                <w:color w:val="auto"/>
              </w:rPr>
            </w:pPr>
            <w:r w:rsidRPr="0014373B">
              <w:rPr>
                <w:color w:val="auto"/>
              </w:rPr>
              <w:t>Name</w:t>
            </w:r>
          </w:p>
        </w:tc>
        <w:tc>
          <w:tcPr>
            <w:tcW w:w="3538" w:type="pct"/>
          </w:tcPr>
          <w:p w14:paraId="0E9918B9" w14:textId="77777777" w:rsidR="00F540B1" w:rsidRPr="0014373B" w:rsidRDefault="00F540B1" w:rsidP="00251B08">
            <w:r w:rsidRPr="0014373B">
              <w:t>pe-[env]-ause-&lt;appname&gt;-&lt;workload&gt;-01</w:t>
            </w:r>
          </w:p>
        </w:tc>
      </w:tr>
      <w:tr w:rsidR="00F540B1" w:rsidRPr="007D1262" w14:paraId="1F7BF80E" w14:textId="77777777" w:rsidTr="00251B08">
        <w:tc>
          <w:tcPr>
            <w:tcW w:w="1462" w:type="pct"/>
          </w:tcPr>
          <w:p w14:paraId="612B5851" w14:textId="77777777" w:rsidR="00F540B1" w:rsidRPr="0014373B" w:rsidRDefault="00F540B1" w:rsidP="00251B08">
            <w:pPr>
              <w:rPr>
                <w:color w:val="auto"/>
              </w:rPr>
            </w:pPr>
            <w:r w:rsidRPr="0014373B">
              <w:rPr>
                <w:color w:val="auto"/>
              </w:rPr>
              <w:t>NIC Name</w:t>
            </w:r>
          </w:p>
        </w:tc>
        <w:tc>
          <w:tcPr>
            <w:tcW w:w="3538" w:type="pct"/>
          </w:tcPr>
          <w:p w14:paraId="56E80E5D" w14:textId="77777777" w:rsidR="00F540B1" w:rsidRPr="0014373B" w:rsidRDefault="00F540B1" w:rsidP="00251B08">
            <w:r w:rsidRPr="0014373B">
              <w:t>nic-[env]-ause-[appname]-[workload]-01</w:t>
            </w:r>
          </w:p>
        </w:tc>
      </w:tr>
      <w:tr w:rsidR="00F540B1" w:rsidRPr="007D1262" w14:paraId="3E5BBBE7" w14:textId="77777777" w:rsidTr="00251B08">
        <w:tc>
          <w:tcPr>
            <w:tcW w:w="1462" w:type="pct"/>
          </w:tcPr>
          <w:p w14:paraId="71E7E4A2" w14:textId="77777777" w:rsidR="00F540B1" w:rsidRPr="0014373B" w:rsidRDefault="00F540B1" w:rsidP="00251B08">
            <w:pPr>
              <w:rPr>
                <w:color w:val="auto"/>
              </w:rPr>
            </w:pPr>
            <w:r w:rsidRPr="0014373B">
              <w:rPr>
                <w:color w:val="auto"/>
              </w:rPr>
              <w:t>Resource Type</w:t>
            </w:r>
          </w:p>
        </w:tc>
        <w:tc>
          <w:tcPr>
            <w:tcW w:w="3538" w:type="pct"/>
          </w:tcPr>
          <w:p w14:paraId="683B19DA" w14:textId="77777777" w:rsidR="00F540B1" w:rsidRPr="0014373B" w:rsidRDefault="00F540B1" w:rsidP="00251B08">
            <w:r w:rsidRPr="0014373B">
              <w:t>Select resource e.g. Key Vault, Storage</w:t>
            </w:r>
          </w:p>
        </w:tc>
      </w:tr>
      <w:tr w:rsidR="00F540B1" w:rsidRPr="007D1262" w14:paraId="5276E16D" w14:textId="77777777" w:rsidTr="00251B08">
        <w:tc>
          <w:tcPr>
            <w:tcW w:w="1462" w:type="pct"/>
          </w:tcPr>
          <w:p w14:paraId="6044627C" w14:textId="77777777" w:rsidR="00F540B1" w:rsidRPr="0014373B" w:rsidRDefault="00F540B1" w:rsidP="00251B08">
            <w:pPr>
              <w:rPr>
                <w:color w:val="auto"/>
              </w:rPr>
            </w:pPr>
            <w:r w:rsidRPr="0014373B">
              <w:rPr>
                <w:color w:val="auto"/>
              </w:rPr>
              <w:t>Resource</w:t>
            </w:r>
          </w:p>
        </w:tc>
        <w:tc>
          <w:tcPr>
            <w:tcW w:w="3538" w:type="pct"/>
          </w:tcPr>
          <w:p w14:paraId="3A831985" w14:textId="77777777" w:rsidR="00F540B1" w:rsidRPr="0014373B" w:rsidRDefault="00F540B1" w:rsidP="00251B08">
            <w:r w:rsidRPr="0014373B">
              <w:t>Select the specific resource</w:t>
            </w:r>
          </w:p>
        </w:tc>
      </w:tr>
      <w:tr w:rsidR="00F540B1" w:rsidRPr="007D1262" w14:paraId="333CA8F1" w14:textId="77777777" w:rsidTr="00251B08">
        <w:tc>
          <w:tcPr>
            <w:tcW w:w="1462" w:type="pct"/>
          </w:tcPr>
          <w:p w14:paraId="35B2F1D5" w14:textId="77777777" w:rsidR="00F540B1" w:rsidRPr="0014373B" w:rsidRDefault="00F540B1" w:rsidP="00251B08">
            <w:pPr>
              <w:rPr>
                <w:color w:val="auto"/>
              </w:rPr>
            </w:pPr>
            <w:r w:rsidRPr="0014373B">
              <w:rPr>
                <w:color w:val="auto"/>
              </w:rPr>
              <w:t>DNS Zone</w:t>
            </w:r>
          </w:p>
        </w:tc>
        <w:tc>
          <w:tcPr>
            <w:tcW w:w="3538" w:type="pct"/>
          </w:tcPr>
          <w:p w14:paraId="2CF44D0D" w14:textId="502480A9" w:rsidR="00F540B1" w:rsidRPr="0014373B" w:rsidRDefault="00DD7627" w:rsidP="00251B08">
            <w:r>
              <w:t>p</w:t>
            </w:r>
            <w:r w:rsidR="00F540B1" w:rsidRPr="0014373B">
              <w:t>rivatelink.[zone required]</w:t>
            </w:r>
          </w:p>
        </w:tc>
      </w:tr>
    </w:tbl>
    <w:p w14:paraId="184221D8" w14:textId="77777777" w:rsidR="00AB6675" w:rsidRDefault="00AB6675" w:rsidP="00E864CD">
      <w:pPr>
        <w:pStyle w:val="BodyText"/>
        <w:tabs>
          <w:tab w:val="clear" w:pos="4536"/>
          <w:tab w:val="clear" w:pos="6804"/>
          <w:tab w:val="clear" w:pos="9638"/>
          <w:tab w:val="left" w:pos="3065"/>
        </w:tabs>
        <w:jc w:val="both"/>
      </w:pPr>
    </w:p>
    <w:p w14:paraId="1B93C96F" w14:textId="0764F0E2" w:rsidR="00631431" w:rsidRPr="00683993" w:rsidRDefault="00B162DF" w:rsidP="00683993">
      <w:pPr>
        <w:pStyle w:val="Heading3"/>
        <w:numPr>
          <w:ilvl w:val="2"/>
          <w:numId w:val="7"/>
        </w:numPr>
      </w:pPr>
      <w:bookmarkStart w:id="39" w:name="_Toc156483728"/>
      <w:r w:rsidRPr="00683993">
        <w:t>Private DNS Zone</w:t>
      </w:r>
      <w:r w:rsidR="00683993">
        <w:t>s</w:t>
      </w:r>
      <w:bookmarkEnd w:id="39"/>
    </w:p>
    <w:tbl>
      <w:tblPr>
        <w:tblStyle w:val="TableGrid"/>
        <w:tblW w:w="9214" w:type="dxa"/>
        <w:tblLook w:val="05A0" w:firstRow="1" w:lastRow="0" w:firstColumn="1" w:lastColumn="1" w:noHBand="0" w:noVBand="1"/>
      </w:tblPr>
      <w:tblGrid>
        <w:gridCol w:w="2694"/>
        <w:gridCol w:w="6520"/>
      </w:tblGrid>
      <w:tr w:rsidR="00B162DF" w:rsidRPr="0014373B" w14:paraId="387BB1C6" w14:textId="77777777" w:rsidTr="00251B08">
        <w:trPr>
          <w:cnfStyle w:val="100000000000" w:firstRow="1" w:lastRow="0" w:firstColumn="0" w:lastColumn="0" w:oddVBand="0" w:evenVBand="0" w:oddHBand="0" w:evenHBand="0" w:firstRowFirstColumn="0" w:firstRowLastColumn="0" w:lastRowFirstColumn="0" w:lastRowLastColumn="0"/>
        </w:trPr>
        <w:tc>
          <w:tcPr>
            <w:tcW w:w="1462" w:type="pct"/>
          </w:tcPr>
          <w:p w14:paraId="512318EE" w14:textId="77777777" w:rsidR="00B162DF" w:rsidRPr="0014373B" w:rsidRDefault="00B162DF" w:rsidP="00251B08">
            <w:pPr>
              <w:ind w:left="-106" w:firstLine="106"/>
              <w:rPr>
                <w:color w:val="auto"/>
              </w:rPr>
            </w:pPr>
            <w:r w:rsidRPr="0014373B">
              <w:rPr>
                <w:color w:val="auto"/>
              </w:rPr>
              <w:t>Configuration Item</w:t>
            </w:r>
          </w:p>
        </w:tc>
        <w:tc>
          <w:tcPr>
            <w:tcW w:w="3538" w:type="pct"/>
          </w:tcPr>
          <w:p w14:paraId="4A80564D" w14:textId="77777777" w:rsidR="00B162DF" w:rsidRPr="0014373B" w:rsidRDefault="00B162DF" w:rsidP="00251B08">
            <w:pPr>
              <w:rPr>
                <w:color w:val="auto"/>
              </w:rPr>
            </w:pPr>
            <w:r w:rsidRPr="0014373B">
              <w:rPr>
                <w:color w:val="auto"/>
              </w:rPr>
              <w:t>Configuration Details</w:t>
            </w:r>
          </w:p>
        </w:tc>
      </w:tr>
      <w:tr w:rsidR="00B162DF" w:rsidRPr="0014373B" w14:paraId="63F0A000" w14:textId="77777777" w:rsidTr="00251B08">
        <w:tc>
          <w:tcPr>
            <w:tcW w:w="1462" w:type="pct"/>
          </w:tcPr>
          <w:p w14:paraId="7C5FBEAF" w14:textId="77777777" w:rsidR="00B162DF" w:rsidRPr="0014373B" w:rsidRDefault="00B162DF" w:rsidP="00251B08">
            <w:pPr>
              <w:rPr>
                <w:color w:val="auto"/>
              </w:rPr>
            </w:pPr>
            <w:r w:rsidRPr="0014373B">
              <w:rPr>
                <w:color w:val="auto"/>
              </w:rPr>
              <w:t>Subscription</w:t>
            </w:r>
          </w:p>
        </w:tc>
        <w:tc>
          <w:tcPr>
            <w:tcW w:w="3538" w:type="pct"/>
          </w:tcPr>
          <w:p w14:paraId="002343E7" w14:textId="0B079626" w:rsidR="00B162DF" w:rsidRPr="0014373B" w:rsidRDefault="00B162DF" w:rsidP="00251B08">
            <w:r w:rsidRPr="0014373B">
              <w:t>AV ALZ Connectivity</w:t>
            </w:r>
          </w:p>
        </w:tc>
      </w:tr>
      <w:tr w:rsidR="00B162DF" w:rsidRPr="0014373B" w14:paraId="65733E08" w14:textId="77777777" w:rsidTr="00251B08">
        <w:tc>
          <w:tcPr>
            <w:tcW w:w="1462" w:type="pct"/>
          </w:tcPr>
          <w:p w14:paraId="21370ADA" w14:textId="77777777" w:rsidR="00B162DF" w:rsidRPr="0014373B" w:rsidRDefault="00B162DF" w:rsidP="00251B08">
            <w:pPr>
              <w:rPr>
                <w:color w:val="auto"/>
              </w:rPr>
            </w:pPr>
            <w:r w:rsidRPr="0014373B">
              <w:rPr>
                <w:color w:val="auto"/>
              </w:rPr>
              <w:t>Region</w:t>
            </w:r>
          </w:p>
        </w:tc>
        <w:tc>
          <w:tcPr>
            <w:tcW w:w="3538" w:type="pct"/>
          </w:tcPr>
          <w:p w14:paraId="57A80FCE" w14:textId="1098374F" w:rsidR="00B162DF" w:rsidRPr="0014373B" w:rsidRDefault="00B162DF" w:rsidP="00251B08">
            <w:r w:rsidRPr="0014373B">
              <w:t>Australia Southeast</w:t>
            </w:r>
          </w:p>
        </w:tc>
      </w:tr>
      <w:tr w:rsidR="00B162DF" w:rsidRPr="0014373B" w14:paraId="0F2BFFA9" w14:textId="77777777" w:rsidTr="00251B08">
        <w:tc>
          <w:tcPr>
            <w:tcW w:w="1462" w:type="pct"/>
          </w:tcPr>
          <w:p w14:paraId="111F9DD6" w14:textId="77777777" w:rsidR="00B162DF" w:rsidRPr="0014373B" w:rsidRDefault="00B162DF" w:rsidP="00251B08">
            <w:pPr>
              <w:rPr>
                <w:color w:val="auto"/>
              </w:rPr>
            </w:pPr>
            <w:r w:rsidRPr="0014373B">
              <w:rPr>
                <w:color w:val="auto"/>
              </w:rPr>
              <w:t>Resource Group</w:t>
            </w:r>
          </w:p>
        </w:tc>
        <w:tc>
          <w:tcPr>
            <w:tcW w:w="3538" w:type="pct"/>
          </w:tcPr>
          <w:p w14:paraId="04F6E7EC" w14:textId="752BABD1" w:rsidR="00B162DF" w:rsidRPr="0014373B" w:rsidRDefault="00B162DF" w:rsidP="00B162DF">
            <w:pPr>
              <w:ind w:left="0"/>
            </w:pPr>
            <w:r w:rsidRPr="0014373B">
              <w:t xml:space="preserve"> </w:t>
            </w:r>
            <w:r w:rsidR="00C244CE" w:rsidRPr="0014373B">
              <w:t>rg-prd-ause-connectivity-privatedns-01</w:t>
            </w:r>
          </w:p>
        </w:tc>
      </w:tr>
      <w:tr w:rsidR="00B162DF" w:rsidRPr="0014373B" w14:paraId="7F4BC1FB" w14:textId="77777777" w:rsidTr="00251B08">
        <w:tc>
          <w:tcPr>
            <w:tcW w:w="1462" w:type="pct"/>
          </w:tcPr>
          <w:p w14:paraId="25FBAF58" w14:textId="1E572DF6" w:rsidR="00B162DF" w:rsidRPr="0014373B" w:rsidRDefault="00CC1D3A" w:rsidP="00251B08">
            <w:pPr>
              <w:rPr>
                <w:color w:val="auto"/>
              </w:rPr>
            </w:pPr>
            <w:r w:rsidRPr="0014373B">
              <w:rPr>
                <w:color w:val="auto"/>
              </w:rPr>
              <w:t>Name</w:t>
            </w:r>
          </w:p>
        </w:tc>
        <w:tc>
          <w:tcPr>
            <w:tcW w:w="3538" w:type="pct"/>
          </w:tcPr>
          <w:p w14:paraId="4382783E" w14:textId="4ADD0CEF" w:rsidR="00B162DF" w:rsidRPr="0014373B" w:rsidRDefault="00CC1D3A" w:rsidP="00251B08">
            <w:r w:rsidRPr="0014373B">
              <w:t>Default Private DNS zone name: e.g. privatelink.service.net</w:t>
            </w:r>
          </w:p>
        </w:tc>
      </w:tr>
      <w:tr w:rsidR="001A57E8" w:rsidRPr="0014373B" w14:paraId="3D292086" w14:textId="77777777" w:rsidTr="00251B08">
        <w:tc>
          <w:tcPr>
            <w:tcW w:w="1462" w:type="pct"/>
          </w:tcPr>
          <w:p w14:paraId="0F1D5E7A" w14:textId="3113560F" w:rsidR="001A57E8" w:rsidRPr="0014373B" w:rsidRDefault="001A57E8" w:rsidP="00251B08">
            <w:pPr>
              <w:rPr>
                <w:color w:val="auto"/>
              </w:rPr>
            </w:pPr>
            <w:r>
              <w:rPr>
                <w:color w:val="auto"/>
              </w:rPr>
              <w:t>Vnet Links</w:t>
            </w:r>
          </w:p>
        </w:tc>
        <w:tc>
          <w:tcPr>
            <w:tcW w:w="3538" w:type="pct"/>
          </w:tcPr>
          <w:p w14:paraId="5C2A43CB" w14:textId="140B24AA" w:rsidR="001A57E8" w:rsidRDefault="00151F7A" w:rsidP="00251B08">
            <w:r>
              <w:t>d</w:t>
            </w:r>
            <w:r w:rsidR="005928CD">
              <w:t>nsvnl-</w:t>
            </w:r>
            <w:r w:rsidR="00950311">
              <w:t>to-</w:t>
            </w:r>
            <w:r w:rsidR="00950311" w:rsidRPr="00950311">
              <w:t>vnet-prd-syd-shd-01</w:t>
            </w:r>
            <w:r w:rsidR="00950311">
              <w:t xml:space="preserve"> (AZ 2 Sydney)</w:t>
            </w:r>
          </w:p>
          <w:p w14:paraId="5F1459BF" w14:textId="77777777" w:rsidR="00950311" w:rsidRDefault="00950311" w:rsidP="00251B08">
            <w:r>
              <w:t>dnsvnl-to-</w:t>
            </w:r>
            <w:r w:rsidRPr="00950311">
              <w:t>vnet-prd-</w:t>
            </w:r>
            <w:r>
              <w:t>mel</w:t>
            </w:r>
            <w:r w:rsidRPr="00950311">
              <w:t>-shd-01</w:t>
            </w:r>
            <w:r>
              <w:t xml:space="preserve"> (AZ 2 Melbourne)</w:t>
            </w:r>
          </w:p>
          <w:p w14:paraId="5AAF6147" w14:textId="7CB284E9" w:rsidR="005F7773" w:rsidRDefault="005F7773" w:rsidP="005F7773">
            <w:r>
              <w:t>dnsvnl-to-vnet-prd-auea-iden-01 (AZ 3 Sydney)</w:t>
            </w:r>
          </w:p>
          <w:p w14:paraId="74BE21F1" w14:textId="18AE3541" w:rsidR="00950311" w:rsidRPr="0014373B" w:rsidRDefault="00950311" w:rsidP="00251B08">
            <w:r>
              <w:t>dnsvnl-to-</w:t>
            </w:r>
            <w:r w:rsidR="005F7773" w:rsidRPr="005F7773">
              <w:t>vnet-prd-ause-iden-01</w:t>
            </w:r>
            <w:r w:rsidR="005F7773">
              <w:t xml:space="preserve"> (AZ 3 Melbourne)</w:t>
            </w:r>
          </w:p>
        </w:tc>
      </w:tr>
    </w:tbl>
    <w:p w14:paraId="0874E0EF" w14:textId="650C60CE" w:rsidR="00631431" w:rsidRDefault="00A3308E" w:rsidP="007D289F">
      <w:pPr>
        <w:pStyle w:val="BodyText"/>
        <w:tabs>
          <w:tab w:val="clear" w:pos="4536"/>
          <w:tab w:val="clear" w:pos="6804"/>
          <w:tab w:val="clear" w:pos="9638"/>
          <w:tab w:val="left" w:pos="3065"/>
        </w:tabs>
        <w:jc w:val="both"/>
        <w:rPr>
          <w:i/>
          <w:iCs/>
        </w:rPr>
      </w:pPr>
      <w:r w:rsidRPr="00CF4531">
        <w:rPr>
          <w:i/>
          <w:iCs/>
        </w:rPr>
        <w:t xml:space="preserve">Note that the </w:t>
      </w:r>
      <w:r w:rsidR="00812239">
        <w:rPr>
          <w:i/>
          <w:iCs/>
        </w:rPr>
        <w:t xml:space="preserve">vnet </w:t>
      </w:r>
      <w:r w:rsidRPr="00CF4531">
        <w:rPr>
          <w:i/>
          <w:iCs/>
        </w:rPr>
        <w:t xml:space="preserve">links </w:t>
      </w:r>
      <w:r w:rsidR="00812239">
        <w:rPr>
          <w:i/>
          <w:iCs/>
        </w:rPr>
        <w:t xml:space="preserve">above </w:t>
      </w:r>
      <w:r w:rsidRPr="00CF4531">
        <w:rPr>
          <w:i/>
          <w:iCs/>
        </w:rPr>
        <w:t xml:space="preserve">to AZ 2 will eventually be terminated when all Virtual Networks point to the Domain Controllers in AZ 3 for the DNS service. </w:t>
      </w:r>
    </w:p>
    <w:p w14:paraId="3C004C86" w14:textId="77777777" w:rsidR="004E307B" w:rsidRDefault="004E307B" w:rsidP="007D289F">
      <w:pPr>
        <w:pStyle w:val="BodyText"/>
        <w:tabs>
          <w:tab w:val="clear" w:pos="4536"/>
          <w:tab w:val="clear" w:pos="6804"/>
          <w:tab w:val="clear" w:pos="9638"/>
          <w:tab w:val="left" w:pos="3065"/>
        </w:tabs>
        <w:jc w:val="both"/>
        <w:rPr>
          <w:i/>
          <w:iCs/>
        </w:rPr>
      </w:pPr>
    </w:p>
    <w:p w14:paraId="31805685" w14:textId="2E65188F" w:rsidR="004E307B" w:rsidRDefault="004E307B" w:rsidP="004E307B">
      <w:pPr>
        <w:pStyle w:val="Heading1"/>
      </w:pPr>
      <w:r>
        <w:t>A</w:t>
      </w:r>
      <w:r>
        <w:t>ppendix</w:t>
      </w:r>
    </w:p>
    <w:p w14:paraId="5C131DA0" w14:textId="7EDFCF56" w:rsidR="00805973" w:rsidRPr="00805973" w:rsidRDefault="00805973" w:rsidP="00805973">
      <w:pPr>
        <w:pStyle w:val="Heading2"/>
      </w:pPr>
      <w:r>
        <w:t>Associated Links</w:t>
      </w:r>
    </w:p>
    <w:p w14:paraId="639A4CC7" w14:textId="0BADA4C7" w:rsidR="004E307B" w:rsidRDefault="004E307B" w:rsidP="007D289F">
      <w:pPr>
        <w:pStyle w:val="BodyText"/>
        <w:tabs>
          <w:tab w:val="clear" w:pos="4536"/>
          <w:tab w:val="clear" w:pos="6804"/>
          <w:tab w:val="clear" w:pos="9638"/>
          <w:tab w:val="left" w:pos="3065"/>
        </w:tabs>
        <w:jc w:val="both"/>
      </w:pPr>
      <w:r>
        <w:t xml:space="preserve">Note that the following </w:t>
      </w:r>
      <w:r w:rsidR="00CA0901">
        <w:t xml:space="preserve">Confluence documentation is heavily linked to this design document: </w:t>
      </w:r>
    </w:p>
    <w:p w14:paraId="0B43F766" w14:textId="77777777" w:rsidR="00CA0901" w:rsidRDefault="00CA0901" w:rsidP="007D289F">
      <w:pPr>
        <w:pStyle w:val="BodyText"/>
        <w:tabs>
          <w:tab w:val="clear" w:pos="4536"/>
          <w:tab w:val="clear" w:pos="6804"/>
          <w:tab w:val="clear" w:pos="9638"/>
          <w:tab w:val="left" w:pos="3065"/>
        </w:tabs>
        <w:jc w:val="both"/>
      </w:pPr>
    </w:p>
    <w:p w14:paraId="020F5464" w14:textId="23D694D9" w:rsidR="00CA0901" w:rsidRDefault="00CA0901" w:rsidP="007D289F">
      <w:pPr>
        <w:pStyle w:val="BodyText"/>
        <w:tabs>
          <w:tab w:val="clear" w:pos="4536"/>
          <w:tab w:val="clear" w:pos="6804"/>
          <w:tab w:val="clear" w:pos="9638"/>
          <w:tab w:val="left" w:pos="3065"/>
        </w:tabs>
        <w:jc w:val="both"/>
      </w:pPr>
      <w:hyperlink r:id="rId20" w:history="1">
        <w:r w:rsidRPr="002B0C75">
          <w:rPr>
            <w:rStyle w:val="Hyperlink"/>
          </w:rPr>
          <w:t>https://ambvic.atlassian.net/wiki/spaces/Infr/pages/2921889793/Private+Endpoint+DNS+Integration</w:t>
        </w:r>
      </w:hyperlink>
    </w:p>
    <w:p w14:paraId="76897DC2" w14:textId="77777777" w:rsidR="00CA0901" w:rsidRDefault="00CA0901" w:rsidP="007D289F">
      <w:pPr>
        <w:pStyle w:val="BodyText"/>
        <w:tabs>
          <w:tab w:val="clear" w:pos="4536"/>
          <w:tab w:val="clear" w:pos="6804"/>
          <w:tab w:val="clear" w:pos="9638"/>
          <w:tab w:val="left" w:pos="3065"/>
        </w:tabs>
        <w:jc w:val="both"/>
      </w:pPr>
    </w:p>
    <w:p w14:paraId="6649D90D" w14:textId="110A6621" w:rsidR="00CA0901" w:rsidRPr="004E307B" w:rsidRDefault="00CA0901" w:rsidP="007D289F">
      <w:pPr>
        <w:pStyle w:val="BodyText"/>
        <w:tabs>
          <w:tab w:val="clear" w:pos="4536"/>
          <w:tab w:val="clear" w:pos="6804"/>
          <w:tab w:val="clear" w:pos="9638"/>
          <w:tab w:val="left" w:pos="3065"/>
        </w:tabs>
        <w:jc w:val="both"/>
      </w:pPr>
      <w:hyperlink r:id="rId21" w:history="1">
        <w:r>
          <w:rPr>
            <w:rStyle w:val="Hyperlink"/>
          </w:rPr>
          <w:t>https://ambvic.atlassian.net/wiki/spaces/Infr/pages/2927394829/DNS+DHCP+Infrastructure</w:t>
        </w:r>
      </w:hyperlink>
    </w:p>
    <w:p w14:paraId="3C3D921A" w14:textId="77777777" w:rsidR="00631431" w:rsidRDefault="00631431" w:rsidP="007D289F">
      <w:pPr>
        <w:pStyle w:val="BodyText"/>
        <w:tabs>
          <w:tab w:val="clear" w:pos="4536"/>
          <w:tab w:val="clear" w:pos="6804"/>
          <w:tab w:val="clear" w:pos="9638"/>
          <w:tab w:val="left" w:pos="3065"/>
        </w:tabs>
        <w:jc w:val="both"/>
        <w:rPr>
          <w:b/>
          <w:bCs/>
        </w:rPr>
      </w:pPr>
    </w:p>
    <w:p w14:paraId="35840444" w14:textId="77777777" w:rsidR="009B789A" w:rsidRDefault="009B789A" w:rsidP="007D289F">
      <w:pPr>
        <w:pStyle w:val="BodyText"/>
        <w:tabs>
          <w:tab w:val="clear" w:pos="4536"/>
          <w:tab w:val="clear" w:pos="6804"/>
          <w:tab w:val="clear" w:pos="9638"/>
          <w:tab w:val="left" w:pos="3065"/>
        </w:tabs>
        <w:jc w:val="both"/>
        <w:rPr>
          <w:b/>
          <w:bCs/>
        </w:rPr>
      </w:pPr>
    </w:p>
    <w:p w14:paraId="52AC0DCB" w14:textId="77777777" w:rsidR="009B789A" w:rsidRDefault="009B789A" w:rsidP="007D289F">
      <w:pPr>
        <w:pStyle w:val="BodyText"/>
        <w:tabs>
          <w:tab w:val="clear" w:pos="4536"/>
          <w:tab w:val="clear" w:pos="6804"/>
          <w:tab w:val="clear" w:pos="9638"/>
          <w:tab w:val="left" w:pos="3065"/>
        </w:tabs>
        <w:jc w:val="both"/>
        <w:rPr>
          <w:b/>
          <w:bCs/>
        </w:rPr>
      </w:pPr>
    </w:p>
    <w:p w14:paraId="67D82BA9" w14:textId="77777777" w:rsidR="009B789A" w:rsidRDefault="009B789A" w:rsidP="007D289F">
      <w:pPr>
        <w:pStyle w:val="BodyText"/>
        <w:tabs>
          <w:tab w:val="clear" w:pos="4536"/>
          <w:tab w:val="clear" w:pos="6804"/>
          <w:tab w:val="clear" w:pos="9638"/>
          <w:tab w:val="left" w:pos="3065"/>
        </w:tabs>
        <w:jc w:val="both"/>
        <w:rPr>
          <w:b/>
          <w:bCs/>
        </w:rPr>
      </w:pPr>
    </w:p>
    <w:p w14:paraId="34A191D8" w14:textId="77777777" w:rsidR="009B789A" w:rsidRDefault="009B789A" w:rsidP="007D289F">
      <w:pPr>
        <w:pStyle w:val="BodyText"/>
        <w:tabs>
          <w:tab w:val="clear" w:pos="4536"/>
          <w:tab w:val="clear" w:pos="6804"/>
          <w:tab w:val="clear" w:pos="9638"/>
          <w:tab w:val="left" w:pos="3065"/>
        </w:tabs>
        <w:jc w:val="both"/>
        <w:rPr>
          <w:b/>
          <w:bCs/>
        </w:rPr>
      </w:pPr>
    </w:p>
    <w:p w14:paraId="1679C6A8" w14:textId="77777777" w:rsidR="009B789A" w:rsidRDefault="009B789A" w:rsidP="007D289F">
      <w:pPr>
        <w:pStyle w:val="BodyText"/>
        <w:tabs>
          <w:tab w:val="clear" w:pos="4536"/>
          <w:tab w:val="clear" w:pos="6804"/>
          <w:tab w:val="clear" w:pos="9638"/>
          <w:tab w:val="left" w:pos="3065"/>
        </w:tabs>
        <w:jc w:val="both"/>
        <w:rPr>
          <w:b/>
          <w:bCs/>
        </w:rPr>
      </w:pPr>
    </w:p>
    <w:p w14:paraId="18032D59" w14:textId="77777777" w:rsidR="009B789A" w:rsidRDefault="009B789A" w:rsidP="007D289F">
      <w:pPr>
        <w:pStyle w:val="BodyText"/>
        <w:tabs>
          <w:tab w:val="clear" w:pos="4536"/>
          <w:tab w:val="clear" w:pos="6804"/>
          <w:tab w:val="clear" w:pos="9638"/>
          <w:tab w:val="left" w:pos="3065"/>
        </w:tabs>
        <w:jc w:val="both"/>
        <w:rPr>
          <w:b/>
          <w:bCs/>
        </w:rPr>
      </w:pPr>
    </w:p>
    <w:p w14:paraId="3DB3581F" w14:textId="77777777" w:rsidR="009B789A" w:rsidRDefault="009B789A" w:rsidP="007D289F">
      <w:pPr>
        <w:pStyle w:val="BodyText"/>
        <w:tabs>
          <w:tab w:val="clear" w:pos="4536"/>
          <w:tab w:val="clear" w:pos="6804"/>
          <w:tab w:val="clear" w:pos="9638"/>
          <w:tab w:val="left" w:pos="3065"/>
        </w:tabs>
        <w:jc w:val="both"/>
        <w:rPr>
          <w:b/>
          <w:bCs/>
        </w:rPr>
      </w:pPr>
    </w:p>
    <w:p w14:paraId="76CC864A" w14:textId="77777777" w:rsidR="009B789A" w:rsidRDefault="009B789A" w:rsidP="007D289F">
      <w:pPr>
        <w:pStyle w:val="BodyText"/>
        <w:tabs>
          <w:tab w:val="clear" w:pos="4536"/>
          <w:tab w:val="clear" w:pos="6804"/>
          <w:tab w:val="clear" w:pos="9638"/>
          <w:tab w:val="left" w:pos="3065"/>
        </w:tabs>
        <w:jc w:val="both"/>
        <w:rPr>
          <w:b/>
          <w:bCs/>
        </w:rPr>
      </w:pPr>
    </w:p>
    <w:p w14:paraId="1A235BF3" w14:textId="77777777" w:rsidR="009B789A" w:rsidRDefault="009B789A" w:rsidP="007D289F">
      <w:pPr>
        <w:pStyle w:val="BodyText"/>
        <w:tabs>
          <w:tab w:val="clear" w:pos="4536"/>
          <w:tab w:val="clear" w:pos="6804"/>
          <w:tab w:val="clear" w:pos="9638"/>
          <w:tab w:val="left" w:pos="3065"/>
        </w:tabs>
        <w:jc w:val="both"/>
        <w:rPr>
          <w:b/>
          <w:bCs/>
        </w:rPr>
      </w:pPr>
    </w:p>
    <w:p w14:paraId="6D58ECB2" w14:textId="77777777" w:rsidR="009B789A" w:rsidRDefault="009B789A" w:rsidP="007D289F">
      <w:pPr>
        <w:pStyle w:val="BodyText"/>
        <w:tabs>
          <w:tab w:val="clear" w:pos="4536"/>
          <w:tab w:val="clear" w:pos="6804"/>
          <w:tab w:val="clear" w:pos="9638"/>
          <w:tab w:val="left" w:pos="3065"/>
        </w:tabs>
        <w:jc w:val="both"/>
        <w:rPr>
          <w:b/>
          <w:bCs/>
        </w:rPr>
      </w:pPr>
    </w:p>
    <w:p w14:paraId="707DA4D4" w14:textId="77777777" w:rsidR="009B789A" w:rsidRDefault="009B789A" w:rsidP="007D289F">
      <w:pPr>
        <w:pStyle w:val="BodyText"/>
        <w:tabs>
          <w:tab w:val="clear" w:pos="4536"/>
          <w:tab w:val="clear" w:pos="6804"/>
          <w:tab w:val="clear" w:pos="9638"/>
          <w:tab w:val="left" w:pos="3065"/>
        </w:tabs>
        <w:jc w:val="both"/>
        <w:rPr>
          <w:b/>
          <w:bCs/>
        </w:rPr>
      </w:pPr>
    </w:p>
    <w:p w14:paraId="1AC3015D" w14:textId="77777777" w:rsidR="009B789A" w:rsidRDefault="009B789A" w:rsidP="007D289F">
      <w:pPr>
        <w:pStyle w:val="BodyText"/>
        <w:tabs>
          <w:tab w:val="clear" w:pos="4536"/>
          <w:tab w:val="clear" w:pos="6804"/>
          <w:tab w:val="clear" w:pos="9638"/>
          <w:tab w:val="left" w:pos="3065"/>
        </w:tabs>
        <w:jc w:val="both"/>
        <w:rPr>
          <w:b/>
          <w:bCs/>
        </w:rPr>
      </w:pPr>
    </w:p>
    <w:p w14:paraId="45A58BD5" w14:textId="77777777" w:rsidR="009B789A" w:rsidRDefault="009B789A" w:rsidP="007D289F">
      <w:pPr>
        <w:pStyle w:val="BodyText"/>
        <w:tabs>
          <w:tab w:val="clear" w:pos="4536"/>
          <w:tab w:val="clear" w:pos="6804"/>
          <w:tab w:val="clear" w:pos="9638"/>
          <w:tab w:val="left" w:pos="3065"/>
        </w:tabs>
        <w:jc w:val="both"/>
        <w:rPr>
          <w:b/>
          <w:bCs/>
        </w:rPr>
      </w:pPr>
    </w:p>
    <w:p w14:paraId="03B0DF02" w14:textId="77777777" w:rsidR="009B789A" w:rsidRDefault="009B789A" w:rsidP="007D289F">
      <w:pPr>
        <w:pStyle w:val="BodyText"/>
        <w:tabs>
          <w:tab w:val="clear" w:pos="4536"/>
          <w:tab w:val="clear" w:pos="6804"/>
          <w:tab w:val="clear" w:pos="9638"/>
          <w:tab w:val="left" w:pos="3065"/>
        </w:tabs>
        <w:jc w:val="both"/>
        <w:rPr>
          <w:b/>
          <w:bCs/>
        </w:rPr>
      </w:pPr>
    </w:p>
    <w:p w14:paraId="6FEE9BD2" w14:textId="77777777" w:rsidR="009B789A" w:rsidRDefault="009B789A" w:rsidP="007D289F">
      <w:pPr>
        <w:pStyle w:val="BodyText"/>
        <w:tabs>
          <w:tab w:val="clear" w:pos="4536"/>
          <w:tab w:val="clear" w:pos="6804"/>
          <w:tab w:val="clear" w:pos="9638"/>
          <w:tab w:val="left" w:pos="3065"/>
        </w:tabs>
        <w:jc w:val="both"/>
        <w:rPr>
          <w:b/>
          <w:bCs/>
        </w:rPr>
      </w:pPr>
    </w:p>
    <w:p w14:paraId="70DB14DB" w14:textId="77777777" w:rsidR="009B789A" w:rsidRDefault="009B789A" w:rsidP="007D289F">
      <w:pPr>
        <w:pStyle w:val="BodyText"/>
        <w:tabs>
          <w:tab w:val="clear" w:pos="4536"/>
          <w:tab w:val="clear" w:pos="6804"/>
          <w:tab w:val="clear" w:pos="9638"/>
          <w:tab w:val="left" w:pos="3065"/>
        </w:tabs>
        <w:jc w:val="both"/>
        <w:rPr>
          <w:b/>
          <w:bCs/>
        </w:rPr>
      </w:pPr>
    </w:p>
    <w:p w14:paraId="6A59F087" w14:textId="77777777" w:rsidR="009B789A" w:rsidRDefault="009B789A" w:rsidP="007D289F">
      <w:pPr>
        <w:pStyle w:val="BodyText"/>
        <w:tabs>
          <w:tab w:val="clear" w:pos="4536"/>
          <w:tab w:val="clear" w:pos="6804"/>
          <w:tab w:val="clear" w:pos="9638"/>
          <w:tab w:val="left" w:pos="3065"/>
        </w:tabs>
        <w:jc w:val="both"/>
        <w:rPr>
          <w:b/>
          <w:bCs/>
        </w:rPr>
      </w:pPr>
    </w:p>
    <w:p w14:paraId="4D2C3865" w14:textId="77777777" w:rsidR="009B789A" w:rsidRDefault="009B789A" w:rsidP="007D289F">
      <w:pPr>
        <w:pStyle w:val="BodyText"/>
        <w:tabs>
          <w:tab w:val="clear" w:pos="4536"/>
          <w:tab w:val="clear" w:pos="6804"/>
          <w:tab w:val="clear" w:pos="9638"/>
          <w:tab w:val="left" w:pos="3065"/>
        </w:tabs>
        <w:jc w:val="both"/>
        <w:rPr>
          <w:b/>
          <w:bCs/>
        </w:rPr>
      </w:pPr>
    </w:p>
    <w:p w14:paraId="393AAFC0" w14:textId="77777777" w:rsidR="009B789A" w:rsidRDefault="009B789A" w:rsidP="007D289F">
      <w:pPr>
        <w:pStyle w:val="BodyText"/>
        <w:tabs>
          <w:tab w:val="clear" w:pos="4536"/>
          <w:tab w:val="clear" w:pos="6804"/>
          <w:tab w:val="clear" w:pos="9638"/>
          <w:tab w:val="left" w:pos="3065"/>
        </w:tabs>
        <w:jc w:val="both"/>
        <w:rPr>
          <w:b/>
          <w:bCs/>
        </w:rPr>
      </w:pPr>
    </w:p>
    <w:p w14:paraId="11F1381F" w14:textId="77777777" w:rsidR="009B789A" w:rsidRDefault="009B789A" w:rsidP="007D289F">
      <w:pPr>
        <w:pStyle w:val="BodyText"/>
        <w:tabs>
          <w:tab w:val="clear" w:pos="4536"/>
          <w:tab w:val="clear" w:pos="6804"/>
          <w:tab w:val="clear" w:pos="9638"/>
          <w:tab w:val="left" w:pos="3065"/>
        </w:tabs>
        <w:jc w:val="both"/>
        <w:rPr>
          <w:b/>
          <w:bCs/>
        </w:rPr>
      </w:pPr>
    </w:p>
    <w:p w14:paraId="144087B1" w14:textId="77777777" w:rsidR="009B789A" w:rsidRDefault="009B789A" w:rsidP="007D289F">
      <w:pPr>
        <w:pStyle w:val="BodyText"/>
        <w:tabs>
          <w:tab w:val="clear" w:pos="4536"/>
          <w:tab w:val="clear" w:pos="6804"/>
          <w:tab w:val="clear" w:pos="9638"/>
          <w:tab w:val="left" w:pos="3065"/>
        </w:tabs>
        <w:jc w:val="both"/>
        <w:rPr>
          <w:b/>
          <w:bCs/>
        </w:rPr>
      </w:pPr>
    </w:p>
    <w:p w14:paraId="00515D0B" w14:textId="77777777" w:rsidR="009B789A" w:rsidRDefault="009B789A" w:rsidP="007D289F">
      <w:pPr>
        <w:pStyle w:val="BodyText"/>
        <w:tabs>
          <w:tab w:val="clear" w:pos="4536"/>
          <w:tab w:val="clear" w:pos="6804"/>
          <w:tab w:val="clear" w:pos="9638"/>
          <w:tab w:val="left" w:pos="3065"/>
        </w:tabs>
        <w:jc w:val="both"/>
        <w:rPr>
          <w:b/>
          <w:bCs/>
        </w:rPr>
      </w:pPr>
    </w:p>
    <w:p w14:paraId="10630916" w14:textId="77777777" w:rsidR="009B789A" w:rsidRDefault="009B789A" w:rsidP="007D289F">
      <w:pPr>
        <w:pStyle w:val="BodyText"/>
        <w:tabs>
          <w:tab w:val="clear" w:pos="4536"/>
          <w:tab w:val="clear" w:pos="6804"/>
          <w:tab w:val="clear" w:pos="9638"/>
          <w:tab w:val="left" w:pos="3065"/>
        </w:tabs>
        <w:jc w:val="both"/>
        <w:rPr>
          <w:b/>
          <w:bCs/>
        </w:rPr>
      </w:pPr>
    </w:p>
    <w:p w14:paraId="5ABC9BC8" w14:textId="77777777" w:rsidR="009B789A" w:rsidRDefault="009B789A"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0" w:name="_Toc156483729"/>
      <w:r>
        <w:t>Acceptance</w:t>
      </w:r>
      <w:bookmarkEnd w:id="40"/>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F759C6"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1pt;height:93.9pt">
                  <v:imagedata r:id="rId2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F759C6"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1pt;height:93.9pt">
                  <v:imagedata r:id="rId2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EC4D94">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EC4D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C33283">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627C" w14:textId="77777777" w:rsidR="00F56D5C" w:rsidRPr="00C33C38" w:rsidRDefault="00F56D5C" w:rsidP="00256624">
      <w:pPr>
        <w:spacing w:line="240" w:lineRule="auto"/>
        <w:rPr>
          <w:sz w:val="19"/>
          <w:szCs w:val="19"/>
        </w:rPr>
      </w:pPr>
      <w:r w:rsidRPr="00C33C38">
        <w:rPr>
          <w:sz w:val="19"/>
          <w:szCs w:val="19"/>
        </w:rPr>
        <w:separator/>
      </w:r>
    </w:p>
    <w:p w14:paraId="7924042A" w14:textId="77777777" w:rsidR="00F56D5C" w:rsidRDefault="00F56D5C"/>
    <w:p w14:paraId="75C0A648" w14:textId="77777777" w:rsidR="00F56D5C" w:rsidRDefault="00F56D5C"/>
    <w:p w14:paraId="7AB80F10" w14:textId="77777777" w:rsidR="00F56D5C" w:rsidRDefault="00F56D5C"/>
  </w:endnote>
  <w:endnote w:type="continuationSeparator" w:id="0">
    <w:p w14:paraId="28E72E9D" w14:textId="77777777" w:rsidR="00F56D5C" w:rsidRPr="00C33C38" w:rsidRDefault="00F56D5C" w:rsidP="00256624">
      <w:pPr>
        <w:spacing w:line="240" w:lineRule="auto"/>
        <w:rPr>
          <w:sz w:val="19"/>
          <w:szCs w:val="19"/>
        </w:rPr>
      </w:pPr>
      <w:r w:rsidRPr="00C33C38">
        <w:rPr>
          <w:sz w:val="19"/>
          <w:szCs w:val="19"/>
        </w:rPr>
        <w:continuationSeparator/>
      </w:r>
    </w:p>
    <w:p w14:paraId="47F40604" w14:textId="77777777" w:rsidR="00F56D5C" w:rsidRDefault="00F56D5C"/>
    <w:p w14:paraId="7797B525" w14:textId="77777777" w:rsidR="00F56D5C" w:rsidRDefault="00F56D5C"/>
    <w:p w14:paraId="120D49A6" w14:textId="77777777" w:rsidR="00F56D5C" w:rsidRDefault="00F56D5C"/>
  </w:endnote>
  <w:endnote w:type="continuationNotice" w:id="1">
    <w:p w14:paraId="00F8DFAC" w14:textId="77777777" w:rsidR="00F56D5C" w:rsidRDefault="00F56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F7AA" w14:textId="77777777" w:rsidR="00F56D5C" w:rsidRPr="005F4D7E" w:rsidRDefault="00F56D5C" w:rsidP="00BF472F">
      <w:pPr>
        <w:pStyle w:val="BodyText"/>
      </w:pPr>
      <w:r w:rsidRPr="005F4D7E">
        <w:separator/>
      </w:r>
    </w:p>
    <w:p w14:paraId="119B36FD" w14:textId="77777777" w:rsidR="00F56D5C" w:rsidRDefault="00F56D5C"/>
    <w:p w14:paraId="0A992FB3" w14:textId="77777777" w:rsidR="00F56D5C" w:rsidRDefault="00F56D5C"/>
  </w:footnote>
  <w:footnote w:type="continuationSeparator" w:id="0">
    <w:p w14:paraId="53F0BDA9" w14:textId="77777777" w:rsidR="00F56D5C" w:rsidRPr="00C33C38" w:rsidRDefault="00F56D5C" w:rsidP="005F4D7E">
      <w:r w:rsidRPr="00C33C38">
        <w:continuationSeparator/>
      </w:r>
    </w:p>
    <w:p w14:paraId="55A8DCE7" w14:textId="77777777" w:rsidR="00F56D5C" w:rsidRDefault="00F56D5C"/>
    <w:p w14:paraId="4A2F61F5" w14:textId="77777777" w:rsidR="00F56D5C" w:rsidRDefault="00F56D5C"/>
  </w:footnote>
  <w:footnote w:type="continuationNotice" w:id="1">
    <w:p w14:paraId="72D42CD1" w14:textId="77777777" w:rsidR="00F56D5C" w:rsidRPr="005F4D7E" w:rsidRDefault="00F56D5C" w:rsidP="00C97369">
      <w:pPr>
        <w:pStyle w:val="Footer"/>
      </w:pPr>
    </w:p>
    <w:p w14:paraId="50C83986" w14:textId="77777777" w:rsidR="00F56D5C" w:rsidRDefault="00F56D5C"/>
    <w:p w14:paraId="2C539D3A" w14:textId="77777777" w:rsidR="00F56D5C" w:rsidRDefault="00F56D5C"/>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56F9465" w14:textId="5E4CEB64" w:rsidR="009E3507" w:rsidRPr="009E3507" w:rsidRDefault="009E3507">
      <w:pPr>
        <w:pStyle w:val="FootnoteText"/>
        <w:rPr>
          <w:lang w:val="en-US"/>
        </w:rPr>
      </w:pPr>
      <w:r>
        <w:rPr>
          <w:rStyle w:val="FootnoteReference"/>
        </w:rPr>
        <w:footnoteRef/>
      </w:r>
      <w:r>
        <w:t xml:space="preserve"> </w:t>
      </w:r>
      <w:r w:rsidRPr="009E3507">
        <w:t>https://learn.microsoft.com/en-us/azure/private-link/private-endpoint-dns</w:t>
      </w:r>
    </w:p>
  </w:footnote>
  <w:footnote w:id="4">
    <w:p w14:paraId="1F451CEB" w14:textId="7DCA0814" w:rsidR="00267273" w:rsidRPr="00267273" w:rsidRDefault="00267273">
      <w:pPr>
        <w:pStyle w:val="FootnoteText"/>
        <w:rPr>
          <w:lang w:val="en-US"/>
        </w:rPr>
      </w:pPr>
      <w:r>
        <w:rPr>
          <w:rStyle w:val="FootnoteReference"/>
        </w:rPr>
        <w:footnoteRef/>
      </w:r>
      <w:r>
        <w:t xml:space="preserve"> </w:t>
      </w:r>
      <w:r w:rsidRPr="00267273">
        <w:t>https://azure.microsoft.com/en-us/pricing/details/private-link/</w:t>
      </w:r>
    </w:p>
  </w:footnote>
  <w:footnote w:id="5">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6">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7">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8">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9">
    <w:p w14:paraId="2DA0B2ED" w14:textId="6939CC3D" w:rsidR="00A81280" w:rsidRPr="00A81280" w:rsidRDefault="00A81280">
      <w:pPr>
        <w:pStyle w:val="FootnoteText"/>
        <w:rPr>
          <w:lang w:val="en-US"/>
        </w:rPr>
      </w:pPr>
      <w:r>
        <w:rPr>
          <w:rStyle w:val="FootnoteReference"/>
        </w:rPr>
        <w:footnoteRef/>
      </w:r>
      <w:r>
        <w:t xml:space="preserve"> </w:t>
      </w:r>
      <w:r w:rsidRPr="00A81280">
        <w:t>https://learn.microsoft.com/en-us/azure/private-link/private-link-faq</w:t>
      </w:r>
    </w:p>
  </w:footnote>
  <w:footnote w:id="10">
    <w:p w14:paraId="105528B4" w14:textId="5B55453D" w:rsidR="00C36D39" w:rsidRPr="00C36D39" w:rsidRDefault="00C36D39">
      <w:pPr>
        <w:pStyle w:val="FootnoteText"/>
        <w:rPr>
          <w:lang w:val="en-US"/>
        </w:rPr>
      </w:pPr>
      <w:r>
        <w:rPr>
          <w:rStyle w:val="FootnoteReference"/>
        </w:rPr>
        <w:footnoteRef/>
      </w:r>
      <w:r>
        <w:t xml:space="preserve"> </w:t>
      </w:r>
      <w:r w:rsidRPr="00C36D39">
        <w:t>https://learn.microsoft.com/en-us/azure/private-link/private-link-service-overview</w:t>
      </w:r>
    </w:p>
  </w:footnote>
  <w:footnote w:id="11">
    <w:p w14:paraId="4842D3C8" w14:textId="669BA5D7" w:rsidR="00C344A9" w:rsidRPr="00C344A9" w:rsidRDefault="00C344A9">
      <w:pPr>
        <w:pStyle w:val="FootnoteText"/>
        <w:rPr>
          <w:lang w:val="en-US"/>
        </w:rPr>
      </w:pPr>
      <w:r>
        <w:rPr>
          <w:rStyle w:val="FootnoteReference"/>
        </w:rPr>
        <w:footnoteRef/>
      </w:r>
      <w:r>
        <w:t xml:space="preserve"> </w:t>
      </w:r>
      <w:r w:rsidRPr="00C344A9">
        <w:t>https://learn.microsoft.com/en-us/azure/cloud-adoption-framework/ready/azure-best-practices/private-link-and-dns-integration-at-scale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79629A26"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55221F">
          <w:rPr>
            <w:color w:val="auto"/>
            <w:sz w:val="20"/>
            <w:szCs w:val="20"/>
          </w:rPr>
          <w:t>Private Endpoint &amp; Azure Private DNS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35D83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7"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19"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A7C37CF"/>
    <w:multiLevelType w:val="multilevel"/>
    <w:tmpl w:val="7A6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D221239"/>
    <w:multiLevelType w:val="hybridMultilevel"/>
    <w:tmpl w:val="54C8EC4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1B7001"/>
    <w:multiLevelType w:val="hybridMultilevel"/>
    <w:tmpl w:val="727C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6"/>
  </w:num>
  <w:num w:numId="6" w16cid:durableId="1009648220">
    <w:abstractNumId w:val="24"/>
  </w:num>
  <w:num w:numId="7" w16cid:durableId="1148132004">
    <w:abstractNumId w:val="2"/>
  </w:num>
  <w:num w:numId="8" w16cid:durableId="188762563">
    <w:abstractNumId w:val="4"/>
  </w:num>
  <w:num w:numId="9" w16cid:durableId="129715755">
    <w:abstractNumId w:val="18"/>
  </w:num>
  <w:num w:numId="10" w16cid:durableId="238442199">
    <w:abstractNumId w:val="26"/>
  </w:num>
  <w:num w:numId="11" w16cid:durableId="1425227610">
    <w:abstractNumId w:val="38"/>
  </w:num>
  <w:num w:numId="12" w16cid:durableId="1809323372">
    <w:abstractNumId w:val="7"/>
  </w:num>
  <w:num w:numId="13" w16cid:durableId="570582799">
    <w:abstractNumId w:val="32"/>
  </w:num>
  <w:num w:numId="14" w16cid:durableId="1111240024">
    <w:abstractNumId w:val="20"/>
  </w:num>
  <w:num w:numId="15" w16cid:durableId="819345174">
    <w:abstractNumId w:val="3"/>
  </w:num>
  <w:num w:numId="16" w16cid:durableId="1647275130">
    <w:abstractNumId w:val="30"/>
  </w:num>
  <w:num w:numId="17" w16cid:durableId="474832808">
    <w:abstractNumId w:val="17"/>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0"/>
  </w:num>
  <w:num w:numId="26" w16cid:durableId="147866691">
    <w:abstractNumId w:val="39"/>
  </w:num>
  <w:num w:numId="27" w16cid:durableId="635766740">
    <w:abstractNumId w:val="36"/>
  </w:num>
  <w:num w:numId="28" w16cid:durableId="79109722">
    <w:abstractNumId w:val="2"/>
  </w:num>
  <w:num w:numId="29" w16cid:durableId="874195412">
    <w:abstractNumId w:val="31"/>
  </w:num>
  <w:num w:numId="30" w16cid:durableId="1736583244">
    <w:abstractNumId w:val="9"/>
  </w:num>
  <w:num w:numId="31" w16cid:durableId="1167750566">
    <w:abstractNumId w:val="8"/>
  </w:num>
  <w:num w:numId="32" w16cid:durableId="1983267767">
    <w:abstractNumId w:val="37"/>
  </w:num>
  <w:num w:numId="33" w16cid:durableId="1762294583">
    <w:abstractNumId w:val="23"/>
  </w:num>
  <w:num w:numId="34" w16cid:durableId="1491946013">
    <w:abstractNumId w:val="22"/>
  </w:num>
  <w:num w:numId="35" w16cid:durableId="1295213770">
    <w:abstractNumId w:val="35"/>
  </w:num>
  <w:num w:numId="36" w16cid:durableId="1022778014">
    <w:abstractNumId w:val="33"/>
  </w:num>
  <w:num w:numId="37" w16cid:durableId="1184635896">
    <w:abstractNumId w:val="2"/>
  </w:num>
  <w:num w:numId="38" w16cid:durableId="170144969">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2B3"/>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DA9"/>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03C8"/>
    <w:rsid w:val="00041613"/>
    <w:rsid w:val="00041915"/>
    <w:rsid w:val="00042C1C"/>
    <w:rsid w:val="000436A1"/>
    <w:rsid w:val="00044259"/>
    <w:rsid w:val="00044C29"/>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2B6D"/>
    <w:rsid w:val="000634B5"/>
    <w:rsid w:val="00063B0D"/>
    <w:rsid w:val="000650B5"/>
    <w:rsid w:val="00065411"/>
    <w:rsid w:val="00066A4B"/>
    <w:rsid w:val="00066DA8"/>
    <w:rsid w:val="00067A55"/>
    <w:rsid w:val="00067EBD"/>
    <w:rsid w:val="000700E6"/>
    <w:rsid w:val="0007092B"/>
    <w:rsid w:val="00070A7F"/>
    <w:rsid w:val="00072E55"/>
    <w:rsid w:val="000740BD"/>
    <w:rsid w:val="000747AD"/>
    <w:rsid w:val="00074EF6"/>
    <w:rsid w:val="00075B80"/>
    <w:rsid w:val="000763BB"/>
    <w:rsid w:val="000764DD"/>
    <w:rsid w:val="0007677A"/>
    <w:rsid w:val="00076B11"/>
    <w:rsid w:val="00076CEC"/>
    <w:rsid w:val="00076ECD"/>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3DC"/>
    <w:rsid w:val="000A495C"/>
    <w:rsid w:val="000A5472"/>
    <w:rsid w:val="000A64D2"/>
    <w:rsid w:val="000A64EA"/>
    <w:rsid w:val="000A64FB"/>
    <w:rsid w:val="000A7AF1"/>
    <w:rsid w:val="000B14FD"/>
    <w:rsid w:val="000B1549"/>
    <w:rsid w:val="000B1E29"/>
    <w:rsid w:val="000B1F7F"/>
    <w:rsid w:val="000B292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9A3"/>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135F"/>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2B6A"/>
    <w:rsid w:val="001230A0"/>
    <w:rsid w:val="001230E8"/>
    <w:rsid w:val="00124E39"/>
    <w:rsid w:val="001260F6"/>
    <w:rsid w:val="001264D4"/>
    <w:rsid w:val="00126984"/>
    <w:rsid w:val="00127071"/>
    <w:rsid w:val="001271B7"/>
    <w:rsid w:val="001275F2"/>
    <w:rsid w:val="00127C8A"/>
    <w:rsid w:val="00127D0A"/>
    <w:rsid w:val="0013044E"/>
    <w:rsid w:val="001320DB"/>
    <w:rsid w:val="00133CEB"/>
    <w:rsid w:val="001345C2"/>
    <w:rsid w:val="00135FD4"/>
    <w:rsid w:val="00136233"/>
    <w:rsid w:val="001369AB"/>
    <w:rsid w:val="00136F1B"/>
    <w:rsid w:val="001371F2"/>
    <w:rsid w:val="00137A24"/>
    <w:rsid w:val="0014019A"/>
    <w:rsid w:val="001405F1"/>
    <w:rsid w:val="00140A36"/>
    <w:rsid w:val="00140BB8"/>
    <w:rsid w:val="00140F11"/>
    <w:rsid w:val="0014220A"/>
    <w:rsid w:val="0014348A"/>
    <w:rsid w:val="0014373B"/>
    <w:rsid w:val="0014394D"/>
    <w:rsid w:val="00144DE1"/>
    <w:rsid w:val="00146947"/>
    <w:rsid w:val="0014722D"/>
    <w:rsid w:val="0014769E"/>
    <w:rsid w:val="001500BE"/>
    <w:rsid w:val="001503F4"/>
    <w:rsid w:val="00150AD0"/>
    <w:rsid w:val="00151A93"/>
    <w:rsid w:val="00151F7A"/>
    <w:rsid w:val="00152AF0"/>
    <w:rsid w:val="00152DEB"/>
    <w:rsid w:val="001536B2"/>
    <w:rsid w:val="0015474B"/>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40F"/>
    <w:rsid w:val="00170B7E"/>
    <w:rsid w:val="00171644"/>
    <w:rsid w:val="00171B34"/>
    <w:rsid w:val="00171E9C"/>
    <w:rsid w:val="001726D4"/>
    <w:rsid w:val="001731BA"/>
    <w:rsid w:val="00173A38"/>
    <w:rsid w:val="00174035"/>
    <w:rsid w:val="0017426D"/>
    <w:rsid w:val="00174DC3"/>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25BB"/>
    <w:rsid w:val="00193CE4"/>
    <w:rsid w:val="001942E2"/>
    <w:rsid w:val="001948DE"/>
    <w:rsid w:val="00194B60"/>
    <w:rsid w:val="001956D0"/>
    <w:rsid w:val="00195CFA"/>
    <w:rsid w:val="00195D19"/>
    <w:rsid w:val="00195E88"/>
    <w:rsid w:val="001965DE"/>
    <w:rsid w:val="00196F2E"/>
    <w:rsid w:val="001A093A"/>
    <w:rsid w:val="001A3352"/>
    <w:rsid w:val="001A3695"/>
    <w:rsid w:val="001A405A"/>
    <w:rsid w:val="001A4BF8"/>
    <w:rsid w:val="001A57E8"/>
    <w:rsid w:val="001A5EAD"/>
    <w:rsid w:val="001A63D9"/>
    <w:rsid w:val="001A6CF4"/>
    <w:rsid w:val="001A7727"/>
    <w:rsid w:val="001A7CFF"/>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8AD"/>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02D5"/>
    <w:rsid w:val="001D2276"/>
    <w:rsid w:val="001D22ED"/>
    <w:rsid w:val="001D39F8"/>
    <w:rsid w:val="001D3B02"/>
    <w:rsid w:val="001D586F"/>
    <w:rsid w:val="001D5C3F"/>
    <w:rsid w:val="001D63D0"/>
    <w:rsid w:val="001E04BC"/>
    <w:rsid w:val="001E0C10"/>
    <w:rsid w:val="001E132B"/>
    <w:rsid w:val="001E2412"/>
    <w:rsid w:val="001E274C"/>
    <w:rsid w:val="001E322E"/>
    <w:rsid w:val="001E3E6C"/>
    <w:rsid w:val="001E4E3D"/>
    <w:rsid w:val="001E539A"/>
    <w:rsid w:val="001E56FB"/>
    <w:rsid w:val="001E5E12"/>
    <w:rsid w:val="001E6421"/>
    <w:rsid w:val="001E6674"/>
    <w:rsid w:val="001E7225"/>
    <w:rsid w:val="001E72FD"/>
    <w:rsid w:val="001E7427"/>
    <w:rsid w:val="001F0B3F"/>
    <w:rsid w:val="001F1698"/>
    <w:rsid w:val="001F2D7D"/>
    <w:rsid w:val="001F31BD"/>
    <w:rsid w:val="001F44D3"/>
    <w:rsid w:val="001F5040"/>
    <w:rsid w:val="001F55A0"/>
    <w:rsid w:val="001F6170"/>
    <w:rsid w:val="001F797E"/>
    <w:rsid w:val="00200A6F"/>
    <w:rsid w:val="002011D4"/>
    <w:rsid w:val="00202628"/>
    <w:rsid w:val="00202D57"/>
    <w:rsid w:val="002034C7"/>
    <w:rsid w:val="0020353C"/>
    <w:rsid w:val="00203F20"/>
    <w:rsid w:val="00205165"/>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4777"/>
    <w:rsid w:val="0021563A"/>
    <w:rsid w:val="00215847"/>
    <w:rsid w:val="00217667"/>
    <w:rsid w:val="0022074F"/>
    <w:rsid w:val="00220FAA"/>
    <w:rsid w:val="00221AE1"/>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0ED5"/>
    <w:rsid w:val="002410D9"/>
    <w:rsid w:val="002415C3"/>
    <w:rsid w:val="00242B92"/>
    <w:rsid w:val="00242C2F"/>
    <w:rsid w:val="00243399"/>
    <w:rsid w:val="0024350C"/>
    <w:rsid w:val="00243751"/>
    <w:rsid w:val="00243AFD"/>
    <w:rsid w:val="002448CB"/>
    <w:rsid w:val="00245C45"/>
    <w:rsid w:val="00246234"/>
    <w:rsid w:val="0024629C"/>
    <w:rsid w:val="00246892"/>
    <w:rsid w:val="00247DAF"/>
    <w:rsid w:val="00250821"/>
    <w:rsid w:val="002510AB"/>
    <w:rsid w:val="002515DA"/>
    <w:rsid w:val="00251B08"/>
    <w:rsid w:val="00253857"/>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46FC"/>
    <w:rsid w:val="00265C0D"/>
    <w:rsid w:val="00265D70"/>
    <w:rsid w:val="00266435"/>
    <w:rsid w:val="0026655E"/>
    <w:rsid w:val="00266DC2"/>
    <w:rsid w:val="00267273"/>
    <w:rsid w:val="00270B2E"/>
    <w:rsid w:val="00270BEE"/>
    <w:rsid w:val="00271903"/>
    <w:rsid w:val="00271C8E"/>
    <w:rsid w:val="002722EC"/>
    <w:rsid w:val="0027240B"/>
    <w:rsid w:val="002726B6"/>
    <w:rsid w:val="00272BD6"/>
    <w:rsid w:val="00274D13"/>
    <w:rsid w:val="00274DED"/>
    <w:rsid w:val="00275AFD"/>
    <w:rsid w:val="0027759D"/>
    <w:rsid w:val="00280075"/>
    <w:rsid w:val="00281D5B"/>
    <w:rsid w:val="0028219A"/>
    <w:rsid w:val="00282765"/>
    <w:rsid w:val="00283202"/>
    <w:rsid w:val="002834E2"/>
    <w:rsid w:val="00283EA9"/>
    <w:rsid w:val="00284193"/>
    <w:rsid w:val="00284AA1"/>
    <w:rsid w:val="00284AA5"/>
    <w:rsid w:val="002857D1"/>
    <w:rsid w:val="002859D1"/>
    <w:rsid w:val="00286DCF"/>
    <w:rsid w:val="00287FD0"/>
    <w:rsid w:val="00290C42"/>
    <w:rsid w:val="0029187A"/>
    <w:rsid w:val="00292B21"/>
    <w:rsid w:val="002953E2"/>
    <w:rsid w:val="00296514"/>
    <w:rsid w:val="00296E15"/>
    <w:rsid w:val="00297C2D"/>
    <w:rsid w:val="002A04E1"/>
    <w:rsid w:val="002A0A44"/>
    <w:rsid w:val="002A0CEE"/>
    <w:rsid w:val="002A0D0D"/>
    <w:rsid w:val="002A11B8"/>
    <w:rsid w:val="002A175E"/>
    <w:rsid w:val="002A1D84"/>
    <w:rsid w:val="002A4F8D"/>
    <w:rsid w:val="002A5761"/>
    <w:rsid w:val="002A6614"/>
    <w:rsid w:val="002A670F"/>
    <w:rsid w:val="002A68DC"/>
    <w:rsid w:val="002A77EE"/>
    <w:rsid w:val="002A7D81"/>
    <w:rsid w:val="002B029A"/>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7B8"/>
    <w:rsid w:val="002C0A65"/>
    <w:rsid w:val="002C37A5"/>
    <w:rsid w:val="002C3B94"/>
    <w:rsid w:val="002C42BF"/>
    <w:rsid w:val="002C5D6F"/>
    <w:rsid w:val="002D03C8"/>
    <w:rsid w:val="002D1A9B"/>
    <w:rsid w:val="002D1D4B"/>
    <w:rsid w:val="002D205F"/>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11B0"/>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0E5"/>
    <w:rsid w:val="0030427C"/>
    <w:rsid w:val="003042E2"/>
    <w:rsid w:val="0030449F"/>
    <w:rsid w:val="0030579A"/>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27DF4"/>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36B8"/>
    <w:rsid w:val="003562A2"/>
    <w:rsid w:val="0035674C"/>
    <w:rsid w:val="00356907"/>
    <w:rsid w:val="0035771F"/>
    <w:rsid w:val="00357E1C"/>
    <w:rsid w:val="00357EA6"/>
    <w:rsid w:val="003602BF"/>
    <w:rsid w:val="00360723"/>
    <w:rsid w:val="00361C0C"/>
    <w:rsid w:val="00361ECA"/>
    <w:rsid w:val="0036258B"/>
    <w:rsid w:val="003626FB"/>
    <w:rsid w:val="00362FDC"/>
    <w:rsid w:val="00363F4F"/>
    <w:rsid w:val="00364556"/>
    <w:rsid w:val="003647D0"/>
    <w:rsid w:val="00364D0E"/>
    <w:rsid w:val="00364D81"/>
    <w:rsid w:val="00366113"/>
    <w:rsid w:val="003667EB"/>
    <w:rsid w:val="00366E1B"/>
    <w:rsid w:val="003670C0"/>
    <w:rsid w:val="003674EB"/>
    <w:rsid w:val="00367C6D"/>
    <w:rsid w:val="00370000"/>
    <w:rsid w:val="00370140"/>
    <w:rsid w:val="003709F9"/>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5F9"/>
    <w:rsid w:val="00382C4B"/>
    <w:rsid w:val="00382D0A"/>
    <w:rsid w:val="0038455A"/>
    <w:rsid w:val="003846AB"/>
    <w:rsid w:val="00384EC1"/>
    <w:rsid w:val="00387731"/>
    <w:rsid w:val="003915C3"/>
    <w:rsid w:val="0039282D"/>
    <w:rsid w:val="0039293D"/>
    <w:rsid w:val="00392EDC"/>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202"/>
    <w:rsid w:val="003C4C72"/>
    <w:rsid w:val="003C5282"/>
    <w:rsid w:val="003C79B3"/>
    <w:rsid w:val="003C79F9"/>
    <w:rsid w:val="003D0C47"/>
    <w:rsid w:val="003D1B95"/>
    <w:rsid w:val="003D5533"/>
    <w:rsid w:val="003D61DD"/>
    <w:rsid w:val="003D63A2"/>
    <w:rsid w:val="003D70B4"/>
    <w:rsid w:val="003D70C8"/>
    <w:rsid w:val="003D7E3D"/>
    <w:rsid w:val="003E1BAD"/>
    <w:rsid w:val="003E2430"/>
    <w:rsid w:val="003E2779"/>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3A7"/>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0437"/>
    <w:rsid w:val="004117B9"/>
    <w:rsid w:val="00411865"/>
    <w:rsid w:val="00411A13"/>
    <w:rsid w:val="00411C72"/>
    <w:rsid w:val="00412ABA"/>
    <w:rsid w:val="0041376D"/>
    <w:rsid w:val="00414276"/>
    <w:rsid w:val="00414C7D"/>
    <w:rsid w:val="004153C7"/>
    <w:rsid w:val="00415DAB"/>
    <w:rsid w:val="004164F2"/>
    <w:rsid w:val="00416E81"/>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4ED1"/>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4C65"/>
    <w:rsid w:val="00434E45"/>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59AC"/>
    <w:rsid w:val="00446A79"/>
    <w:rsid w:val="0045080F"/>
    <w:rsid w:val="00450F63"/>
    <w:rsid w:val="00451994"/>
    <w:rsid w:val="00452294"/>
    <w:rsid w:val="00452568"/>
    <w:rsid w:val="00452795"/>
    <w:rsid w:val="004529C2"/>
    <w:rsid w:val="00452E74"/>
    <w:rsid w:val="00453283"/>
    <w:rsid w:val="00454250"/>
    <w:rsid w:val="004547DD"/>
    <w:rsid w:val="00455994"/>
    <w:rsid w:val="00455D13"/>
    <w:rsid w:val="00456BDA"/>
    <w:rsid w:val="0045796F"/>
    <w:rsid w:val="00460485"/>
    <w:rsid w:val="004609B5"/>
    <w:rsid w:val="00460A48"/>
    <w:rsid w:val="00460B70"/>
    <w:rsid w:val="00460C06"/>
    <w:rsid w:val="00461257"/>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0F4"/>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CE3"/>
    <w:rsid w:val="00481F7F"/>
    <w:rsid w:val="00482095"/>
    <w:rsid w:val="0048263F"/>
    <w:rsid w:val="00482855"/>
    <w:rsid w:val="00483319"/>
    <w:rsid w:val="0048370C"/>
    <w:rsid w:val="00483804"/>
    <w:rsid w:val="00483A93"/>
    <w:rsid w:val="00484CFF"/>
    <w:rsid w:val="00484F7A"/>
    <w:rsid w:val="004850F9"/>
    <w:rsid w:val="00485859"/>
    <w:rsid w:val="00486331"/>
    <w:rsid w:val="0048667B"/>
    <w:rsid w:val="004867EE"/>
    <w:rsid w:val="00487320"/>
    <w:rsid w:val="00487817"/>
    <w:rsid w:val="00487CBA"/>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66F"/>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2EE9"/>
    <w:rsid w:val="004D457F"/>
    <w:rsid w:val="004D5882"/>
    <w:rsid w:val="004D59A9"/>
    <w:rsid w:val="004D5E29"/>
    <w:rsid w:val="004D635E"/>
    <w:rsid w:val="004D7736"/>
    <w:rsid w:val="004D777B"/>
    <w:rsid w:val="004D7836"/>
    <w:rsid w:val="004D7A9B"/>
    <w:rsid w:val="004E0C0A"/>
    <w:rsid w:val="004E23A6"/>
    <w:rsid w:val="004E26EC"/>
    <w:rsid w:val="004E2812"/>
    <w:rsid w:val="004E2B69"/>
    <w:rsid w:val="004E307B"/>
    <w:rsid w:val="004E3608"/>
    <w:rsid w:val="004E4150"/>
    <w:rsid w:val="004E449C"/>
    <w:rsid w:val="004E55E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5D67"/>
    <w:rsid w:val="004F659E"/>
    <w:rsid w:val="004F6648"/>
    <w:rsid w:val="004F6971"/>
    <w:rsid w:val="004F6D5C"/>
    <w:rsid w:val="00500311"/>
    <w:rsid w:val="00500C6B"/>
    <w:rsid w:val="00501B59"/>
    <w:rsid w:val="005021BD"/>
    <w:rsid w:val="005026E8"/>
    <w:rsid w:val="00502938"/>
    <w:rsid w:val="00502EAF"/>
    <w:rsid w:val="00503088"/>
    <w:rsid w:val="00503286"/>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0899"/>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386C"/>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628C"/>
    <w:rsid w:val="0054742B"/>
    <w:rsid w:val="00547CE4"/>
    <w:rsid w:val="00550CF5"/>
    <w:rsid w:val="005516A4"/>
    <w:rsid w:val="005516E4"/>
    <w:rsid w:val="0055198C"/>
    <w:rsid w:val="0055221F"/>
    <w:rsid w:val="0055254F"/>
    <w:rsid w:val="00553612"/>
    <w:rsid w:val="005542F9"/>
    <w:rsid w:val="00554655"/>
    <w:rsid w:val="00554A12"/>
    <w:rsid w:val="00557481"/>
    <w:rsid w:val="00557A61"/>
    <w:rsid w:val="00560232"/>
    <w:rsid w:val="00560B95"/>
    <w:rsid w:val="00560D2E"/>
    <w:rsid w:val="00561458"/>
    <w:rsid w:val="00561603"/>
    <w:rsid w:val="00561DAB"/>
    <w:rsid w:val="00561FA0"/>
    <w:rsid w:val="005627CD"/>
    <w:rsid w:val="005632C9"/>
    <w:rsid w:val="005635EC"/>
    <w:rsid w:val="00564DAF"/>
    <w:rsid w:val="00565168"/>
    <w:rsid w:val="005652BD"/>
    <w:rsid w:val="005664B7"/>
    <w:rsid w:val="00566786"/>
    <w:rsid w:val="00566E04"/>
    <w:rsid w:val="00567DAB"/>
    <w:rsid w:val="00570DBD"/>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8CD"/>
    <w:rsid w:val="005929BC"/>
    <w:rsid w:val="00593334"/>
    <w:rsid w:val="00593601"/>
    <w:rsid w:val="0059378B"/>
    <w:rsid w:val="00593EF8"/>
    <w:rsid w:val="005947B6"/>
    <w:rsid w:val="00594853"/>
    <w:rsid w:val="00597244"/>
    <w:rsid w:val="00597C8E"/>
    <w:rsid w:val="00597D79"/>
    <w:rsid w:val="005A0691"/>
    <w:rsid w:val="005A09FD"/>
    <w:rsid w:val="005A345C"/>
    <w:rsid w:val="005A46E2"/>
    <w:rsid w:val="005A47ED"/>
    <w:rsid w:val="005A4C99"/>
    <w:rsid w:val="005A4EBA"/>
    <w:rsid w:val="005A56E5"/>
    <w:rsid w:val="005A5F39"/>
    <w:rsid w:val="005A64FE"/>
    <w:rsid w:val="005A69D8"/>
    <w:rsid w:val="005A7C37"/>
    <w:rsid w:val="005A7DD4"/>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2977"/>
    <w:rsid w:val="005D371E"/>
    <w:rsid w:val="005D3BC3"/>
    <w:rsid w:val="005D4613"/>
    <w:rsid w:val="005D4EF5"/>
    <w:rsid w:val="005D63E9"/>
    <w:rsid w:val="005D693D"/>
    <w:rsid w:val="005D72E7"/>
    <w:rsid w:val="005D7595"/>
    <w:rsid w:val="005E0979"/>
    <w:rsid w:val="005E0EB8"/>
    <w:rsid w:val="005E1111"/>
    <w:rsid w:val="005E2331"/>
    <w:rsid w:val="005E3820"/>
    <w:rsid w:val="005E392D"/>
    <w:rsid w:val="005E562C"/>
    <w:rsid w:val="005E58E2"/>
    <w:rsid w:val="005E69D4"/>
    <w:rsid w:val="005E6A00"/>
    <w:rsid w:val="005E7C16"/>
    <w:rsid w:val="005F0A6A"/>
    <w:rsid w:val="005F1098"/>
    <w:rsid w:val="005F1C91"/>
    <w:rsid w:val="005F253E"/>
    <w:rsid w:val="005F2AD6"/>
    <w:rsid w:val="005F2FD2"/>
    <w:rsid w:val="005F3BFD"/>
    <w:rsid w:val="005F3DBC"/>
    <w:rsid w:val="005F4D7E"/>
    <w:rsid w:val="005F4F76"/>
    <w:rsid w:val="005F7638"/>
    <w:rsid w:val="005F7773"/>
    <w:rsid w:val="0060009C"/>
    <w:rsid w:val="00600591"/>
    <w:rsid w:val="006008FF"/>
    <w:rsid w:val="00600DFD"/>
    <w:rsid w:val="0060174F"/>
    <w:rsid w:val="00601B57"/>
    <w:rsid w:val="00602014"/>
    <w:rsid w:val="006023D2"/>
    <w:rsid w:val="00602B3A"/>
    <w:rsid w:val="00602FA0"/>
    <w:rsid w:val="006039DD"/>
    <w:rsid w:val="00603CE8"/>
    <w:rsid w:val="00603F2E"/>
    <w:rsid w:val="00604682"/>
    <w:rsid w:val="0060492D"/>
    <w:rsid w:val="00604B4C"/>
    <w:rsid w:val="00605ECF"/>
    <w:rsid w:val="0060715B"/>
    <w:rsid w:val="00607178"/>
    <w:rsid w:val="00607E04"/>
    <w:rsid w:val="00610636"/>
    <w:rsid w:val="006114F0"/>
    <w:rsid w:val="00611675"/>
    <w:rsid w:val="00611BC7"/>
    <w:rsid w:val="00611FB3"/>
    <w:rsid w:val="00612169"/>
    <w:rsid w:val="0061394B"/>
    <w:rsid w:val="00613FE0"/>
    <w:rsid w:val="006145C0"/>
    <w:rsid w:val="0061497C"/>
    <w:rsid w:val="00614C5E"/>
    <w:rsid w:val="00615E62"/>
    <w:rsid w:val="00616561"/>
    <w:rsid w:val="00616D97"/>
    <w:rsid w:val="00616EC0"/>
    <w:rsid w:val="00616FE2"/>
    <w:rsid w:val="00617C92"/>
    <w:rsid w:val="00617CBC"/>
    <w:rsid w:val="00621F59"/>
    <w:rsid w:val="00622CE8"/>
    <w:rsid w:val="00623492"/>
    <w:rsid w:val="00624DF3"/>
    <w:rsid w:val="00624F43"/>
    <w:rsid w:val="006254C4"/>
    <w:rsid w:val="006265A6"/>
    <w:rsid w:val="0062730A"/>
    <w:rsid w:val="00627FD3"/>
    <w:rsid w:val="00630EAB"/>
    <w:rsid w:val="0063141B"/>
    <w:rsid w:val="00631431"/>
    <w:rsid w:val="006319C4"/>
    <w:rsid w:val="00631BA5"/>
    <w:rsid w:val="00632211"/>
    <w:rsid w:val="00632F36"/>
    <w:rsid w:val="0063360F"/>
    <w:rsid w:val="00633B64"/>
    <w:rsid w:val="00635190"/>
    <w:rsid w:val="006358BC"/>
    <w:rsid w:val="00635921"/>
    <w:rsid w:val="006364F7"/>
    <w:rsid w:val="00637E93"/>
    <w:rsid w:val="006405B7"/>
    <w:rsid w:val="00641ED0"/>
    <w:rsid w:val="00642199"/>
    <w:rsid w:val="00642B11"/>
    <w:rsid w:val="006434BC"/>
    <w:rsid w:val="00643CC2"/>
    <w:rsid w:val="00644415"/>
    <w:rsid w:val="00644445"/>
    <w:rsid w:val="0064454D"/>
    <w:rsid w:val="00644B2A"/>
    <w:rsid w:val="006451D0"/>
    <w:rsid w:val="0064586A"/>
    <w:rsid w:val="00645E3D"/>
    <w:rsid w:val="00646218"/>
    <w:rsid w:val="00646D6A"/>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564"/>
    <w:rsid w:val="00663633"/>
    <w:rsid w:val="00664075"/>
    <w:rsid w:val="006642E5"/>
    <w:rsid w:val="0066591C"/>
    <w:rsid w:val="00665B44"/>
    <w:rsid w:val="00665E29"/>
    <w:rsid w:val="0066625B"/>
    <w:rsid w:val="00666960"/>
    <w:rsid w:val="00667539"/>
    <w:rsid w:val="00667BD4"/>
    <w:rsid w:val="00671BE7"/>
    <w:rsid w:val="00672F1B"/>
    <w:rsid w:val="006730D3"/>
    <w:rsid w:val="00673280"/>
    <w:rsid w:val="0067478C"/>
    <w:rsid w:val="00674DD9"/>
    <w:rsid w:val="006757AD"/>
    <w:rsid w:val="00677476"/>
    <w:rsid w:val="00677CF9"/>
    <w:rsid w:val="00681312"/>
    <w:rsid w:val="00682117"/>
    <w:rsid w:val="006822E0"/>
    <w:rsid w:val="006831DA"/>
    <w:rsid w:val="006838F2"/>
    <w:rsid w:val="00683993"/>
    <w:rsid w:val="00683A1B"/>
    <w:rsid w:val="00684D60"/>
    <w:rsid w:val="006850B6"/>
    <w:rsid w:val="00685204"/>
    <w:rsid w:val="00685CEE"/>
    <w:rsid w:val="006866DD"/>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2548"/>
    <w:rsid w:val="006A28F3"/>
    <w:rsid w:val="006A3767"/>
    <w:rsid w:val="006A384C"/>
    <w:rsid w:val="006A4297"/>
    <w:rsid w:val="006A53E4"/>
    <w:rsid w:val="006A6683"/>
    <w:rsid w:val="006B0408"/>
    <w:rsid w:val="006B0A47"/>
    <w:rsid w:val="006B0DBC"/>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88C"/>
    <w:rsid w:val="006D1FA1"/>
    <w:rsid w:val="006D2896"/>
    <w:rsid w:val="006D3294"/>
    <w:rsid w:val="006D35DB"/>
    <w:rsid w:val="006D3E98"/>
    <w:rsid w:val="006D41E1"/>
    <w:rsid w:val="006D4DC7"/>
    <w:rsid w:val="006D51BE"/>
    <w:rsid w:val="006E092C"/>
    <w:rsid w:val="006E0FAB"/>
    <w:rsid w:val="006E1506"/>
    <w:rsid w:val="006E24C0"/>
    <w:rsid w:val="006E2917"/>
    <w:rsid w:val="006E2B12"/>
    <w:rsid w:val="006E3088"/>
    <w:rsid w:val="006E40EA"/>
    <w:rsid w:val="006E5345"/>
    <w:rsid w:val="006E56EC"/>
    <w:rsid w:val="006E5E93"/>
    <w:rsid w:val="006E621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2021"/>
    <w:rsid w:val="00703165"/>
    <w:rsid w:val="007031CB"/>
    <w:rsid w:val="00703CB5"/>
    <w:rsid w:val="007040D7"/>
    <w:rsid w:val="00704C1B"/>
    <w:rsid w:val="00705233"/>
    <w:rsid w:val="0070524C"/>
    <w:rsid w:val="007052EF"/>
    <w:rsid w:val="00705590"/>
    <w:rsid w:val="0070748E"/>
    <w:rsid w:val="007074F7"/>
    <w:rsid w:val="00707CA1"/>
    <w:rsid w:val="00710F41"/>
    <w:rsid w:val="007113ED"/>
    <w:rsid w:val="00712433"/>
    <w:rsid w:val="00712F84"/>
    <w:rsid w:val="0071366C"/>
    <w:rsid w:val="0071370F"/>
    <w:rsid w:val="00715422"/>
    <w:rsid w:val="00715639"/>
    <w:rsid w:val="007157DC"/>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5A29"/>
    <w:rsid w:val="00726C14"/>
    <w:rsid w:val="007272A5"/>
    <w:rsid w:val="007278BB"/>
    <w:rsid w:val="00727F09"/>
    <w:rsid w:val="00730027"/>
    <w:rsid w:val="007302BA"/>
    <w:rsid w:val="0073076F"/>
    <w:rsid w:val="007308BA"/>
    <w:rsid w:val="00730AA7"/>
    <w:rsid w:val="00730E70"/>
    <w:rsid w:val="007310FC"/>
    <w:rsid w:val="00731EAE"/>
    <w:rsid w:val="00732488"/>
    <w:rsid w:val="00733A89"/>
    <w:rsid w:val="00735635"/>
    <w:rsid w:val="00735B31"/>
    <w:rsid w:val="00735F27"/>
    <w:rsid w:val="0073663C"/>
    <w:rsid w:val="00737F14"/>
    <w:rsid w:val="00740785"/>
    <w:rsid w:val="00740801"/>
    <w:rsid w:val="00740F5A"/>
    <w:rsid w:val="00741B2F"/>
    <w:rsid w:val="0074213B"/>
    <w:rsid w:val="00742C7E"/>
    <w:rsid w:val="00743068"/>
    <w:rsid w:val="00743527"/>
    <w:rsid w:val="00743C7D"/>
    <w:rsid w:val="00743D78"/>
    <w:rsid w:val="00743EEF"/>
    <w:rsid w:val="00744138"/>
    <w:rsid w:val="00744949"/>
    <w:rsid w:val="00745894"/>
    <w:rsid w:val="007459EF"/>
    <w:rsid w:val="00745BAF"/>
    <w:rsid w:val="00745C7B"/>
    <w:rsid w:val="00745DBA"/>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17"/>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EF2"/>
    <w:rsid w:val="007715C5"/>
    <w:rsid w:val="00772083"/>
    <w:rsid w:val="007721CE"/>
    <w:rsid w:val="007725BD"/>
    <w:rsid w:val="00772602"/>
    <w:rsid w:val="00774C4F"/>
    <w:rsid w:val="00775D4A"/>
    <w:rsid w:val="0077620E"/>
    <w:rsid w:val="007762BD"/>
    <w:rsid w:val="0077634C"/>
    <w:rsid w:val="00777A97"/>
    <w:rsid w:val="00777C7B"/>
    <w:rsid w:val="0078064A"/>
    <w:rsid w:val="0078097C"/>
    <w:rsid w:val="00780A66"/>
    <w:rsid w:val="00781783"/>
    <w:rsid w:val="00781974"/>
    <w:rsid w:val="00782A2E"/>
    <w:rsid w:val="00782A9F"/>
    <w:rsid w:val="007837DE"/>
    <w:rsid w:val="00783BC3"/>
    <w:rsid w:val="007844D4"/>
    <w:rsid w:val="007864F8"/>
    <w:rsid w:val="007866A6"/>
    <w:rsid w:val="00786AF1"/>
    <w:rsid w:val="00786E3C"/>
    <w:rsid w:val="007870CB"/>
    <w:rsid w:val="00787561"/>
    <w:rsid w:val="007878E7"/>
    <w:rsid w:val="00787BEB"/>
    <w:rsid w:val="00787CB2"/>
    <w:rsid w:val="0079019F"/>
    <w:rsid w:val="00790701"/>
    <w:rsid w:val="007909A5"/>
    <w:rsid w:val="0079170F"/>
    <w:rsid w:val="00791D86"/>
    <w:rsid w:val="00792D28"/>
    <w:rsid w:val="0079383D"/>
    <w:rsid w:val="00794B88"/>
    <w:rsid w:val="00795A3E"/>
    <w:rsid w:val="00795D98"/>
    <w:rsid w:val="00796548"/>
    <w:rsid w:val="00796BD1"/>
    <w:rsid w:val="00796C11"/>
    <w:rsid w:val="00797ACC"/>
    <w:rsid w:val="007A0CFA"/>
    <w:rsid w:val="007A0EE2"/>
    <w:rsid w:val="007A1F1B"/>
    <w:rsid w:val="007A301B"/>
    <w:rsid w:val="007A3A14"/>
    <w:rsid w:val="007A5E84"/>
    <w:rsid w:val="007A6078"/>
    <w:rsid w:val="007A6FB3"/>
    <w:rsid w:val="007A72E0"/>
    <w:rsid w:val="007B08AD"/>
    <w:rsid w:val="007B1032"/>
    <w:rsid w:val="007B152F"/>
    <w:rsid w:val="007B2ABD"/>
    <w:rsid w:val="007B4D16"/>
    <w:rsid w:val="007B5191"/>
    <w:rsid w:val="007B57B5"/>
    <w:rsid w:val="007B5D97"/>
    <w:rsid w:val="007B6990"/>
    <w:rsid w:val="007B71B3"/>
    <w:rsid w:val="007B724E"/>
    <w:rsid w:val="007B7752"/>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1262"/>
    <w:rsid w:val="007D230B"/>
    <w:rsid w:val="007D289F"/>
    <w:rsid w:val="007D2E44"/>
    <w:rsid w:val="007D3508"/>
    <w:rsid w:val="007D3982"/>
    <w:rsid w:val="007D4F87"/>
    <w:rsid w:val="007D53F9"/>
    <w:rsid w:val="007D59C9"/>
    <w:rsid w:val="007D59F2"/>
    <w:rsid w:val="007D6B92"/>
    <w:rsid w:val="007D6D43"/>
    <w:rsid w:val="007D7B46"/>
    <w:rsid w:val="007E05AA"/>
    <w:rsid w:val="007E16E5"/>
    <w:rsid w:val="007E19F2"/>
    <w:rsid w:val="007E2B73"/>
    <w:rsid w:val="007E45B5"/>
    <w:rsid w:val="007E522F"/>
    <w:rsid w:val="007E524A"/>
    <w:rsid w:val="007E54D2"/>
    <w:rsid w:val="007E60D9"/>
    <w:rsid w:val="007E6D60"/>
    <w:rsid w:val="007E732F"/>
    <w:rsid w:val="007E7A5E"/>
    <w:rsid w:val="007E7B26"/>
    <w:rsid w:val="007E7ED8"/>
    <w:rsid w:val="007F1526"/>
    <w:rsid w:val="007F17D1"/>
    <w:rsid w:val="007F1A74"/>
    <w:rsid w:val="007F24AF"/>
    <w:rsid w:val="007F2770"/>
    <w:rsid w:val="007F283B"/>
    <w:rsid w:val="007F2AD9"/>
    <w:rsid w:val="007F2BC8"/>
    <w:rsid w:val="007F360E"/>
    <w:rsid w:val="007F3F7C"/>
    <w:rsid w:val="007F4065"/>
    <w:rsid w:val="007F4EAA"/>
    <w:rsid w:val="007F5447"/>
    <w:rsid w:val="007F582A"/>
    <w:rsid w:val="007F5E16"/>
    <w:rsid w:val="007F621D"/>
    <w:rsid w:val="007F62CF"/>
    <w:rsid w:val="007F667C"/>
    <w:rsid w:val="007F6DB2"/>
    <w:rsid w:val="007F75EA"/>
    <w:rsid w:val="007F787A"/>
    <w:rsid w:val="007F7EDD"/>
    <w:rsid w:val="0080044C"/>
    <w:rsid w:val="00801064"/>
    <w:rsid w:val="008011F4"/>
    <w:rsid w:val="00801DBE"/>
    <w:rsid w:val="00802228"/>
    <w:rsid w:val="00803778"/>
    <w:rsid w:val="00803998"/>
    <w:rsid w:val="00804996"/>
    <w:rsid w:val="00804B4A"/>
    <w:rsid w:val="00805973"/>
    <w:rsid w:val="00805BCE"/>
    <w:rsid w:val="00806816"/>
    <w:rsid w:val="00807215"/>
    <w:rsid w:val="00807819"/>
    <w:rsid w:val="008078A9"/>
    <w:rsid w:val="00807963"/>
    <w:rsid w:val="00810A3D"/>
    <w:rsid w:val="00811425"/>
    <w:rsid w:val="00812239"/>
    <w:rsid w:val="0081324A"/>
    <w:rsid w:val="00813527"/>
    <w:rsid w:val="00813EB4"/>
    <w:rsid w:val="00813EF4"/>
    <w:rsid w:val="008145A3"/>
    <w:rsid w:val="008145DD"/>
    <w:rsid w:val="00815950"/>
    <w:rsid w:val="00816106"/>
    <w:rsid w:val="008163D1"/>
    <w:rsid w:val="008166A5"/>
    <w:rsid w:val="0081679D"/>
    <w:rsid w:val="008177C6"/>
    <w:rsid w:val="00817B01"/>
    <w:rsid w:val="008200A5"/>
    <w:rsid w:val="00820112"/>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1F54"/>
    <w:rsid w:val="0085212A"/>
    <w:rsid w:val="00852D2C"/>
    <w:rsid w:val="00852FBD"/>
    <w:rsid w:val="0085347B"/>
    <w:rsid w:val="00853AFC"/>
    <w:rsid w:val="008540B1"/>
    <w:rsid w:val="008546FB"/>
    <w:rsid w:val="008547D8"/>
    <w:rsid w:val="00855234"/>
    <w:rsid w:val="008562D8"/>
    <w:rsid w:val="008562E0"/>
    <w:rsid w:val="00856706"/>
    <w:rsid w:val="00856BE8"/>
    <w:rsid w:val="008570CF"/>
    <w:rsid w:val="00857505"/>
    <w:rsid w:val="008576F1"/>
    <w:rsid w:val="008600BC"/>
    <w:rsid w:val="0086140D"/>
    <w:rsid w:val="008623B2"/>
    <w:rsid w:val="008625C9"/>
    <w:rsid w:val="008625F4"/>
    <w:rsid w:val="0086271C"/>
    <w:rsid w:val="0086389E"/>
    <w:rsid w:val="00864874"/>
    <w:rsid w:val="0086499C"/>
    <w:rsid w:val="00864D16"/>
    <w:rsid w:val="00865D79"/>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B73"/>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7E9"/>
    <w:rsid w:val="008A38B7"/>
    <w:rsid w:val="008A4A0F"/>
    <w:rsid w:val="008A4B37"/>
    <w:rsid w:val="008A57DD"/>
    <w:rsid w:val="008A67A7"/>
    <w:rsid w:val="008A76B6"/>
    <w:rsid w:val="008A7DDE"/>
    <w:rsid w:val="008A7EC1"/>
    <w:rsid w:val="008B020C"/>
    <w:rsid w:val="008B06E2"/>
    <w:rsid w:val="008B10A3"/>
    <w:rsid w:val="008B18C9"/>
    <w:rsid w:val="008B224E"/>
    <w:rsid w:val="008B2A97"/>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6A3F"/>
    <w:rsid w:val="008E77AF"/>
    <w:rsid w:val="008E7E66"/>
    <w:rsid w:val="008F1D01"/>
    <w:rsid w:val="008F1DF6"/>
    <w:rsid w:val="008F2B26"/>
    <w:rsid w:val="008F4814"/>
    <w:rsid w:val="008F55C8"/>
    <w:rsid w:val="008F5757"/>
    <w:rsid w:val="008F7501"/>
    <w:rsid w:val="00900129"/>
    <w:rsid w:val="009004A6"/>
    <w:rsid w:val="0090090A"/>
    <w:rsid w:val="00900C0C"/>
    <w:rsid w:val="00900E43"/>
    <w:rsid w:val="0090120B"/>
    <w:rsid w:val="00901F8B"/>
    <w:rsid w:val="00903693"/>
    <w:rsid w:val="00903C9A"/>
    <w:rsid w:val="00904F2D"/>
    <w:rsid w:val="009063BC"/>
    <w:rsid w:val="009068BC"/>
    <w:rsid w:val="0090780F"/>
    <w:rsid w:val="0090788B"/>
    <w:rsid w:val="00910243"/>
    <w:rsid w:val="0091073A"/>
    <w:rsid w:val="00910879"/>
    <w:rsid w:val="009112C2"/>
    <w:rsid w:val="00911357"/>
    <w:rsid w:val="00912521"/>
    <w:rsid w:val="00912B43"/>
    <w:rsid w:val="00912CF7"/>
    <w:rsid w:val="00913328"/>
    <w:rsid w:val="00913B7A"/>
    <w:rsid w:val="00913D1E"/>
    <w:rsid w:val="00914B74"/>
    <w:rsid w:val="0091798A"/>
    <w:rsid w:val="00917E74"/>
    <w:rsid w:val="00920056"/>
    <w:rsid w:val="0092041E"/>
    <w:rsid w:val="00920A1A"/>
    <w:rsid w:val="00920B66"/>
    <w:rsid w:val="00920CEA"/>
    <w:rsid w:val="00920CF1"/>
    <w:rsid w:val="00922138"/>
    <w:rsid w:val="00922647"/>
    <w:rsid w:val="00922D52"/>
    <w:rsid w:val="009232A6"/>
    <w:rsid w:val="00923B98"/>
    <w:rsid w:val="00924B6C"/>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5D7A"/>
    <w:rsid w:val="00936C5E"/>
    <w:rsid w:val="00937054"/>
    <w:rsid w:val="00940A90"/>
    <w:rsid w:val="00940F4E"/>
    <w:rsid w:val="00941AC7"/>
    <w:rsid w:val="00942831"/>
    <w:rsid w:val="009435EC"/>
    <w:rsid w:val="00943D1A"/>
    <w:rsid w:val="00944933"/>
    <w:rsid w:val="0094574D"/>
    <w:rsid w:val="0094658C"/>
    <w:rsid w:val="00947800"/>
    <w:rsid w:val="00950311"/>
    <w:rsid w:val="00951035"/>
    <w:rsid w:val="00952061"/>
    <w:rsid w:val="00952E11"/>
    <w:rsid w:val="00953084"/>
    <w:rsid w:val="00953333"/>
    <w:rsid w:val="00953F45"/>
    <w:rsid w:val="00954406"/>
    <w:rsid w:val="00955607"/>
    <w:rsid w:val="00955793"/>
    <w:rsid w:val="0095594E"/>
    <w:rsid w:val="00957AF5"/>
    <w:rsid w:val="00957E19"/>
    <w:rsid w:val="00960BDA"/>
    <w:rsid w:val="00960EE6"/>
    <w:rsid w:val="00961003"/>
    <w:rsid w:val="009619D0"/>
    <w:rsid w:val="00961CC7"/>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4B7"/>
    <w:rsid w:val="00975798"/>
    <w:rsid w:val="00975CC7"/>
    <w:rsid w:val="00976414"/>
    <w:rsid w:val="0097651A"/>
    <w:rsid w:val="00976D6E"/>
    <w:rsid w:val="009773C9"/>
    <w:rsid w:val="00977AB7"/>
    <w:rsid w:val="00980559"/>
    <w:rsid w:val="00980611"/>
    <w:rsid w:val="00980D9D"/>
    <w:rsid w:val="00981499"/>
    <w:rsid w:val="009818CA"/>
    <w:rsid w:val="00981F2B"/>
    <w:rsid w:val="00982BCC"/>
    <w:rsid w:val="009832DC"/>
    <w:rsid w:val="00983860"/>
    <w:rsid w:val="009840C0"/>
    <w:rsid w:val="00984322"/>
    <w:rsid w:val="009848DE"/>
    <w:rsid w:val="00984EAC"/>
    <w:rsid w:val="00985B1A"/>
    <w:rsid w:val="00985BF9"/>
    <w:rsid w:val="009865B9"/>
    <w:rsid w:val="00986781"/>
    <w:rsid w:val="00986B7D"/>
    <w:rsid w:val="00987C39"/>
    <w:rsid w:val="00990EE2"/>
    <w:rsid w:val="00990F4D"/>
    <w:rsid w:val="00992389"/>
    <w:rsid w:val="0099241A"/>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136"/>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946"/>
    <w:rsid w:val="009B3B6E"/>
    <w:rsid w:val="009B789A"/>
    <w:rsid w:val="009C058E"/>
    <w:rsid w:val="009C0735"/>
    <w:rsid w:val="009C1540"/>
    <w:rsid w:val="009C1676"/>
    <w:rsid w:val="009C27D3"/>
    <w:rsid w:val="009C3261"/>
    <w:rsid w:val="009C3E6B"/>
    <w:rsid w:val="009C44E9"/>
    <w:rsid w:val="009C5DBD"/>
    <w:rsid w:val="009C7169"/>
    <w:rsid w:val="009C72D5"/>
    <w:rsid w:val="009C76BC"/>
    <w:rsid w:val="009C77FB"/>
    <w:rsid w:val="009C7F8C"/>
    <w:rsid w:val="009D01DD"/>
    <w:rsid w:val="009D151C"/>
    <w:rsid w:val="009D1908"/>
    <w:rsid w:val="009D246B"/>
    <w:rsid w:val="009D32B9"/>
    <w:rsid w:val="009D3875"/>
    <w:rsid w:val="009D42D3"/>
    <w:rsid w:val="009D43B2"/>
    <w:rsid w:val="009D4706"/>
    <w:rsid w:val="009D5A6A"/>
    <w:rsid w:val="009D6565"/>
    <w:rsid w:val="009D66DD"/>
    <w:rsid w:val="009D740E"/>
    <w:rsid w:val="009D780A"/>
    <w:rsid w:val="009D789D"/>
    <w:rsid w:val="009E0460"/>
    <w:rsid w:val="009E11B8"/>
    <w:rsid w:val="009E1509"/>
    <w:rsid w:val="009E1572"/>
    <w:rsid w:val="009E2EA2"/>
    <w:rsid w:val="009E3197"/>
    <w:rsid w:val="009E350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BA8"/>
    <w:rsid w:val="009F66F7"/>
    <w:rsid w:val="009F692A"/>
    <w:rsid w:val="009F6D0A"/>
    <w:rsid w:val="009F7761"/>
    <w:rsid w:val="009F7F58"/>
    <w:rsid w:val="00A0172F"/>
    <w:rsid w:val="00A01DCD"/>
    <w:rsid w:val="00A02687"/>
    <w:rsid w:val="00A027A4"/>
    <w:rsid w:val="00A037E2"/>
    <w:rsid w:val="00A03C45"/>
    <w:rsid w:val="00A044D0"/>
    <w:rsid w:val="00A05145"/>
    <w:rsid w:val="00A05B0B"/>
    <w:rsid w:val="00A06282"/>
    <w:rsid w:val="00A06647"/>
    <w:rsid w:val="00A11123"/>
    <w:rsid w:val="00A11490"/>
    <w:rsid w:val="00A117F4"/>
    <w:rsid w:val="00A12B50"/>
    <w:rsid w:val="00A13BA1"/>
    <w:rsid w:val="00A142E5"/>
    <w:rsid w:val="00A14A66"/>
    <w:rsid w:val="00A158EC"/>
    <w:rsid w:val="00A15A6E"/>
    <w:rsid w:val="00A163AC"/>
    <w:rsid w:val="00A16DF6"/>
    <w:rsid w:val="00A16FB4"/>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27C5F"/>
    <w:rsid w:val="00A30B3A"/>
    <w:rsid w:val="00A30C5B"/>
    <w:rsid w:val="00A32C09"/>
    <w:rsid w:val="00A3308E"/>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2B8D"/>
    <w:rsid w:val="00A451A2"/>
    <w:rsid w:val="00A455D6"/>
    <w:rsid w:val="00A45A3B"/>
    <w:rsid w:val="00A45B8E"/>
    <w:rsid w:val="00A46E0E"/>
    <w:rsid w:val="00A46E86"/>
    <w:rsid w:val="00A46F6D"/>
    <w:rsid w:val="00A46F93"/>
    <w:rsid w:val="00A47083"/>
    <w:rsid w:val="00A508FE"/>
    <w:rsid w:val="00A50CC4"/>
    <w:rsid w:val="00A515AC"/>
    <w:rsid w:val="00A51A13"/>
    <w:rsid w:val="00A51E51"/>
    <w:rsid w:val="00A523E2"/>
    <w:rsid w:val="00A52AEC"/>
    <w:rsid w:val="00A52DF7"/>
    <w:rsid w:val="00A53164"/>
    <w:rsid w:val="00A53566"/>
    <w:rsid w:val="00A53FA5"/>
    <w:rsid w:val="00A547B3"/>
    <w:rsid w:val="00A549C0"/>
    <w:rsid w:val="00A54CFA"/>
    <w:rsid w:val="00A5587E"/>
    <w:rsid w:val="00A55E78"/>
    <w:rsid w:val="00A55F38"/>
    <w:rsid w:val="00A56EAA"/>
    <w:rsid w:val="00A57121"/>
    <w:rsid w:val="00A57A87"/>
    <w:rsid w:val="00A57F24"/>
    <w:rsid w:val="00A60A42"/>
    <w:rsid w:val="00A60E59"/>
    <w:rsid w:val="00A61A2B"/>
    <w:rsid w:val="00A61F26"/>
    <w:rsid w:val="00A62989"/>
    <w:rsid w:val="00A63014"/>
    <w:rsid w:val="00A63094"/>
    <w:rsid w:val="00A63AC6"/>
    <w:rsid w:val="00A643B2"/>
    <w:rsid w:val="00A648A0"/>
    <w:rsid w:val="00A64F20"/>
    <w:rsid w:val="00A669F2"/>
    <w:rsid w:val="00A66F4B"/>
    <w:rsid w:val="00A677D1"/>
    <w:rsid w:val="00A67A2C"/>
    <w:rsid w:val="00A70215"/>
    <w:rsid w:val="00A71B72"/>
    <w:rsid w:val="00A71D1D"/>
    <w:rsid w:val="00A7209C"/>
    <w:rsid w:val="00A73423"/>
    <w:rsid w:val="00A74A90"/>
    <w:rsid w:val="00A74D57"/>
    <w:rsid w:val="00A75786"/>
    <w:rsid w:val="00A75EBD"/>
    <w:rsid w:val="00A75F70"/>
    <w:rsid w:val="00A76556"/>
    <w:rsid w:val="00A76776"/>
    <w:rsid w:val="00A76813"/>
    <w:rsid w:val="00A769E9"/>
    <w:rsid w:val="00A77A90"/>
    <w:rsid w:val="00A80FCB"/>
    <w:rsid w:val="00A81280"/>
    <w:rsid w:val="00A81598"/>
    <w:rsid w:val="00A8162F"/>
    <w:rsid w:val="00A81BF5"/>
    <w:rsid w:val="00A81E98"/>
    <w:rsid w:val="00A82DC0"/>
    <w:rsid w:val="00A83155"/>
    <w:rsid w:val="00A83403"/>
    <w:rsid w:val="00A839EF"/>
    <w:rsid w:val="00A83A62"/>
    <w:rsid w:val="00A83FD4"/>
    <w:rsid w:val="00A84FB1"/>
    <w:rsid w:val="00A86341"/>
    <w:rsid w:val="00A86E56"/>
    <w:rsid w:val="00A871D6"/>
    <w:rsid w:val="00A87653"/>
    <w:rsid w:val="00A903B8"/>
    <w:rsid w:val="00A91103"/>
    <w:rsid w:val="00A91763"/>
    <w:rsid w:val="00A93204"/>
    <w:rsid w:val="00A936FC"/>
    <w:rsid w:val="00A9388E"/>
    <w:rsid w:val="00A93FED"/>
    <w:rsid w:val="00A96171"/>
    <w:rsid w:val="00A96B30"/>
    <w:rsid w:val="00AA1BF9"/>
    <w:rsid w:val="00AA20DB"/>
    <w:rsid w:val="00AA2AE8"/>
    <w:rsid w:val="00AA318A"/>
    <w:rsid w:val="00AA653C"/>
    <w:rsid w:val="00AA654A"/>
    <w:rsid w:val="00AA6F96"/>
    <w:rsid w:val="00AB063A"/>
    <w:rsid w:val="00AB088F"/>
    <w:rsid w:val="00AB13E8"/>
    <w:rsid w:val="00AB1E1D"/>
    <w:rsid w:val="00AB1E8C"/>
    <w:rsid w:val="00AB23A4"/>
    <w:rsid w:val="00AB289A"/>
    <w:rsid w:val="00AB2961"/>
    <w:rsid w:val="00AB36A1"/>
    <w:rsid w:val="00AB3C7D"/>
    <w:rsid w:val="00AB43C6"/>
    <w:rsid w:val="00AB4AC0"/>
    <w:rsid w:val="00AB6675"/>
    <w:rsid w:val="00AB67CB"/>
    <w:rsid w:val="00AB6C50"/>
    <w:rsid w:val="00AB7398"/>
    <w:rsid w:val="00AB75BF"/>
    <w:rsid w:val="00AB75EA"/>
    <w:rsid w:val="00AC001C"/>
    <w:rsid w:val="00AC0759"/>
    <w:rsid w:val="00AC1292"/>
    <w:rsid w:val="00AC277F"/>
    <w:rsid w:val="00AC56C3"/>
    <w:rsid w:val="00AC5F3E"/>
    <w:rsid w:val="00AC6A9B"/>
    <w:rsid w:val="00AC72F0"/>
    <w:rsid w:val="00AD09BD"/>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64"/>
    <w:rsid w:val="00AF019A"/>
    <w:rsid w:val="00AF0ACB"/>
    <w:rsid w:val="00AF1330"/>
    <w:rsid w:val="00AF1E3A"/>
    <w:rsid w:val="00AF1F43"/>
    <w:rsid w:val="00AF28CA"/>
    <w:rsid w:val="00AF2B4C"/>
    <w:rsid w:val="00AF4365"/>
    <w:rsid w:val="00AF47DC"/>
    <w:rsid w:val="00AF6110"/>
    <w:rsid w:val="00B00538"/>
    <w:rsid w:val="00B00D50"/>
    <w:rsid w:val="00B01507"/>
    <w:rsid w:val="00B01604"/>
    <w:rsid w:val="00B01AE9"/>
    <w:rsid w:val="00B01CBA"/>
    <w:rsid w:val="00B02B8C"/>
    <w:rsid w:val="00B035CE"/>
    <w:rsid w:val="00B04079"/>
    <w:rsid w:val="00B04144"/>
    <w:rsid w:val="00B044B2"/>
    <w:rsid w:val="00B0583B"/>
    <w:rsid w:val="00B05E5D"/>
    <w:rsid w:val="00B05FD5"/>
    <w:rsid w:val="00B060B6"/>
    <w:rsid w:val="00B06844"/>
    <w:rsid w:val="00B06F39"/>
    <w:rsid w:val="00B104AF"/>
    <w:rsid w:val="00B107AC"/>
    <w:rsid w:val="00B114B2"/>
    <w:rsid w:val="00B11636"/>
    <w:rsid w:val="00B11A0C"/>
    <w:rsid w:val="00B12295"/>
    <w:rsid w:val="00B123E8"/>
    <w:rsid w:val="00B12915"/>
    <w:rsid w:val="00B12F54"/>
    <w:rsid w:val="00B1315C"/>
    <w:rsid w:val="00B131B4"/>
    <w:rsid w:val="00B13AFB"/>
    <w:rsid w:val="00B1476D"/>
    <w:rsid w:val="00B149D2"/>
    <w:rsid w:val="00B162DF"/>
    <w:rsid w:val="00B16657"/>
    <w:rsid w:val="00B16B40"/>
    <w:rsid w:val="00B16D88"/>
    <w:rsid w:val="00B16E6E"/>
    <w:rsid w:val="00B17992"/>
    <w:rsid w:val="00B202A1"/>
    <w:rsid w:val="00B20CCC"/>
    <w:rsid w:val="00B2123D"/>
    <w:rsid w:val="00B213F2"/>
    <w:rsid w:val="00B21721"/>
    <w:rsid w:val="00B22934"/>
    <w:rsid w:val="00B25909"/>
    <w:rsid w:val="00B25A1F"/>
    <w:rsid w:val="00B26495"/>
    <w:rsid w:val="00B26540"/>
    <w:rsid w:val="00B307F9"/>
    <w:rsid w:val="00B315B2"/>
    <w:rsid w:val="00B316A1"/>
    <w:rsid w:val="00B31931"/>
    <w:rsid w:val="00B31EE8"/>
    <w:rsid w:val="00B32BC1"/>
    <w:rsid w:val="00B3393F"/>
    <w:rsid w:val="00B340FF"/>
    <w:rsid w:val="00B34F24"/>
    <w:rsid w:val="00B34F72"/>
    <w:rsid w:val="00B3560D"/>
    <w:rsid w:val="00B35B06"/>
    <w:rsid w:val="00B3623E"/>
    <w:rsid w:val="00B36966"/>
    <w:rsid w:val="00B36E71"/>
    <w:rsid w:val="00B37871"/>
    <w:rsid w:val="00B37969"/>
    <w:rsid w:val="00B40E03"/>
    <w:rsid w:val="00B40F02"/>
    <w:rsid w:val="00B419FF"/>
    <w:rsid w:val="00B41CED"/>
    <w:rsid w:val="00B41FD4"/>
    <w:rsid w:val="00B4269D"/>
    <w:rsid w:val="00B4280D"/>
    <w:rsid w:val="00B42A22"/>
    <w:rsid w:val="00B43659"/>
    <w:rsid w:val="00B43B6D"/>
    <w:rsid w:val="00B43EB7"/>
    <w:rsid w:val="00B452F1"/>
    <w:rsid w:val="00B46E8E"/>
    <w:rsid w:val="00B50A96"/>
    <w:rsid w:val="00B50B42"/>
    <w:rsid w:val="00B51494"/>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B55"/>
    <w:rsid w:val="00B64F42"/>
    <w:rsid w:val="00B65B86"/>
    <w:rsid w:val="00B66B79"/>
    <w:rsid w:val="00B671BD"/>
    <w:rsid w:val="00B67530"/>
    <w:rsid w:val="00B6778A"/>
    <w:rsid w:val="00B67E43"/>
    <w:rsid w:val="00B70372"/>
    <w:rsid w:val="00B713CB"/>
    <w:rsid w:val="00B7151E"/>
    <w:rsid w:val="00B71976"/>
    <w:rsid w:val="00B7215D"/>
    <w:rsid w:val="00B741AA"/>
    <w:rsid w:val="00B747CF"/>
    <w:rsid w:val="00B752AC"/>
    <w:rsid w:val="00B75E9D"/>
    <w:rsid w:val="00B767C1"/>
    <w:rsid w:val="00B774DE"/>
    <w:rsid w:val="00B803CA"/>
    <w:rsid w:val="00B811C1"/>
    <w:rsid w:val="00B8162B"/>
    <w:rsid w:val="00B8225C"/>
    <w:rsid w:val="00B826A9"/>
    <w:rsid w:val="00B83097"/>
    <w:rsid w:val="00B8315D"/>
    <w:rsid w:val="00B8325F"/>
    <w:rsid w:val="00B83ECE"/>
    <w:rsid w:val="00B840CA"/>
    <w:rsid w:val="00B8471A"/>
    <w:rsid w:val="00B8482A"/>
    <w:rsid w:val="00B84FDB"/>
    <w:rsid w:val="00B854A2"/>
    <w:rsid w:val="00B85D8D"/>
    <w:rsid w:val="00B86C94"/>
    <w:rsid w:val="00B87F60"/>
    <w:rsid w:val="00B904B0"/>
    <w:rsid w:val="00B90C75"/>
    <w:rsid w:val="00B90E59"/>
    <w:rsid w:val="00B915AE"/>
    <w:rsid w:val="00B91EDC"/>
    <w:rsid w:val="00B93DAB"/>
    <w:rsid w:val="00B93EA8"/>
    <w:rsid w:val="00B93F99"/>
    <w:rsid w:val="00B9442E"/>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6E8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40D"/>
    <w:rsid w:val="00BD3C50"/>
    <w:rsid w:val="00BD6155"/>
    <w:rsid w:val="00BD76DA"/>
    <w:rsid w:val="00BD7C03"/>
    <w:rsid w:val="00BE0A9C"/>
    <w:rsid w:val="00BE1505"/>
    <w:rsid w:val="00BE1632"/>
    <w:rsid w:val="00BE174A"/>
    <w:rsid w:val="00BE1B7A"/>
    <w:rsid w:val="00BE1DAC"/>
    <w:rsid w:val="00BE1E57"/>
    <w:rsid w:val="00BE3231"/>
    <w:rsid w:val="00BE46F6"/>
    <w:rsid w:val="00BE489A"/>
    <w:rsid w:val="00BE4E28"/>
    <w:rsid w:val="00BE510A"/>
    <w:rsid w:val="00BE5282"/>
    <w:rsid w:val="00BE5933"/>
    <w:rsid w:val="00BE5E35"/>
    <w:rsid w:val="00BE6DD1"/>
    <w:rsid w:val="00BE6E5F"/>
    <w:rsid w:val="00BF0BFA"/>
    <w:rsid w:val="00BF0D51"/>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4FB4"/>
    <w:rsid w:val="00C050D6"/>
    <w:rsid w:val="00C06464"/>
    <w:rsid w:val="00C0656C"/>
    <w:rsid w:val="00C0687B"/>
    <w:rsid w:val="00C0699E"/>
    <w:rsid w:val="00C07A2E"/>
    <w:rsid w:val="00C07AA8"/>
    <w:rsid w:val="00C11C2F"/>
    <w:rsid w:val="00C11D23"/>
    <w:rsid w:val="00C11D59"/>
    <w:rsid w:val="00C1237D"/>
    <w:rsid w:val="00C1277E"/>
    <w:rsid w:val="00C12B79"/>
    <w:rsid w:val="00C138ED"/>
    <w:rsid w:val="00C148D4"/>
    <w:rsid w:val="00C14EE0"/>
    <w:rsid w:val="00C15471"/>
    <w:rsid w:val="00C15C6A"/>
    <w:rsid w:val="00C162DB"/>
    <w:rsid w:val="00C2058A"/>
    <w:rsid w:val="00C20DFF"/>
    <w:rsid w:val="00C21D91"/>
    <w:rsid w:val="00C232F9"/>
    <w:rsid w:val="00C244CE"/>
    <w:rsid w:val="00C25EC4"/>
    <w:rsid w:val="00C26141"/>
    <w:rsid w:val="00C269CE"/>
    <w:rsid w:val="00C27679"/>
    <w:rsid w:val="00C30EEE"/>
    <w:rsid w:val="00C31B5D"/>
    <w:rsid w:val="00C33283"/>
    <w:rsid w:val="00C339C7"/>
    <w:rsid w:val="00C33C38"/>
    <w:rsid w:val="00C33F8D"/>
    <w:rsid w:val="00C344A9"/>
    <w:rsid w:val="00C34FEA"/>
    <w:rsid w:val="00C3636F"/>
    <w:rsid w:val="00C367B4"/>
    <w:rsid w:val="00C36D39"/>
    <w:rsid w:val="00C37456"/>
    <w:rsid w:val="00C378BD"/>
    <w:rsid w:val="00C37D8A"/>
    <w:rsid w:val="00C37DCF"/>
    <w:rsid w:val="00C37F7D"/>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4FB2"/>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2C4"/>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64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0901"/>
    <w:rsid w:val="00CA11D6"/>
    <w:rsid w:val="00CA1FD0"/>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3FE9"/>
    <w:rsid w:val="00CB42B2"/>
    <w:rsid w:val="00CB4676"/>
    <w:rsid w:val="00CB51E5"/>
    <w:rsid w:val="00CB5F5C"/>
    <w:rsid w:val="00CB60AE"/>
    <w:rsid w:val="00CB648D"/>
    <w:rsid w:val="00CB65DE"/>
    <w:rsid w:val="00CB674C"/>
    <w:rsid w:val="00CB6CC1"/>
    <w:rsid w:val="00CB76E0"/>
    <w:rsid w:val="00CC0E0D"/>
    <w:rsid w:val="00CC0FDA"/>
    <w:rsid w:val="00CC1311"/>
    <w:rsid w:val="00CC1D3A"/>
    <w:rsid w:val="00CC277B"/>
    <w:rsid w:val="00CC36F8"/>
    <w:rsid w:val="00CC4AC8"/>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531"/>
    <w:rsid w:val="00CF48F5"/>
    <w:rsid w:val="00CF4AF9"/>
    <w:rsid w:val="00CF58FE"/>
    <w:rsid w:val="00CF6A86"/>
    <w:rsid w:val="00CF6C9D"/>
    <w:rsid w:val="00CF766A"/>
    <w:rsid w:val="00D00219"/>
    <w:rsid w:val="00D01382"/>
    <w:rsid w:val="00D017A6"/>
    <w:rsid w:val="00D0206E"/>
    <w:rsid w:val="00D02685"/>
    <w:rsid w:val="00D02CDC"/>
    <w:rsid w:val="00D03010"/>
    <w:rsid w:val="00D04112"/>
    <w:rsid w:val="00D05169"/>
    <w:rsid w:val="00D05FB0"/>
    <w:rsid w:val="00D060E9"/>
    <w:rsid w:val="00D062EE"/>
    <w:rsid w:val="00D06726"/>
    <w:rsid w:val="00D06B7A"/>
    <w:rsid w:val="00D06FBE"/>
    <w:rsid w:val="00D10CCF"/>
    <w:rsid w:val="00D13148"/>
    <w:rsid w:val="00D1336B"/>
    <w:rsid w:val="00D13B54"/>
    <w:rsid w:val="00D13BD4"/>
    <w:rsid w:val="00D13DA6"/>
    <w:rsid w:val="00D1483D"/>
    <w:rsid w:val="00D15798"/>
    <w:rsid w:val="00D15997"/>
    <w:rsid w:val="00D1668C"/>
    <w:rsid w:val="00D17349"/>
    <w:rsid w:val="00D17867"/>
    <w:rsid w:val="00D21666"/>
    <w:rsid w:val="00D21B91"/>
    <w:rsid w:val="00D22E4F"/>
    <w:rsid w:val="00D2321D"/>
    <w:rsid w:val="00D2427A"/>
    <w:rsid w:val="00D26285"/>
    <w:rsid w:val="00D2676D"/>
    <w:rsid w:val="00D26C16"/>
    <w:rsid w:val="00D30B3E"/>
    <w:rsid w:val="00D312EF"/>
    <w:rsid w:val="00D313BB"/>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0F1"/>
    <w:rsid w:val="00D42AF9"/>
    <w:rsid w:val="00D437EF"/>
    <w:rsid w:val="00D43D10"/>
    <w:rsid w:val="00D4439E"/>
    <w:rsid w:val="00D44AB3"/>
    <w:rsid w:val="00D44EFD"/>
    <w:rsid w:val="00D46BE1"/>
    <w:rsid w:val="00D4710B"/>
    <w:rsid w:val="00D479BB"/>
    <w:rsid w:val="00D5086E"/>
    <w:rsid w:val="00D51078"/>
    <w:rsid w:val="00D513F7"/>
    <w:rsid w:val="00D514FA"/>
    <w:rsid w:val="00D5184A"/>
    <w:rsid w:val="00D51B3A"/>
    <w:rsid w:val="00D51B89"/>
    <w:rsid w:val="00D51E2C"/>
    <w:rsid w:val="00D539E9"/>
    <w:rsid w:val="00D53FB2"/>
    <w:rsid w:val="00D54435"/>
    <w:rsid w:val="00D544DD"/>
    <w:rsid w:val="00D54E32"/>
    <w:rsid w:val="00D55B0C"/>
    <w:rsid w:val="00D55B8F"/>
    <w:rsid w:val="00D570AD"/>
    <w:rsid w:val="00D5772F"/>
    <w:rsid w:val="00D57DDF"/>
    <w:rsid w:val="00D5F207"/>
    <w:rsid w:val="00D6041B"/>
    <w:rsid w:val="00D60A5E"/>
    <w:rsid w:val="00D60BAD"/>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3F37"/>
    <w:rsid w:val="00D855D6"/>
    <w:rsid w:val="00D85B09"/>
    <w:rsid w:val="00D860C7"/>
    <w:rsid w:val="00D863D7"/>
    <w:rsid w:val="00D86881"/>
    <w:rsid w:val="00D86D45"/>
    <w:rsid w:val="00D870B7"/>
    <w:rsid w:val="00D902C0"/>
    <w:rsid w:val="00D905E9"/>
    <w:rsid w:val="00D912D5"/>
    <w:rsid w:val="00D9145B"/>
    <w:rsid w:val="00D92EAC"/>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D56"/>
    <w:rsid w:val="00DA3F67"/>
    <w:rsid w:val="00DA4EF7"/>
    <w:rsid w:val="00DA56D2"/>
    <w:rsid w:val="00DA5EB0"/>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092D"/>
    <w:rsid w:val="00DC1915"/>
    <w:rsid w:val="00DC1FBA"/>
    <w:rsid w:val="00DC2DAE"/>
    <w:rsid w:val="00DC312C"/>
    <w:rsid w:val="00DC3C32"/>
    <w:rsid w:val="00DC44FB"/>
    <w:rsid w:val="00DC4EC5"/>
    <w:rsid w:val="00DC532F"/>
    <w:rsid w:val="00DC5387"/>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627"/>
    <w:rsid w:val="00DD791E"/>
    <w:rsid w:val="00DE0110"/>
    <w:rsid w:val="00DE0541"/>
    <w:rsid w:val="00DE0BA7"/>
    <w:rsid w:val="00DE0E30"/>
    <w:rsid w:val="00DE0EFA"/>
    <w:rsid w:val="00DE1895"/>
    <w:rsid w:val="00DE1EF0"/>
    <w:rsid w:val="00DE2F24"/>
    <w:rsid w:val="00DE30B5"/>
    <w:rsid w:val="00DE3403"/>
    <w:rsid w:val="00DE3A7D"/>
    <w:rsid w:val="00DE3BD3"/>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4C40"/>
    <w:rsid w:val="00E053EB"/>
    <w:rsid w:val="00E05BCC"/>
    <w:rsid w:val="00E05CB2"/>
    <w:rsid w:val="00E05EB2"/>
    <w:rsid w:val="00E06A34"/>
    <w:rsid w:val="00E06BFB"/>
    <w:rsid w:val="00E100AE"/>
    <w:rsid w:val="00E10149"/>
    <w:rsid w:val="00E1034D"/>
    <w:rsid w:val="00E10DF0"/>
    <w:rsid w:val="00E11ADA"/>
    <w:rsid w:val="00E125D9"/>
    <w:rsid w:val="00E128F3"/>
    <w:rsid w:val="00E12F7D"/>
    <w:rsid w:val="00E13A68"/>
    <w:rsid w:val="00E13E43"/>
    <w:rsid w:val="00E14D42"/>
    <w:rsid w:val="00E16240"/>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4E9"/>
    <w:rsid w:val="00E44601"/>
    <w:rsid w:val="00E44D87"/>
    <w:rsid w:val="00E452F1"/>
    <w:rsid w:val="00E45866"/>
    <w:rsid w:val="00E45DDA"/>
    <w:rsid w:val="00E45F9C"/>
    <w:rsid w:val="00E4601F"/>
    <w:rsid w:val="00E4675C"/>
    <w:rsid w:val="00E468AB"/>
    <w:rsid w:val="00E505B3"/>
    <w:rsid w:val="00E50D98"/>
    <w:rsid w:val="00E51077"/>
    <w:rsid w:val="00E5130B"/>
    <w:rsid w:val="00E51AF4"/>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768BD"/>
    <w:rsid w:val="00E772E2"/>
    <w:rsid w:val="00E817BF"/>
    <w:rsid w:val="00E835ED"/>
    <w:rsid w:val="00E8627D"/>
    <w:rsid w:val="00E864C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6BDC"/>
    <w:rsid w:val="00EB05A2"/>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4D94"/>
    <w:rsid w:val="00EC4FE4"/>
    <w:rsid w:val="00EC505F"/>
    <w:rsid w:val="00EC51D3"/>
    <w:rsid w:val="00EC591E"/>
    <w:rsid w:val="00EC59EA"/>
    <w:rsid w:val="00EC6FBE"/>
    <w:rsid w:val="00EC7D3B"/>
    <w:rsid w:val="00EC7E88"/>
    <w:rsid w:val="00ED0A1C"/>
    <w:rsid w:val="00ED0DC3"/>
    <w:rsid w:val="00ED230B"/>
    <w:rsid w:val="00ED312A"/>
    <w:rsid w:val="00ED326C"/>
    <w:rsid w:val="00ED34DE"/>
    <w:rsid w:val="00ED4429"/>
    <w:rsid w:val="00ED4447"/>
    <w:rsid w:val="00ED6179"/>
    <w:rsid w:val="00ED7B8A"/>
    <w:rsid w:val="00EE1BAA"/>
    <w:rsid w:val="00EE277F"/>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EC5"/>
    <w:rsid w:val="00EF4F39"/>
    <w:rsid w:val="00EF635B"/>
    <w:rsid w:val="00EF6607"/>
    <w:rsid w:val="00EF6DA6"/>
    <w:rsid w:val="00EF7029"/>
    <w:rsid w:val="00EF7932"/>
    <w:rsid w:val="00F001F7"/>
    <w:rsid w:val="00F00476"/>
    <w:rsid w:val="00F00C2C"/>
    <w:rsid w:val="00F0148C"/>
    <w:rsid w:val="00F01C90"/>
    <w:rsid w:val="00F02F16"/>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C72"/>
    <w:rsid w:val="00F25E60"/>
    <w:rsid w:val="00F263C0"/>
    <w:rsid w:val="00F263F0"/>
    <w:rsid w:val="00F27717"/>
    <w:rsid w:val="00F27994"/>
    <w:rsid w:val="00F30BB6"/>
    <w:rsid w:val="00F31664"/>
    <w:rsid w:val="00F31F39"/>
    <w:rsid w:val="00F33891"/>
    <w:rsid w:val="00F343AC"/>
    <w:rsid w:val="00F344CB"/>
    <w:rsid w:val="00F3540A"/>
    <w:rsid w:val="00F3573D"/>
    <w:rsid w:val="00F36502"/>
    <w:rsid w:val="00F41AE7"/>
    <w:rsid w:val="00F42509"/>
    <w:rsid w:val="00F431E9"/>
    <w:rsid w:val="00F43A6F"/>
    <w:rsid w:val="00F44335"/>
    <w:rsid w:val="00F44400"/>
    <w:rsid w:val="00F44A53"/>
    <w:rsid w:val="00F45993"/>
    <w:rsid w:val="00F45C2B"/>
    <w:rsid w:val="00F4788E"/>
    <w:rsid w:val="00F50807"/>
    <w:rsid w:val="00F50D05"/>
    <w:rsid w:val="00F513E2"/>
    <w:rsid w:val="00F52637"/>
    <w:rsid w:val="00F5263C"/>
    <w:rsid w:val="00F527C0"/>
    <w:rsid w:val="00F52972"/>
    <w:rsid w:val="00F52A35"/>
    <w:rsid w:val="00F540B1"/>
    <w:rsid w:val="00F54143"/>
    <w:rsid w:val="00F549BC"/>
    <w:rsid w:val="00F55259"/>
    <w:rsid w:val="00F56175"/>
    <w:rsid w:val="00F56374"/>
    <w:rsid w:val="00F563E1"/>
    <w:rsid w:val="00F56784"/>
    <w:rsid w:val="00F567F2"/>
    <w:rsid w:val="00F56A0D"/>
    <w:rsid w:val="00F56D5C"/>
    <w:rsid w:val="00F57BD9"/>
    <w:rsid w:val="00F6012C"/>
    <w:rsid w:val="00F60150"/>
    <w:rsid w:val="00F60A31"/>
    <w:rsid w:val="00F60D25"/>
    <w:rsid w:val="00F6179E"/>
    <w:rsid w:val="00F62611"/>
    <w:rsid w:val="00F63246"/>
    <w:rsid w:val="00F63EB3"/>
    <w:rsid w:val="00F64AF8"/>
    <w:rsid w:val="00F673B1"/>
    <w:rsid w:val="00F67A1A"/>
    <w:rsid w:val="00F67FA3"/>
    <w:rsid w:val="00F702CC"/>
    <w:rsid w:val="00F7042A"/>
    <w:rsid w:val="00F7059A"/>
    <w:rsid w:val="00F70F99"/>
    <w:rsid w:val="00F71846"/>
    <w:rsid w:val="00F720DA"/>
    <w:rsid w:val="00F723B6"/>
    <w:rsid w:val="00F72637"/>
    <w:rsid w:val="00F72B41"/>
    <w:rsid w:val="00F759C6"/>
    <w:rsid w:val="00F76A30"/>
    <w:rsid w:val="00F77496"/>
    <w:rsid w:val="00F80654"/>
    <w:rsid w:val="00F80C3B"/>
    <w:rsid w:val="00F81111"/>
    <w:rsid w:val="00F81506"/>
    <w:rsid w:val="00F8164D"/>
    <w:rsid w:val="00F821D8"/>
    <w:rsid w:val="00F822C5"/>
    <w:rsid w:val="00F82A75"/>
    <w:rsid w:val="00F82B8E"/>
    <w:rsid w:val="00F82C65"/>
    <w:rsid w:val="00F83668"/>
    <w:rsid w:val="00F83D7F"/>
    <w:rsid w:val="00F851EF"/>
    <w:rsid w:val="00F85C17"/>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1D1"/>
    <w:rsid w:val="00FB2268"/>
    <w:rsid w:val="00FB30E3"/>
    <w:rsid w:val="00FB41C7"/>
    <w:rsid w:val="00FB495D"/>
    <w:rsid w:val="00FB4B75"/>
    <w:rsid w:val="00FB5830"/>
    <w:rsid w:val="00FB58A7"/>
    <w:rsid w:val="00FB6CC5"/>
    <w:rsid w:val="00FB7131"/>
    <w:rsid w:val="00FB7307"/>
    <w:rsid w:val="00FB7940"/>
    <w:rsid w:val="00FC0042"/>
    <w:rsid w:val="00FC0770"/>
    <w:rsid w:val="00FC1BD7"/>
    <w:rsid w:val="00FC1EC1"/>
    <w:rsid w:val="00FC23F4"/>
    <w:rsid w:val="00FC365E"/>
    <w:rsid w:val="00FC39FE"/>
    <w:rsid w:val="00FC3C28"/>
    <w:rsid w:val="00FC5A72"/>
    <w:rsid w:val="00FC5AC2"/>
    <w:rsid w:val="00FC65E9"/>
    <w:rsid w:val="00FC6857"/>
    <w:rsid w:val="00FC7497"/>
    <w:rsid w:val="00FD11A8"/>
    <w:rsid w:val="00FD17BA"/>
    <w:rsid w:val="00FD1A35"/>
    <w:rsid w:val="00FD1E93"/>
    <w:rsid w:val="00FD1F97"/>
    <w:rsid w:val="00FD2936"/>
    <w:rsid w:val="00FD30A3"/>
    <w:rsid w:val="00FD32C6"/>
    <w:rsid w:val="00FD45E8"/>
    <w:rsid w:val="00FD4CF8"/>
    <w:rsid w:val="00FD52A0"/>
    <w:rsid w:val="00FD583D"/>
    <w:rsid w:val="00FD5B1B"/>
    <w:rsid w:val="00FD5CE3"/>
    <w:rsid w:val="00FD656F"/>
    <w:rsid w:val="00FD673A"/>
    <w:rsid w:val="00FD6AD9"/>
    <w:rsid w:val="00FD7489"/>
    <w:rsid w:val="00FD7F4A"/>
    <w:rsid w:val="00FE0106"/>
    <w:rsid w:val="00FE19EE"/>
    <w:rsid w:val="00FE21C1"/>
    <w:rsid w:val="00FE21DB"/>
    <w:rsid w:val="00FE254C"/>
    <w:rsid w:val="00FE2A41"/>
    <w:rsid w:val="00FE2F05"/>
    <w:rsid w:val="00FE30B9"/>
    <w:rsid w:val="00FE41E7"/>
    <w:rsid w:val="00FE44DB"/>
    <w:rsid w:val="00FE5982"/>
    <w:rsid w:val="00FE67E3"/>
    <w:rsid w:val="00FE6A61"/>
    <w:rsid w:val="00FE7337"/>
    <w:rsid w:val="00FE7768"/>
    <w:rsid w:val="00FF02AC"/>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150CCD"/>
    <w:rsid w:val="21C4B719"/>
    <w:rsid w:val="21C8F4F6"/>
    <w:rsid w:val="2239F243"/>
    <w:rsid w:val="224E312A"/>
    <w:rsid w:val="2428080E"/>
    <w:rsid w:val="2440C6A9"/>
    <w:rsid w:val="245164C3"/>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0248136"/>
    <w:rsid w:val="4080C64F"/>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7BFBA8"/>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51147983"/>
  <w15:docId w15:val="{42204DBF-014C-4312-8A92-DE07A4C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5516145">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24169633">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74840804">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us01.safelinks.protection.outlook.com/?url=https%3A%2F%2Fambvic.atlassian.net%2Fwiki%2Fspaces%2FInfr%2Fpages%2F2927394829%2FDNS%2BDHCP%2BInfrastructure&amp;data=05%7C02%7Cven1tddn%40AMBULANCE.VIC.GOV.AU%7C1edfe60bc1ce4f54625808dc1b9d09f2%7C86b0e251f8cb4d7aabd236a8896457e7%7C0%7C0%7C638415608485384177%7CUnknown%7CTWFpbGZsb3d8eyJWIjoiMC4wLjAwMDAiLCJQIjoiV2luMzIiLCJBTiI6Ik1haWwiLCJXVCI6Mn0%3D%7C3000%7C%7C%7C&amp;sdata=T0%2BZjinsSdiC%2Bf9Bl%2F5F5Yk9UllqQbbeGf%2BwX0YC5gU%3D&amp;reserved=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yperlink" Target="https://ambvic.atlassian.net/wiki/spaces/Infr/pages/2921889793/Private+Endpoint+DNS+Integr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28" Type="http://schemas.openxmlformats.org/officeDocument/2006/relationships/theme" Target="theme/theme1.xml"/><Relationship Id="rId15" Type="http://schemas.openxmlformats.org/officeDocument/2006/relationships/hyperlink" Target="https://learn.microsoft.com/en-us/azure/well-architected/"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 Id="rId22" Type="http://schemas.openxmlformats.org/officeDocument/2006/relationships/image" Target="media/image2.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453AE2"/>
    <w:rsid w:val="004638A6"/>
    <w:rsid w:val="007C38B3"/>
    <w:rsid w:val="008814DE"/>
    <w:rsid w:val="0096398A"/>
    <w:rsid w:val="00AB4878"/>
    <w:rsid w:val="00B060B6"/>
    <w:rsid w:val="00BB2A6C"/>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3" ma:contentTypeDescription="Create a new document." ma:contentTypeScope="" ma:versionID="989728a0b4ac0f5d3423117dc143fc5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c9978978c5de7e86f55ebe4fc3b4e676"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D314BD73-C3C9-40EB-945A-D0B49E1AEF8E}"/>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D469C22B-D306-46D1-A2D4-5B5E257E2E27}">
  <ds:schemaRefs>
    <ds:schemaRef ds:uri="http://schemas.microsoft.com/sharepoint/events"/>
  </ds:schemaRefs>
</ds:datastoreItem>
</file>

<file path=customXml/itemProps6.xml><?xml version="1.0" encoding="utf-8"?>
<ds:datastoreItem xmlns:ds="http://schemas.openxmlformats.org/officeDocument/2006/customXml" ds:itemID="{04280AB2-2595-4316-A2A9-8A73151EC043}">
  <ds:schemaRefs>
    <ds:schemaRef ds:uri="3a3e0e97-082c-4dca-855c-35420d3b1d78"/>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www.w3.org/XML/1998/namespace"/>
    <ds:schemaRef ds:uri="http://schemas.microsoft.com/office/infopath/2007/PartnerControls"/>
    <ds:schemaRef ds:uri="c1a0068d-a3e3-49d0-881f-33e64a8fc858"/>
    <ds:schemaRef ds:uri="http://schemas.microsoft.com/office/2006/metadata/properties"/>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 Minutes - Executive</Template>
  <TotalTime>27</TotalTime>
  <Pages>18</Pages>
  <Words>3091</Words>
  <Characters>21710</Characters>
  <Application>Microsoft Office Word</Application>
  <DocSecurity>0</DocSecurity>
  <Lines>180</Lines>
  <Paragraphs>49</Paragraphs>
  <ScaleCrop>false</ScaleCrop>
  <Company>Ambulance Victoria</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12</cp:revision>
  <cp:lastPrinted>2018-06-28T13:11:00Z</cp:lastPrinted>
  <dcterms:created xsi:type="dcterms:W3CDTF">2024-01-23T23:29:00Z</dcterms:created>
  <dcterms:modified xsi:type="dcterms:W3CDTF">2024-01-23T23:57:00Z</dcterms:modified>
  <cp:category>Private Endpoint &amp; Azure Private DNS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2d5bfda2-51e3-4e55-8067-9c22620bda0b</vt:lpwstr>
  </property>
  <property fmtid="{D5CDD505-2E9C-101B-9397-08002B2CF9AE}" pid="5" name="ResourceName">
    <vt:lpwstr>ResourceName</vt:lpwstr>
  </property>
</Properties>
</file>