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9CADF" w14:textId="77777777" w:rsidR="00B51299" w:rsidRDefault="00B51299" w:rsidP="00ED201A">
      <w:pPr>
        <w:jc w:val="center"/>
        <w:rPr>
          <w:rFonts w:ascii="Ecofont_Spranq_eco_Sans" w:hAnsi="Ecofont_Spranq_eco_Sans" w:cs="Arial"/>
          <w:b/>
          <w:bCs/>
          <w:sz w:val="20"/>
        </w:rPr>
      </w:pPr>
    </w:p>
    <w:p w14:paraId="3DE8ACD8" w14:textId="77777777" w:rsidR="00ED201A" w:rsidRPr="004501A5" w:rsidRDefault="00ED201A" w:rsidP="00ED201A">
      <w:pPr>
        <w:jc w:val="center"/>
        <w:rPr>
          <w:rFonts w:ascii="Ecofont_Spranq_eco_Sans" w:hAnsi="Ecofont_Spranq_eco_Sans" w:cs="Arial"/>
        </w:rPr>
      </w:pPr>
      <w:r w:rsidRPr="004501A5">
        <w:rPr>
          <w:rFonts w:ascii="Ecofont_Spranq_eco_Sans" w:hAnsi="Ecofont_Spranq_eco_Sans" w:cs="Arial"/>
          <w:b/>
          <w:bCs/>
          <w:sz w:val="20"/>
        </w:rPr>
        <w:t>SISTEMA DE REGISTRO DE PREÇOS</w:t>
      </w:r>
    </w:p>
    <w:p w14:paraId="223BC086" w14:textId="77777777" w:rsidR="00ED201A" w:rsidRPr="004501A5" w:rsidRDefault="00ED201A" w:rsidP="00ED201A">
      <w:pPr>
        <w:jc w:val="center"/>
        <w:rPr>
          <w:rFonts w:ascii="Ecofont_Spranq_eco_Sans" w:hAnsi="Ecofont_Spranq_eco_Sans" w:cs="Arial"/>
          <w:b/>
          <w:bCs/>
          <w:sz w:val="20"/>
        </w:rPr>
      </w:pPr>
      <w:r w:rsidRPr="004501A5">
        <w:rPr>
          <w:rFonts w:ascii="Ecofont_Spranq_eco_Sans" w:hAnsi="Ecofont_Spranq_eco_Sans" w:cs="Arial"/>
          <w:b/>
          <w:bCs/>
          <w:sz w:val="20"/>
        </w:rPr>
        <w:t>MODALIDADE CONCORRÊNCIA</w:t>
      </w:r>
    </w:p>
    <w:p w14:paraId="6955974A" w14:textId="215241C0" w:rsidR="00ED201A" w:rsidRPr="004501A5" w:rsidRDefault="00ED201A" w:rsidP="00ED201A">
      <w:pPr>
        <w:jc w:val="center"/>
        <w:rPr>
          <w:rFonts w:ascii="Ecofont_Spranq_eco_Sans" w:hAnsi="Ecofont_Spranq_eco_Sans" w:cs="Arial"/>
        </w:rPr>
      </w:pPr>
      <w:r w:rsidRPr="004501A5">
        <w:rPr>
          <w:rFonts w:ascii="Ecofont_Spranq_eco_Sans" w:hAnsi="Ecofont_Spranq_eco_Sans" w:cs="Arial"/>
          <w:b/>
          <w:bCs/>
          <w:sz w:val="20"/>
        </w:rPr>
        <w:t>LISTA DE VERIFICAÇÃO</w:t>
      </w:r>
      <w:r w:rsidR="00B45ED1">
        <w:rPr>
          <w:rFonts w:ascii="Ecofont_Spranq_eco_Sans" w:hAnsi="Ecofont_Spranq_eco_Sans" w:cs="Arial"/>
          <w:b/>
          <w:bCs/>
          <w:sz w:val="20"/>
        </w:rPr>
        <w:t xml:space="preserve"> – MAIO/2016</w:t>
      </w:r>
    </w:p>
    <w:p w14:paraId="1399DE15" w14:textId="77777777" w:rsidR="00ED201A" w:rsidRPr="004501A5" w:rsidRDefault="00ED201A" w:rsidP="00ED201A">
      <w:pPr>
        <w:rPr>
          <w:rFonts w:ascii="Ecofont_Spranq_eco_Sans" w:hAnsi="Ecofont_Spranq_eco_Sans" w:cs="Arial"/>
        </w:rPr>
      </w:pPr>
      <w:r w:rsidRPr="004501A5">
        <w:rPr>
          <w:rFonts w:ascii="Ecofont_Spranq_eco_Sans" w:hAnsi="Ecofont_Spranq_eco_Sans" w:cs="Arial"/>
          <w:sz w:val="20"/>
        </w:rPr>
        <w:t xml:space="preserve">São os atos administrativos e documentos previstos na Lei n° 8.666/93 e no Decreto n° </w:t>
      </w:r>
      <w:r w:rsidR="00CF1447" w:rsidRPr="004501A5">
        <w:rPr>
          <w:rFonts w:ascii="Ecofont_Spranq_eco_Sans" w:hAnsi="Ecofont_Spranq_eco_Sans" w:cs="Arial"/>
          <w:sz w:val="20"/>
        </w:rPr>
        <w:t>7.892/13</w:t>
      </w:r>
      <w:r w:rsidRPr="004501A5">
        <w:rPr>
          <w:rFonts w:ascii="Ecofont_Spranq_eco_Sans" w:hAnsi="Ecofont_Spranq_eco_Sans" w:cs="Arial"/>
          <w:sz w:val="20"/>
        </w:rPr>
        <w:t>, necessários à instrução da fase interna do procedimento licitatório para o Sistema de Registro de Preços, na modalidade concorrência:</w:t>
      </w:r>
    </w:p>
    <w:p w14:paraId="10E98A32" w14:textId="77777777" w:rsidR="00ED201A" w:rsidRPr="004501A5" w:rsidRDefault="00ED201A" w:rsidP="00ED201A">
      <w:pPr>
        <w:rPr>
          <w:rFonts w:ascii="Ecofont_Spranq_eco_Sans" w:hAnsi="Ecofont_Spranq_eco_Sans" w:cs="Arial"/>
          <w:b/>
          <w:bCs/>
          <w:sz w:val="22"/>
          <w:szCs w:val="22"/>
        </w:rPr>
      </w:pPr>
      <w:r w:rsidRPr="004501A5">
        <w:rPr>
          <w:rFonts w:ascii="Ecofont_Spranq_eco_Sans" w:hAnsi="Ecofont_Spranq_eco_Sans" w:cs="Arial"/>
          <w:b/>
          <w:bCs/>
          <w:sz w:val="20"/>
        </w:rPr>
        <w:t>Processo nº: ________________________________________________________</w:t>
      </w:r>
    </w:p>
    <w:p w14:paraId="6A676D57" w14:textId="77777777" w:rsidR="00ED201A" w:rsidRPr="004501A5" w:rsidRDefault="00ED201A" w:rsidP="00ED201A">
      <w:pPr>
        <w:rPr>
          <w:rFonts w:ascii="Ecofont_Spranq_eco_Sans" w:hAnsi="Ecofont_Spranq_eco_Sans" w:cs="Arial"/>
          <w:b/>
          <w:bCs/>
          <w:sz w:val="20"/>
        </w:rPr>
      </w:pPr>
      <w:r w:rsidRPr="004501A5">
        <w:rPr>
          <w:rFonts w:ascii="Ecofont_Spranq_eco_Sans" w:hAnsi="Ecofont_Spranq_eco_Sans" w:cs="Arial"/>
          <w:b/>
          <w:bCs/>
          <w:sz w:val="20"/>
        </w:rPr>
        <w:t>Concorrência para SRP nº:  __________________________</w:t>
      </w:r>
    </w:p>
    <w:p w14:paraId="1CDA7FE5" w14:textId="77777777" w:rsidR="00E92D0D" w:rsidRPr="004501A5" w:rsidRDefault="00E92D0D" w:rsidP="00ED201A">
      <w:pPr>
        <w:rPr>
          <w:rFonts w:ascii="Ecofont_Spranq_eco_Sans" w:hAnsi="Ecofont_Spranq_eco_Sans" w:cs="Arial"/>
          <w:b/>
          <w:bCs/>
          <w:sz w:val="20"/>
        </w:rPr>
      </w:pPr>
    </w:p>
    <w:p w14:paraId="05692D24" w14:textId="77777777" w:rsidR="00E92D0D" w:rsidRPr="004501A5" w:rsidRDefault="00E92D0D" w:rsidP="00ED201A">
      <w:pPr>
        <w:rPr>
          <w:rFonts w:ascii="Ecofont_Spranq_eco_Sans" w:hAnsi="Ecofont_Spranq_eco_Sans" w:cs="Arial"/>
          <w:b/>
          <w:bCs/>
          <w:sz w:val="22"/>
          <w:szCs w:val="22"/>
        </w:rPr>
      </w:pPr>
    </w:p>
    <w:tbl>
      <w:tblPr>
        <w:tblW w:w="9810" w:type="dxa"/>
        <w:jc w:val="righ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98"/>
        <w:gridCol w:w="514"/>
        <w:gridCol w:w="749"/>
        <w:gridCol w:w="549"/>
      </w:tblGrid>
      <w:tr w:rsidR="00ED201A" w:rsidRPr="004501A5" w14:paraId="1F3A567C" w14:textId="77777777" w:rsidTr="004A2050">
        <w:trPr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5735A" w14:textId="77777777" w:rsidR="00ED201A" w:rsidRPr="004501A5" w:rsidRDefault="00ED201A" w:rsidP="00D72B15">
            <w:pPr>
              <w:rPr>
                <w:rFonts w:ascii="Ecofont_Spranq_eco_Sans" w:hAnsi="Ecofont_Spranq_eco_Sans" w:cs="Arial"/>
              </w:rPr>
            </w:pPr>
            <w:bookmarkStart w:id="0" w:name="table04"/>
            <w:bookmarkEnd w:id="0"/>
            <w:r w:rsidRPr="004501A5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ATOS ADMINISTRATIVOS E DOCUMENTOS A SEREM VERIFICADOS </w:t>
            </w:r>
          </w:p>
        </w:tc>
        <w:tc>
          <w:tcPr>
            <w:tcW w:w="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72328" w14:textId="77777777" w:rsidR="00ED201A" w:rsidRPr="004501A5" w:rsidRDefault="00ED201A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b/>
                <w:bCs/>
                <w:sz w:val="20"/>
              </w:rPr>
              <w:t xml:space="preserve">SIM / NÃO </w:t>
            </w:r>
          </w:p>
        </w:tc>
        <w:tc>
          <w:tcPr>
            <w:tcW w:w="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C78BE" w14:textId="77777777" w:rsidR="00ED201A" w:rsidRPr="004501A5" w:rsidRDefault="00ED201A" w:rsidP="00D72B15">
            <w:pPr>
              <w:jc w:val="center"/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b/>
                <w:bCs/>
                <w:sz w:val="20"/>
              </w:rPr>
              <w:t>FOLHA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0E83E" w14:textId="77777777" w:rsidR="00ED201A" w:rsidRPr="004501A5" w:rsidRDefault="00ED201A" w:rsidP="00D72B15">
            <w:pPr>
              <w:jc w:val="center"/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b/>
                <w:bCs/>
                <w:sz w:val="20"/>
              </w:rPr>
              <w:t>OBS.</w:t>
            </w:r>
          </w:p>
        </w:tc>
      </w:tr>
      <w:tr w:rsidR="00ED201A" w:rsidRPr="004501A5" w14:paraId="5D98426C" w14:textId="77777777" w:rsidTr="004A2050">
        <w:trPr>
          <w:trHeight w:val="102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4A339" w14:textId="77777777" w:rsidR="00ED201A" w:rsidRPr="004501A5" w:rsidRDefault="00D868D0" w:rsidP="00CF1447">
            <w:pPr>
              <w:rPr>
                <w:rFonts w:ascii="Ecofont_Spranq_eco_Sans" w:hAnsi="Ecofont_Spranq_eco_Sans" w:cs="Arial"/>
              </w:rPr>
            </w:pPr>
            <w:r w:rsidRPr="00D868D0">
              <w:rPr>
                <w:rFonts w:ascii="Ecofont_Spranq_eco_Sans" w:hAnsi="Ecofont_Spranq_eco_Sans" w:cs="Arial"/>
                <w:sz w:val="20"/>
              </w:rPr>
              <w:t>1. Abertura de processo administrativo devidamente autuado, protocolado e numerado (art. 38, caput, da Lei nº 8.666/93 e Portaria Interministerial n. 1.677/2015 - DOU de 08.10.2015, Seção 1, pg.31 ou da Portaria Normativa nº 1.243, de 21.09.2006, do Ministério da Defesa)?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C682D1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958637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4A89E2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ED201A" w:rsidRPr="004501A5" w14:paraId="02AF9B2F" w14:textId="77777777" w:rsidTr="00D868D0">
        <w:trPr>
          <w:trHeight w:val="676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90BBA" w14:textId="77777777" w:rsidR="00ED201A" w:rsidRPr="004501A5" w:rsidRDefault="00ED201A" w:rsidP="00E92D0D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 xml:space="preserve">2. Consta a solicitação/requisição do objeto, elaborada pelo agente ou setor competente? </w:t>
            </w:r>
            <w:r w:rsidR="00E92D0D" w:rsidRPr="004501A5">
              <w:rPr>
                <w:rFonts w:ascii="Ecofont_Spranq_eco_Sans" w:hAnsi="Ecofont_Spranq_eco_Sans" w:cs="Arial"/>
                <w:sz w:val="20"/>
              </w:rPr>
              <w:t>Acórdão 254/2004-Segunda Câmara-TCU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83ABAB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5DBBCE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FA8AE8" w14:textId="77777777" w:rsidR="00ED201A" w:rsidRPr="004501A5" w:rsidRDefault="00ED201A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30BBB943" w14:textId="77777777" w:rsidTr="004A2050">
        <w:trPr>
          <w:trHeight w:val="867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E116B1" w14:textId="77777777" w:rsidR="004501A5" w:rsidRPr="004501A5" w:rsidRDefault="004501A5" w:rsidP="00DB3538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2.1. Há justificativa fundamentada dos quantitativos (bens/serviços) requisitados, tais como demonstrativo de consumo dos exercícios anteriores, relatórios do almoxarifado e/ou outros dados objetivos que demonstrem o dimensionamento adequado da aquisição/contratação?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305C1E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4AD73F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305863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0B687BEB" w14:textId="77777777" w:rsidTr="004A2050">
        <w:trPr>
          <w:trHeight w:val="867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02A53" w14:textId="77777777" w:rsidR="004501A5" w:rsidRDefault="004501A5" w:rsidP="00DB3538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2.2. Há manifestação sobre práticas e/ou critérios de sustentabilidade economicamente viáveis adotados no procedimento licitatório (TCU, Ac. 2.380/2012-2ª Câmara)?</w:t>
            </w:r>
          </w:p>
          <w:p w14:paraId="2CBF1D60" w14:textId="2D847D4F" w:rsidR="00B45A10" w:rsidRPr="004501A5" w:rsidRDefault="00B45A10" w:rsidP="00DB3538">
            <w:pPr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 xml:space="preserve">Link: </w:t>
            </w:r>
            <w:hyperlink r:id="rId5" w:tooltip="Instruções sobre sustentabilidade em licitações" w:history="1">
              <w:r w:rsidRPr="00516220">
                <w:rPr>
                  <w:rStyle w:val="Hyperlink"/>
                  <w:rFonts w:ascii="Ecofont_Spranq_eco_Sans" w:hAnsi="Ecofont_Spranq_eco_Sans" w:cs="Arial"/>
                  <w:sz w:val="20"/>
                </w:rPr>
                <w:t>Guia Nacional de Licitações Sustentáveis</w:t>
              </w:r>
            </w:hyperlink>
            <w:bookmarkStart w:id="1" w:name="_GoBack"/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6C424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2F71DE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034DB" w14:textId="77777777" w:rsidR="004501A5" w:rsidRPr="004501A5" w:rsidRDefault="004501A5" w:rsidP="00DB3538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0BEFAAC3" w14:textId="77777777" w:rsidTr="00B51299">
        <w:trPr>
          <w:trHeight w:val="78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6AF5A" w14:textId="77777777" w:rsidR="004501A5" w:rsidRPr="004501A5" w:rsidRDefault="004501A5" w:rsidP="00D72B15">
            <w:pPr>
              <w:spacing w:before="240"/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3. A autoridade competente justificou a necessidade da contratação (art. 2º</w:t>
            </w:r>
            <w:r w:rsidRPr="004501A5">
              <w:rPr>
                <w:rFonts w:ascii="Ecofont_Spranq_eco_Sans" w:hAnsi="Ecofont_Spranq_eco_Sans" w:cs="Arial"/>
                <w:i/>
                <w:iCs/>
                <w:sz w:val="20"/>
              </w:rPr>
              <w:t>, caput</w:t>
            </w:r>
            <w:r w:rsidRPr="004501A5">
              <w:rPr>
                <w:rFonts w:ascii="Ecofont_Spranq_eco_Sans" w:hAnsi="Ecofont_Spranq_eco_Sans" w:cs="Arial"/>
                <w:sz w:val="20"/>
              </w:rPr>
              <w:t>, e parágrafo único, VII, da Lei nº 9.784/99)?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1E662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043D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AF08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164F36D1" w14:textId="77777777" w:rsidTr="00B51299">
        <w:trPr>
          <w:trHeight w:val="792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76C134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 xml:space="preserve">4. Consta a autorização da autoridade competente para a abertura da licitação (art. 38, </w:t>
            </w:r>
            <w:r w:rsidRPr="004501A5">
              <w:rPr>
                <w:rFonts w:ascii="Ecofont_Spranq_eco_Sans" w:hAnsi="Ecofont_Spranq_eco_Sans" w:cs="Arial"/>
                <w:i/>
                <w:iCs/>
                <w:sz w:val="20"/>
              </w:rPr>
              <w:t>caput</w:t>
            </w:r>
            <w:r w:rsidRPr="004501A5">
              <w:rPr>
                <w:rFonts w:ascii="Ecofont_Spranq_eco_Sans" w:hAnsi="Ecofont_Spranq_eco_Sans" w:cs="Arial"/>
                <w:sz w:val="20"/>
              </w:rPr>
              <w:t>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DE8A82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7473E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8FDE47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51703BEC" w14:textId="77777777" w:rsidTr="00B51299">
        <w:trPr>
          <w:trHeight w:val="791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F6AE6A" w14:textId="77777777" w:rsidR="004501A5" w:rsidRPr="004501A5" w:rsidRDefault="004501A5" w:rsidP="006A300C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5. Há justificativa acerca da não utilização da modalidade licitatória pregão (art. 4º  do decreto nº 5.450/05)?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8E0514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65B1B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0D24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16845CC8" w14:textId="77777777" w:rsidTr="00B51299">
        <w:trPr>
          <w:trHeight w:val="1058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79ACF" w14:textId="77777777" w:rsidR="004501A5" w:rsidRPr="004501A5" w:rsidRDefault="004501A5" w:rsidP="00834F8B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 xml:space="preserve">6. A Administração realizou o procedimento de Intenção de Registro de Preços – IRP, visando o registro e a divulgação dos itens a serem licitados (art. 4º e 5º, I, do decreto nº 7.892/13)?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BADB60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EEC75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4224A3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5B768BD0" w14:textId="77777777" w:rsidTr="00B51299">
        <w:trPr>
          <w:trHeight w:val="946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E816C8" w14:textId="77777777" w:rsidR="004501A5" w:rsidRPr="004501A5" w:rsidRDefault="004501A5" w:rsidP="004501A5">
            <w:pPr>
              <w:rPr>
                <w:rFonts w:ascii="Ecofont_Spranq_eco_Sans" w:hAnsi="Ecofont_Spranq_eco_Sans" w:cs="Arial"/>
                <w:sz w:val="22"/>
                <w:szCs w:val="22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6.1 No caso de dispensa da divulgação da Intenção de Registro de Preços – IRP, há justificativa suficiente (art. 4º, §1º, do Decreto nº 7.892/13)?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BEE45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4B278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8A09E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418E569C" w14:textId="77777777" w:rsidTr="00B51299">
        <w:trPr>
          <w:trHeight w:val="932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E902A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lastRenderedPageBreak/>
              <w:t xml:space="preserve">7. No caso de compras, há documento contendo as especificações e a quantidade estimada do bem, observadas as demais diretrizes do art. 15 da Lei 8.666/93?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D80C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527DA7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B5951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0597D9D9" w14:textId="77777777" w:rsidTr="004A2050">
        <w:trPr>
          <w:trHeight w:val="405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D84E1" w14:textId="77777777" w:rsidR="004501A5" w:rsidRPr="004501A5" w:rsidRDefault="004501A5" w:rsidP="00D72B15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8. Sendo o objeto a prestação de serviço, existe estudo técnico preliminar para subsidiar a elaboração do projeto básico (art. 6.º, IX, Lei 8.666/93)?</w:t>
            </w:r>
          </w:p>
          <w:p w14:paraId="11FF55ED" w14:textId="77777777" w:rsidR="004501A5" w:rsidRPr="004501A5" w:rsidRDefault="004501A5" w:rsidP="00D72B15">
            <w:pPr>
              <w:rPr>
                <w:rFonts w:ascii="Ecofont_Spranq_eco_Sans" w:hAnsi="Ecofont_Spranq_eco_Sans" w:cs="Arial"/>
                <w:sz w:val="20"/>
              </w:rPr>
            </w:pPr>
            <w:proofErr w:type="gramStart"/>
            <w:r w:rsidRPr="004501A5">
              <w:rPr>
                <w:rFonts w:ascii="Ecofont_Spranq_eco_Sans" w:hAnsi="Ecofont_Spranq_eco_Sans" w:cs="Arial"/>
                <w:sz w:val="20"/>
              </w:rPr>
              <w:t>8.1 Há</w:t>
            </w:r>
            <w:proofErr w:type="gramEnd"/>
            <w:r w:rsidRPr="004501A5">
              <w:rPr>
                <w:rFonts w:ascii="Ecofont_Spranq_eco_Sans" w:hAnsi="Ecofont_Spranq_eco_Sans" w:cs="Arial"/>
                <w:sz w:val="20"/>
              </w:rPr>
              <w:t xml:space="preserve"> projeto básico (arts. 6º, IX e 7º, §2º, I,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22B1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F9F9E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EB3688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797E6F94" w14:textId="77777777" w:rsidTr="00B51299">
        <w:trPr>
          <w:trHeight w:val="1382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D1687" w14:textId="77777777" w:rsidR="004501A5" w:rsidRPr="004501A5" w:rsidRDefault="004501A5" w:rsidP="00B51299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9. No caso de existir órgãos participantes, a Administração consolidou as informações relativas à estimativa individual e total de consumo, promovendo a adequação dos respectivos projetos básicos encaminhados para atender aos requisitos de padronização e racionalização (art. 5º, II, do Decreto nº 7.892/13)?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5F177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3374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1BBF16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11E3C361" w14:textId="77777777" w:rsidTr="00B51299">
        <w:trPr>
          <w:trHeight w:val="92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B70A3" w14:textId="77777777" w:rsidR="004501A5" w:rsidRPr="004501A5" w:rsidRDefault="004501A5" w:rsidP="00B51299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9.1 A Administração confirmou junto aos órgãos participantes a sua concordância com o objeto a ser licitado, inclusive quanto aos quantitativos e projeto básico (art. 5º, IV, do Decreto nº 7.892/13)?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6CD809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89B4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AB522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7DF82086" w14:textId="77777777" w:rsidTr="00B51299">
        <w:trPr>
          <w:trHeight w:val="792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CB149C" w14:textId="77777777" w:rsidR="004501A5" w:rsidRPr="004501A5" w:rsidRDefault="004501A5" w:rsidP="004812CF">
            <w:pPr>
              <w:rPr>
                <w:rFonts w:ascii="Ecofont_Spranq_eco_Sans" w:hAnsi="Ecofont_Spranq_eco_Sans" w:cs="Arial"/>
                <w:sz w:val="20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10. Consta a aprovação motivada do projeto básico pela autoridade competente (art. 7º, § 2º, I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E2A39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B193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4589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7FFED323" w14:textId="77777777" w:rsidTr="004A2050">
        <w:trPr>
          <w:trHeight w:val="1058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4BC4D" w14:textId="77777777" w:rsidR="004501A5" w:rsidRPr="004501A5" w:rsidRDefault="004501A5" w:rsidP="00AE24B9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11. Foi realizada ampla pesquisa de preços praticados pelo mercado do ramo do objeto da licitação (art. 5º, IV, do Decreto nº 7.892/13, e arts. 15, §1° e 43, IV da Lei nº 8.666/93 e IN/SLTI 05/2014)?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B8A71E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01F3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EB2BDE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24536FC9" w14:textId="77777777" w:rsidTr="00D868D0">
        <w:trPr>
          <w:trHeight w:val="774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F6F0B4" w14:textId="77777777" w:rsidR="004501A5" w:rsidRPr="004501A5" w:rsidRDefault="004501A5" w:rsidP="004501A5">
            <w:pPr>
              <w:rPr>
                <w:rFonts w:ascii="Ecofont_Spranq_eco_Sans" w:hAnsi="Ecofont_Spranq_eco_Sans" w:cs="Arial"/>
                <w:sz w:val="20"/>
                <w:szCs w:val="20"/>
              </w:rPr>
            </w:pPr>
            <w:r w:rsidRPr="004501A5">
              <w:rPr>
                <w:rFonts w:ascii="Ecofont_Spranq_eco_Sans" w:hAnsi="Ecofont_Spranq_eco_Sans" w:cs="Arial"/>
                <w:sz w:val="20"/>
                <w:szCs w:val="20"/>
              </w:rPr>
              <w:t>11.2 Quando da utilização de método de pesquisa diverso do disposto no §2º do art. 2º da IN/SLTI 05/2015, foi tal situação justificada? (art. 2º, § 3º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7D277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10197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86B827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2B98B79A" w14:textId="77777777" w:rsidTr="00D868D0">
        <w:trPr>
          <w:trHeight w:val="69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F42DAA" w14:textId="77777777" w:rsidR="004501A5" w:rsidRPr="004501A5" w:rsidRDefault="004501A5" w:rsidP="00D868D0">
            <w:pPr>
              <w:rPr>
                <w:rFonts w:ascii="Ecofont_Spranq_eco_Sans" w:hAnsi="Ecofont_Spranq_eco_Sans" w:cs="Arial"/>
                <w:sz w:val="20"/>
                <w:szCs w:val="20"/>
                <w:vertAlign w:val="subscript"/>
              </w:rPr>
            </w:pPr>
            <w:proofErr w:type="gramStart"/>
            <w:r w:rsidRPr="004501A5">
              <w:rPr>
                <w:rFonts w:ascii="Ecofont_Spranq_eco_Sans" w:hAnsi="Ecofont_Spranq_eco_Sans" w:cs="Arial"/>
                <w:sz w:val="20"/>
                <w:szCs w:val="20"/>
              </w:rPr>
              <w:t>11.3 No</w:t>
            </w:r>
            <w:proofErr w:type="gramEnd"/>
            <w:r w:rsidRPr="004501A5">
              <w:rPr>
                <w:rFonts w:ascii="Ecofont_Spranq_eco_Sans" w:hAnsi="Ecofont_Spranq_eco_Sans" w:cs="Arial"/>
                <w:sz w:val="20"/>
                <w:szCs w:val="20"/>
              </w:rPr>
              <w:t xml:space="preserve"> caso de pesquisa com menos de </w:t>
            </w:r>
            <w:r w:rsidR="00D868D0">
              <w:rPr>
                <w:rFonts w:ascii="Ecofont_Spranq_eco_Sans" w:hAnsi="Ecofont_Spranq_eco_Sans" w:cs="Arial"/>
                <w:sz w:val="20"/>
                <w:szCs w:val="20"/>
              </w:rPr>
              <w:t>três</w:t>
            </w:r>
            <w:r w:rsidRPr="004501A5">
              <w:rPr>
                <w:rFonts w:ascii="Ecofont_Spranq_eco_Sans" w:hAnsi="Ecofont_Spranq_eco_Sans" w:cs="Arial"/>
                <w:sz w:val="20"/>
                <w:szCs w:val="20"/>
              </w:rPr>
              <w:t xml:space="preserve"> preços/fornecedores, foi apresentada justificativa? (art. 2º, § 5º da IN/SLTI 05/2014)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889CB6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F0D6A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68552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55E31B82" w14:textId="77777777" w:rsidTr="00B51299">
        <w:trPr>
          <w:trHeight w:val="124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C86C62" w14:textId="77777777" w:rsidR="004501A5" w:rsidRPr="004501A5" w:rsidRDefault="004501A5" w:rsidP="004501A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 xml:space="preserve">12. Em face do valor estimado do objeto, a participação na licitação é exclusiva para Microempresas, Empresas de Pequeno Porte e Sociedades Cooperativas (art. 48, I, da LC nº 123/06, art. 6º do Decreto nº 8.538, de 2015, e art. 34 da Lei nº 11.488/07)?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2B27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B61272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EE5942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4BCA391B" w14:textId="77777777" w:rsidTr="004A2050">
        <w:trPr>
          <w:trHeight w:val="735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A31E9A" w14:textId="77777777" w:rsidR="004501A5" w:rsidRPr="004501A5" w:rsidRDefault="004501A5" w:rsidP="004501A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12.1 Incide uma das exceções previstas no art. 10 do Decreto nº 8.538, de 2015, devidamente justificada, a afastar a exclusividade?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D99B4B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73934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A5921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D868D0" w:rsidRPr="004501A5" w14:paraId="43BD8E53" w14:textId="77777777" w:rsidTr="004A2050">
        <w:trPr>
          <w:trHeight w:val="735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FD8CDD" w14:textId="77777777" w:rsidR="00D868D0" w:rsidRPr="004501A5" w:rsidRDefault="00D868D0" w:rsidP="00D868D0">
            <w:pPr>
              <w:rPr>
                <w:rFonts w:ascii="Ecofont_Spranq_eco_Sans" w:hAnsi="Ecofont_Spranq_eco_Sans" w:cs="Arial"/>
                <w:sz w:val="20"/>
              </w:rPr>
            </w:pPr>
            <w:r>
              <w:rPr>
                <w:rFonts w:ascii="Ecofont_Spranq_eco_Sans" w:hAnsi="Ecofont_Spranq_eco_Sans" w:cs="Arial"/>
                <w:sz w:val="20"/>
              </w:rPr>
              <w:t>12.2.</w:t>
            </w:r>
            <w:r w:rsidRPr="00D868D0">
              <w:rPr>
                <w:rFonts w:ascii="Ecofont_Spranq_eco_Sans" w:hAnsi="Ecofont_Spranq_eco_Sans" w:cs="Arial"/>
                <w:sz w:val="20"/>
              </w:rPr>
              <w:t xml:space="preserve"> Foram observados os dispositivos legais que dispõem sobre a margem de preferência? (Decretos nºs 7546/ 2011 e 8538/2015)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11BBC6" w14:textId="77777777" w:rsidR="00D868D0" w:rsidRPr="004501A5" w:rsidRDefault="00D868D0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5D6B54" w14:textId="77777777" w:rsidR="00D868D0" w:rsidRPr="004501A5" w:rsidRDefault="00D868D0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EB4B89" w14:textId="77777777" w:rsidR="00D868D0" w:rsidRPr="004501A5" w:rsidRDefault="00D868D0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1A6C7042" w14:textId="77777777" w:rsidTr="00B51299">
        <w:trPr>
          <w:trHeight w:val="83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9F1E6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14. Consta a designação da Comissão de Licitação (art. 38, III, da Lei nº 8.666/93)?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1E609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32CD2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5EC05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585551EC" w14:textId="77777777" w:rsidTr="004A2050">
        <w:trPr>
          <w:tblCellSpacing w:w="0" w:type="dxa"/>
          <w:jc w:val="right"/>
        </w:trPr>
        <w:tc>
          <w:tcPr>
            <w:tcW w:w="79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1B51CB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15. Há minuta de edital e anexos (art. 40 da Lei nº 8.666/93)?</w:t>
            </w:r>
          </w:p>
          <w:p w14:paraId="2C1DACF8" w14:textId="77777777" w:rsidR="004501A5" w:rsidRPr="004501A5" w:rsidRDefault="004501A5" w:rsidP="00D72B15">
            <w:pPr>
              <w:rPr>
                <w:rFonts w:ascii="Ecofont_Spranq_eco_Sans" w:hAnsi="Ecofont_Spranq_eco_Sans" w:cs="Arial"/>
                <w:sz w:val="20"/>
              </w:rPr>
            </w:pPr>
            <w:proofErr w:type="gramStart"/>
            <w:r w:rsidRPr="004501A5">
              <w:rPr>
                <w:rFonts w:ascii="Ecofont_Spranq_eco_Sans" w:hAnsi="Ecofont_Spranq_eco_Sans" w:cs="Arial"/>
                <w:sz w:val="20"/>
              </w:rPr>
              <w:t>15.1 Constituem</w:t>
            </w:r>
            <w:proofErr w:type="gramEnd"/>
            <w:r w:rsidRPr="004501A5">
              <w:rPr>
                <w:rFonts w:ascii="Ecofont_Spranq_eco_Sans" w:hAnsi="Ecofont_Spranq_eco_Sans" w:cs="Arial"/>
                <w:sz w:val="20"/>
              </w:rPr>
              <w:t xml:space="preserve"> anexos do edital:</w:t>
            </w:r>
          </w:p>
          <w:p w14:paraId="09815FDE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(a) projeto básico, se for o caso;</w:t>
            </w:r>
          </w:p>
          <w:p w14:paraId="43477CD9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(b) ata de registro de preços;</w:t>
            </w:r>
          </w:p>
          <w:p w14:paraId="288D6953" w14:textId="77777777" w:rsidR="004501A5" w:rsidRPr="004501A5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(c) termo de contrato, se for o caso.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0E5C7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  <w:p w14:paraId="45FED7E4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D0D4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E4747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436BED38" w14:textId="77777777" w:rsidTr="004A2050">
        <w:trPr>
          <w:trHeight w:val="484"/>
          <w:tblCellSpacing w:w="0" w:type="dxa"/>
          <w:jc w:val="right"/>
        </w:trPr>
        <w:tc>
          <w:tcPr>
            <w:tcW w:w="79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4B043" w14:textId="77777777" w:rsidR="004501A5" w:rsidRPr="004501A5" w:rsidRDefault="004501A5" w:rsidP="00D72B15">
            <w:pPr>
              <w:rPr>
                <w:rFonts w:ascii="Ecofont_Spranq_eco_Sans" w:hAnsi="Ecofont_Spranq_eco_Sans" w:cs="Arial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5AD8E6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FD23B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712A2D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4E8695AD" w14:textId="77777777" w:rsidTr="00B51299">
        <w:trPr>
          <w:trHeight w:val="902"/>
          <w:tblCellSpacing w:w="0" w:type="dxa"/>
          <w:jc w:val="right"/>
        </w:trPr>
        <w:tc>
          <w:tcPr>
            <w:tcW w:w="799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785443" w14:textId="77777777" w:rsidR="004501A5" w:rsidRPr="004501A5" w:rsidRDefault="004501A5" w:rsidP="00D72B15">
            <w:pPr>
              <w:rPr>
                <w:rFonts w:ascii="Ecofont_Spranq_eco_Sans" w:hAnsi="Ecofont_Spranq_eco_Sans" w:cs="Arial"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55CCB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5920A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06F9D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</w:p>
        </w:tc>
      </w:tr>
      <w:tr w:rsidR="004501A5" w:rsidRPr="004501A5" w14:paraId="19F1D656" w14:textId="77777777" w:rsidTr="004A2050">
        <w:trPr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1C28FE2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6BAB8CD0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2F45F58F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8A54"/>
          </w:tcPr>
          <w:p w14:paraId="29EA3B4E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4501A5" w14:paraId="5D33282B" w14:textId="77777777" w:rsidTr="00B51299">
        <w:trPr>
          <w:trHeight w:val="892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B86127" w14:textId="77777777" w:rsidR="004501A5" w:rsidRPr="004501A5" w:rsidRDefault="004501A5" w:rsidP="00D72B15">
            <w:pPr>
              <w:spacing w:before="240"/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16. Análise e aprovação da minuta de edital e seus anexos pela assessoria jurídica (art. 38, parágrafo único,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74130C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0B9331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AA4DB" w14:textId="77777777" w:rsidR="004501A5" w:rsidRPr="004501A5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4501A5">
              <w:rPr>
                <w:rFonts w:ascii="Ecofont_Spranq_eco_Sans" w:hAnsi="Ecofont_Spranq_eco_Sans"/>
              </w:rPr>
              <w:t> </w:t>
            </w:r>
          </w:p>
        </w:tc>
      </w:tr>
      <w:tr w:rsidR="004501A5" w:rsidRPr="00537772" w14:paraId="19DB8971" w14:textId="77777777" w:rsidTr="004A2050">
        <w:trPr>
          <w:trHeight w:val="510"/>
          <w:tblCellSpacing w:w="0" w:type="dxa"/>
          <w:jc w:val="right"/>
        </w:trPr>
        <w:tc>
          <w:tcPr>
            <w:tcW w:w="79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98E5D2" w14:textId="77777777" w:rsidR="004501A5" w:rsidRPr="00537772" w:rsidRDefault="004501A5" w:rsidP="00D72B15">
            <w:pPr>
              <w:rPr>
                <w:rFonts w:ascii="Ecofont_Spranq_eco_Sans" w:hAnsi="Ecofont_Spranq_eco_Sans" w:cs="Arial"/>
              </w:rPr>
            </w:pPr>
            <w:r w:rsidRPr="004501A5">
              <w:rPr>
                <w:rFonts w:ascii="Ecofont_Spranq_eco_Sans" w:hAnsi="Ecofont_Spranq_eco_Sans" w:cs="Arial"/>
                <w:sz w:val="20"/>
              </w:rPr>
              <w:t>17. Publicação do aviso de edital (art. 21 da Lei nº 8.666/93).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567DB" w14:textId="77777777" w:rsidR="004501A5" w:rsidRPr="00537772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537772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5E09BC" w14:textId="77777777" w:rsidR="004501A5" w:rsidRPr="00537772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537772">
              <w:rPr>
                <w:rFonts w:ascii="Ecofont_Spranq_eco_Sans" w:hAnsi="Ecofont_Spranq_eco_San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A84E94" w14:textId="77777777" w:rsidR="004501A5" w:rsidRPr="00537772" w:rsidRDefault="004501A5" w:rsidP="00D72B15">
            <w:pPr>
              <w:spacing w:before="0"/>
              <w:jc w:val="left"/>
              <w:rPr>
                <w:rFonts w:ascii="Ecofont_Spranq_eco_Sans" w:hAnsi="Ecofont_Spranq_eco_Sans"/>
              </w:rPr>
            </w:pPr>
            <w:r w:rsidRPr="00537772">
              <w:rPr>
                <w:rFonts w:ascii="Ecofont_Spranq_eco_Sans" w:hAnsi="Ecofont_Spranq_eco_Sans"/>
              </w:rPr>
              <w:t> </w:t>
            </w:r>
          </w:p>
        </w:tc>
      </w:tr>
    </w:tbl>
    <w:p w14:paraId="16346954" w14:textId="77777777" w:rsidR="00ED201A" w:rsidRPr="00537772" w:rsidRDefault="00ED201A" w:rsidP="00ED201A">
      <w:pPr>
        <w:spacing w:before="0"/>
        <w:jc w:val="left"/>
        <w:rPr>
          <w:rFonts w:ascii="Ecofont_Spranq_eco_Sans" w:hAnsi="Ecofont_Spranq_eco_Sans"/>
        </w:rPr>
      </w:pPr>
      <w:r w:rsidRPr="00537772">
        <w:rPr>
          <w:rFonts w:ascii="Ecofont_Spranq_eco_Sans" w:hAnsi="Ecofont_Spranq_eco_Sans"/>
        </w:rPr>
        <w:t> </w:t>
      </w:r>
    </w:p>
    <w:p w14:paraId="73B9749C" w14:textId="77777777" w:rsidR="00ED201A" w:rsidRPr="00537772" w:rsidRDefault="00ED201A" w:rsidP="00ED201A">
      <w:pPr>
        <w:spacing w:before="0"/>
        <w:jc w:val="left"/>
        <w:rPr>
          <w:rFonts w:ascii="Ecofont_Spranq_eco_Sans" w:hAnsi="Ecofont_Spranq_eco_Sans"/>
        </w:rPr>
      </w:pPr>
    </w:p>
    <w:p w14:paraId="2CBB6E3F" w14:textId="77777777" w:rsidR="00ED201A" w:rsidRPr="00537772" w:rsidRDefault="00ED201A" w:rsidP="00ED201A">
      <w:pPr>
        <w:spacing w:before="0"/>
        <w:jc w:val="left"/>
        <w:rPr>
          <w:rFonts w:ascii="Ecofont_Spranq_eco_Sans" w:hAnsi="Ecofont_Spranq_eco_Sans"/>
        </w:rPr>
      </w:pPr>
    </w:p>
    <w:p w14:paraId="2D813E2E" w14:textId="77777777" w:rsidR="008D6217" w:rsidRPr="00537772" w:rsidRDefault="008D6217" w:rsidP="00ED201A">
      <w:pPr>
        <w:rPr>
          <w:rFonts w:ascii="Ecofont_Spranq_eco_Sans" w:hAnsi="Ecofont_Spranq_eco_Sans"/>
        </w:rPr>
      </w:pPr>
    </w:p>
    <w:sectPr w:rsidR="008D6217" w:rsidRPr="00537772" w:rsidSect="00E92D0D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cofont_Spranq_eco_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1CB2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201A"/>
    <w:rsid w:val="00210DB0"/>
    <w:rsid w:val="004501A5"/>
    <w:rsid w:val="004812CF"/>
    <w:rsid w:val="004A2050"/>
    <w:rsid w:val="00537772"/>
    <w:rsid w:val="006A300C"/>
    <w:rsid w:val="00827795"/>
    <w:rsid w:val="00834F8B"/>
    <w:rsid w:val="008D1424"/>
    <w:rsid w:val="008D6217"/>
    <w:rsid w:val="0096310E"/>
    <w:rsid w:val="00AD258E"/>
    <w:rsid w:val="00AE24B9"/>
    <w:rsid w:val="00B45A10"/>
    <w:rsid w:val="00B45ED1"/>
    <w:rsid w:val="00B51299"/>
    <w:rsid w:val="00B64958"/>
    <w:rsid w:val="00BF2913"/>
    <w:rsid w:val="00C62ED1"/>
    <w:rsid w:val="00CB5252"/>
    <w:rsid w:val="00CF1447"/>
    <w:rsid w:val="00D72B15"/>
    <w:rsid w:val="00D8232C"/>
    <w:rsid w:val="00D868D0"/>
    <w:rsid w:val="00DB3538"/>
    <w:rsid w:val="00E92D0D"/>
    <w:rsid w:val="00E95316"/>
    <w:rsid w:val="00ED201A"/>
    <w:rsid w:val="00F9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0A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01A"/>
    <w:pPr>
      <w:spacing w:before="120"/>
      <w:jc w:val="both"/>
    </w:pPr>
    <w:rPr>
      <w:rFonts w:ascii="Arial" w:eastAsia="Times New Roman" w:hAnsi="Arial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5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gu.gov.br/page/content/detail/id_conteudo/19183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Manoel Paz e Silva Filho</cp:lastModifiedBy>
  <cp:revision>4</cp:revision>
  <dcterms:created xsi:type="dcterms:W3CDTF">2016-05-06T19:41:00Z</dcterms:created>
  <dcterms:modified xsi:type="dcterms:W3CDTF">2016-05-10T18:35:00Z</dcterms:modified>
</cp:coreProperties>
</file>