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FAFD4" w14:textId="77777777" w:rsidR="007E7293" w:rsidRPr="00812013" w:rsidRDefault="00812013">
      <w:pPr>
        <w:jc w:val="center"/>
        <w:rPr>
          <w:rFonts w:ascii="Ecofont_Spranq_eco_Sans" w:hAnsi="Ecofont_Spranq_eco_Sans" w:cs="Arial"/>
          <w:b/>
          <w:bCs/>
          <w:sz w:val="20"/>
        </w:rPr>
      </w:pPr>
      <w:r w:rsidRPr="00812013">
        <w:rPr>
          <w:rFonts w:ascii="Ecofont_Spranq_eco_Sans" w:hAnsi="Ecofont_Spranq_eco_Sans" w:cs="Arial"/>
          <w:b/>
          <w:bCs/>
          <w:sz w:val="20"/>
        </w:rPr>
        <w:t>CONTRATAÇÕES DE SOLUÇÕES DE TECNOLOGIA DA INFORMAÇÃO</w:t>
      </w:r>
    </w:p>
    <w:p w14:paraId="43D921BF" w14:textId="77777777" w:rsidR="007E7293" w:rsidRPr="00812013" w:rsidRDefault="00812013">
      <w:pPr>
        <w:jc w:val="center"/>
        <w:rPr>
          <w:rFonts w:ascii="Ecofont_Spranq_eco_Sans" w:hAnsi="Ecofont_Spranq_eco_Sans" w:cs="Arial"/>
          <w:b/>
          <w:bCs/>
          <w:sz w:val="20"/>
        </w:rPr>
      </w:pPr>
      <w:r w:rsidRPr="00812013">
        <w:rPr>
          <w:rFonts w:ascii="Ecofont_Spranq_eco_Sans" w:hAnsi="Ecofont_Spranq_eco_Sans" w:cs="Arial"/>
          <w:b/>
          <w:bCs/>
          <w:sz w:val="20"/>
        </w:rPr>
        <w:t>PREGÃO ELETRÔNICO</w:t>
      </w:r>
    </w:p>
    <w:p w14:paraId="7BF07789" w14:textId="2BB2B5A1" w:rsidR="007E7293" w:rsidRPr="00812013" w:rsidRDefault="00812013">
      <w:pPr>
        <w:jc w:val="center"/>
        <w:rPr>
          <w:rFonts w:ascii="Ecofont_Spranq_eco_Sans" w:hAnsi="Ecofont_Spranq_eco_Sans" w:cs="Arial"/>
          <w:b/>
          <w:bCs/>
          <w:sz w:val="20"/>
        </w:rPr>
      </w:pPr>
      <w:r w:rsidRPr="00812013">
        <w:rPr>
          <w:rFonts w:ascii="Ecofont_Spranq_eco_Sans" w:hAnsi="Ecofont_Spranq_eco_Sans" w:cs="Arial"/>
          <w:b/>
          <w:bCs/>
          <w:sz w:val="20"/>
        </w:rPr>
        <w:t>LISTA DE VERIFICAÇÃO</w:t>
      </w:r>
      <w:r w:rsidR="00684A66">
        <w:rPr>
          <w:rFonts w:ascii="Ecofont_Spranq_eco_Sans" w:hAnsi="Ecofont_Spranq_eco_Sans" w:cs="Arial"/>
          <w:b/>
          <w:bCs/>
          <w:sz w:val="20"/>
        </w:rPr>
        <w:t xml:space="preserve"> – MAIO/2016</w:t>
      </w:r>
      <w:bookmarkStart w:id="0" w:name="_GoBack"/>
      <w:bookmarkEnd w:id="0"/>
    </w:p>
    <w:p w14:paraId="5326AE84" w14:textId="77777777" w:rsidR="007E7293" w:rsidRPr="00812013" w:rsidRDefault="00812013">
      <w:pPr>
        <w:rPr>
          <w:rFonts w:ascii="Ecofont_Spranq_eco_Sans" w:hAnsi="Ecofont_Spranq_eco_Sans" w:cs="Arial"/>
          <w:sz w:val="20"/>
        </w:rPr>
      </w:pPr>
      <w:r w:rsidRPr="00812013">
        <w:rPr>
          <w:rFonts w:ascii="Ecofont_Spranq_eco_Sans" w:hAnsi="Ecofont_Spranq_eco_Sans" w:cs="Arial"/>
          <w:sz w:val="20"/>
        </w:rPr>
        <w:t>São os atos administrativos e documentos previstos na Lei nº 10.520/02 e no regulamento do pregão eletrônico (Decreto nº 5.450/05), conjugados com as regras da Lei nº 8.666/93, de aplicação subsidiária.</w:t>
      </w:r>
    </w:p>
    <w:p w14:paraId="0E01DF97" w14:textId="77777777" w:rsidR="007E7293" w:rsidRPr="00812013" w:rsidRDefault="00812013">
      <w:r w:rsidRPr="00812013">
        <w:rPr>
          <w:rStyle w:val="Fontepargpadro"/>
          <w:rFonts w:ascii="Ecofont_Spranq_eco_Sans" w:hAnsi="Ecofont_Spranq_eco_Sans" w:cs="Arial"/>
          <w:sz w:val="20"/>
        </w:rPr>
        <w:t>Está adequado especificamente para as aquisições ou contratações de serviços na área de Tecnologia da Informação, nos termos da Instrução Normativa/SLTI/MPOG n° 04/2014.</w:t>
      </w:r>
    </w:p>
    <w:p w14:paraId="78EB4AF7" w14:textId="77777777" w:rsidR="007E7293" w:rsidRPr="00812013" w:rsidRDefault="00812013">
      <w:pPr>
        <w:rPr>
          <w:rFonts w:ascii="Ecofont_Spranq_eco_Sans" w:hAnsi="Ecofont_Spranq_eco_Sans" w:cs="Arial"/>
          <w:b/>
          <w:bCs/>
          <w:sz w:val="20"/>
        </w:rPr>
      </w:pPr>
      <w:r w:rsidRPr="00812013">
        <w:rPr>
          <w:rFonts w:ascii="Ecofont_Spranq_eco_Sans" w:hAnsi="Ecofont_Spranq_eco_Sans" w:cs="Arial"/>
          <w:b/>
          <w:bCs/>
          <w:sz w:val="20"/>
        </w:rPr>
        <w:t>Processo nº: _______________________________________________</w:t>
      </w:r>
    </w:p>
    <w:p w14:paraId="75A7DEE3" w14:textId="77777777" w:rsidR="007E7293" w:rsidRPr="00812013" w:rsidRDefault="00812013">
      <w:pPr>
        <w:rPr>
          <w:rFonts w:ascii="Ecofont_Spranq_eco_Sans" w:hAnsi="Ecofont_Spranq_eco_Sans" w:cs="Arial"/>
          <w:b/>
          <w:bCs/>
          <w:sz w:val="20"/>
        </w:rPr>
      </w:pPr>
      <w:r w:rsidRPr="00812013">
        <w:rPr>
          <w:rFonts w:ascii="Ecofont_Spranq_eco_Sans" w:hAnsi="Ecofont_Spranq_eco_Sans" w:cs="Arial"/>
          <w:b/>
          <w:bCs/>
          <w:sz w:val="20"/>
        </w:rPr>
        <w:t>Pregão Eletrônico nº________________________________________</w:t>
      </w:r>
    </w:p>
    <w:tbl>
      <w:tblPr>
        <w:tblW w:w="9714" w:type="dxa"/>
        <w:jc w:val="right"/>
        <w:tblBorders>
          <w:top w:val="double" w:sz="6" w:space="0" w:color="C0C0C0"/>
          <w:left w:val="double" w:sz="6" w:space="0" w:color="C0C0C0"/>
          <w:bottom w:val="double" w:sz="6" w:space="0" w:color="C0C0C0"/>
          <w:insideH w:val="double" w:sz="6" w:space="0" w:color="C0C0C0"/>
        </w:tblBorders>
        <w:tblCellMar>
          <w:top w:w="15" w:type="dxa"/>
          <w:left w:w="-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3"/>
        <w:gridCol w:w="908"/>
        <w:gridCol w:w="909"/>
        <w:gridCol w:w="924"/>
      </w:tblGrid>
      <w:tr w:rsidR="007E7293" w:rsidRPr="00812013" w14:paraId="0279EDA3" w14:textId="77777777">
        <w:trPr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41E9FBA" w14:textId="77777777" w:rsidR="007E7293" w:rsidRPr="00812013" w:rsidRDefault="00812013">
            <w:pPr>
              <w:rPr>
                <w:rFonts w:ascii="Ecofont_Spranq_eco_Sans" w:hAnsi="Ecofont_Spranq_eco_Sans" w:cs="Arial"/>
                <w:b/>
                <w:bCs/>
                <w:sz w:val="20"/>
              </w:rPr>
            </w:pPr>
            <w:r w:rsidRPr="00812013">
              <w:rPr>
                <w:rFonts w:ascii="Ecofont_Spranq_eco_Sans" w:hAnsi="Ecofont_Spranq_eco_Sans" w:cs="Arial"/>
                <w:b/>
                <w:bCs/>
                <w:sz w:val="20"/>
              </w:rPr>
              <w:t>ATOS ADMINISTRATIVOS E DOCUMENTOS A SEREM VERIFICADOS</w:t>
            </w:r>
          </w:p>
        </w:tc>
        <w:tc>
          <w:tcPr>
            <w:tcW w:w="908" w:type="dxa"/>
            <w:tcBorders>
              <w:top w:val="double" w:sz="6" w:space="0" w:color="C0C0C0"/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5E286BF" w14:textId="77777777" w:rsidR="007E7293" w:rsidRPr="00812013" w:rsidRDefault="00812013">
            <w:pPr>
              <w:rPr>
                <w:rFonts w:ascii="Ecofont_Spranq_eco_Sans" w:hAnsi="Ecofont_Spranq_eco_Sans" w:cs="Arial"/>
                <w:b/>
                <w:bCs/>
                <w:sz w:val="16"/>
              </w:rPr>
            </w:pPr>
            <w:r w:rsidRPr="00812013">
              <w:rPr>
                <w:rFonts w:ascii="Ecofont_Spranq_eco_Sans" w:hAnsi="Ecofont_Spranq_eco_Sans" w:cs="Arial"/>
                <w:b/>
                <w:bCs/>
                <w:sz w:val="16"/>
              </w:rPr>
              <w:t>SIM / NÃO</w:t>
            </w:r>
          </w:p>
        </w:tc>
        <w:tc>
          <w:tcPr>
            <w:tcW w:w="909" w:type="dxa"/>
            <w:tcBorders>
              <w:top w:val="double" w:sz="6" w:space="0" w:color="C0C0C0"/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E5847F8" w14:textId="77777777" w:rsidR="007E7293" w:rsidRPr="00812013" w:rsidRDefault="00812013">
            <w:pPr>
              <w:jc w:val="center"/>
              <w:rPr>
                <w:rFonts w:ascii="Ecofont_Spranq_eco_Sans" w:hAnsi="Ecofont_Spranq_eco_Sans" w:cs="Arial"/>
                <w:b/>
                <w:bCs/>
                <w:sz w:val="16"/>
              </w:rPr>
            </w:pPr>
            <w:r w:rsidRPr="00812013">
              <w:rPr>
                <w:rFonts w:ascii="Ecofont_Spranq_eco_Sans" w:hAnsi="Ecofont_Spranq_eco_Sans" w:cs="Arial"/>
                <w:b/>
                <w:bCs/>
                <w:sz w:val="16"/>
              </w:rPr>
              <w:t>FOLHA</w:t>
            </w:r>
          </w:p>
        </w:tc>
        <w:tc>
          <w:tcPr>
            <w:tcW w:w="924" w:type="dxa"/>
            <w:tcBorders>
              <w:top w:val="double" w:sz="6" w:space="0" w:color="C0C0C0"/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BCDD53A" w14:textId="77777777" w:rsidR="007E7293" w:rsidRPr="00812013" w:rsidRDefault="00812013">
            <w:pPr>
              <w:jc w:val="center"/>
              <w:rPr>
                <w:rFonts w:ascii="Ecofont_Spranq_eco_Sans" w:hAnsi="Ecofont_Spranq_eco_Sans" w:cs="Arial"/>
                <w:b/>
                <w:bCs/>
                <w:sz w:val="16"/>
              </w:rPr>
            </w:pPr>
            <w:r w:rsidRPr="00812013">
              <w:rPr>
                <w:rFonts w:ascii="Ecofont_Spranq_eco_Sans" w:hAnsi="Ecofont_Spranq_eco_Sans" w:cs="Arial"/>
                <w:b/>
                <w:bCs/>
                <w:sz w:val="16"/>
              </w:rPr>
              <w:t>OBS.</w:t>
            </w:r>
          </w:p>
        </w:tc>
      </w:tr>
      <w:tr w:rsidR="007E7293" w:rsidRPr="00812013" w14:paraId="727976FE" w14:textId="77777777">
        <w:trPr>
          <w:trHeight w:val="1191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A9E3858" w14:textId="76D5BA8F" w:rsidR="007E7293" w:rsidRPr="00812013" w:rsidRDefault="00D269E6">
            <w:r w:rsidRPr="00D269E6">
              <w:rPr>
                <w:rStyle w:val="Fontepargpadro"/>
                <w:rFonts w:ascii="Ecofont_Spranq_eco_Sans" w:hAnsi="Ecofont_Spranq_eco_Sans" w:cs="Arial"/>
                <w:sz w:val="20"/>
              </w:rPr>
              <w:t>1. Abertura de processo administrativo devidamente autuado, protocolado e numerado (art. 38, caput, da Lei nº 8.666/93 e Portaria Interministerial n. 1.677/2015 - DOU de 08.10.2015, Seção 1, pg.31 ou da Portaria Normativa nº 1.243, de 21.09.2006, do Ministério da Defesa)?</w:t>
            </w:r>
          </w:p>
        </w:tc>
        <w:tc>
          <w:tcPr>
            <w:tcW w:w="908" w:type="dxa"/>
            <w:tcBorders>
              <w:top w:val="double" w:sz="6" w:space="0" w:color="C0C0C0"/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2E44F4E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top w:val="double" w:sz="6" w:space="0" w:color="C0C0C0"/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BC32AD1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top w:val="double" w:sz="6" w:space="0" w:color="C0C0C0"/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94E78B5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3771AAF2" w14:textId="77777777">
        <w:trPr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8D6D3CD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2. Consta o Documento de Oficialização da Demanda, com a respectiva motivação e/ou alinhamento ao PDTI, elaborado pela Área Requisitante da solução? (art. 2°, I e XII e art. 11, IN/SLTI 04/2014) Acórdão 2094/2004-Plenário-TCU; Acórdão 2271/1997-Plenário-TCU.</w:t>
            </w:r>
          </w:p>
          <w:p w14:paraId="24883E1C" w14:textId="77777777" w:rsidR="007E7293" w:rsidRPr="00812013" w:rsidRDefault="007E7293">
            <w:pPr>
              <w:ind w:left="839"/>
              <w:rPr>
                <w:rFonts w:ascii="Ecofont_Spranq_eco_Sans" w:hAnsi="Ecofont_Spranq_eco_Sans" w:cs="Ecofont_Spranq_eco_Sans"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double" w:sz="6" w:space="0" w:color="C0C0C0"/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9C37B76" w14:textId="77777777" w:rsidR="007E7293" w:rsidRPr="00812013" w:rsidRDefault="00812013">
            <w:pPr>
              <w:rPr>
                <w:rFonts w:ascii="Ecofont_Spranq_eco_Sans" w:hAnsi="Ecofont_Spranq_eco_Sans" w:cs="Ecofont_Spranq_eco_Sans"/>
              </w:rPr>
            </w:pPr>
            <w:r w:rsidRPr="00812013">
              <w:rPr>
                <w:rFonts w:ascii="Ecofont_Spranq_eco_Sans" w:hAnsi="Ecofont_Spranq_eco_Sans" w:cs="Ecofont_Spranq_eco_Sans"/>
              </w:rPr>
              <w:t> </w:t>
            </w:r>
          </w:p>
        </w:tc>
        <w:tc>
          <w:tcPr>
            <w:tcW w:w="909" w:type="dxa"/>
            <w:tcBorders>
              <w:top w:val="double" w:sz="6" w:space="0" w:color="C0C0C0"/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7B6415AF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top w:val="double" w:sz="6" w:space="0" w:color="C0C0C0"/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9A0E724" w14:textId="77777777" w:rsidR="007E7293" w:rsidRPr="00812013" w:rsidRDefault="00812013">
            <w:pPr>
              <w:rPr>
                <w:rFonts w:ascii="Ecofont_Spranq_eco_Sans" w:hAnsi="Ecofont_Spranq_eco_Sans" w:cs="Ecofont_Spranq_eco_Sans"/>
              </w:rPr>
            </w:pPr>
            <w:r w:rsidRPr="00812013">
              <w:rPr>
                <w:rFonts w:ascii="Ecofont_Spranq_eco_Sans" w:hAnsi="Ecofont_Spranq_eco_Sans" w:cs="Ecofont_Spranq_eco_Sans"/>
              </w:rPr>
              <w:t> </w:t>
            </w:r>
          </w:p>
          <w:p w14:paraId="3CD020A0" w14:textId="77777777" w:rsidR="007E7293" w:rsidRPr="00812013" w:rsidRDefault="00812013">
            <w:pPr>
              <w:rPr>
                <w:rFonts w:ascii="Ecofont_Spranq_eco_Sans" w:hAnsi="Ecofont_Spranq_eco_Sans" w:cs="Ecofont_Spranq_eco_Sans"/>
              </w:rPr>
            </w:pPr>
            <w:r w:rsidRPr="00812013">
              <w:rPr>
                <w:rFonts w:ascii="Ecofont_Spranq_eco_Sans" w:hAnsi="Ecofont_Spranq_eco_Sans" w:cs="Ecofont_Spranq_eco_Sans"/>
              </w:rPr>
              <w:t> </w:t>
            </w:r>
          </w:p>
          <w:p w14:paraId="17807E15" w14:textId="77777777" w:rsidR="007E7293" w:rsidRPr="00812013" w:rsidRDefault="00812013">
            <w:pPr>
              <w:rPr>
                <w:rFonts w:ascii="Ecofont_Spranq_eco_Sans" w:hAnsi="Ecofont_Spranq_eco_Sans" w:cs="Ecofont_Spranq_eco_Sans"/>
              </w:rPr>
            </w:pPr>
            <w:r w:rsidRPr="00812013">
              <w:rPr>
                <w:rFonts w:ascii="Ecofont_Spranq_eco_Sans" w:hAnsi="Ecofont_Spranq_eco_Sans" w:cs="Ecofont_Spranq_eco_Sans"/>
              </w:rPr>
              <w:t> </w:t>
            </w:r>
          </w:p>
        </w:tc>
      </w:tr>
      <w:tr w:rsidR="007E7293" w:rsidRPr="00812013" w14:paraId="50DB6038" w14:textId="77777777">
        <w:trPr>
          <w:trHeight w:val="802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EB7CC0D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3. Foi instituída Equipe de Planejamento da Contratação? (art. 11, §2°, III, IN/SLTI 04/2014)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C1BC2CD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00CEF2B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B3FFD0B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6AFD1CE1" w14:textId="77777777">
        <w:trPr>
          <w:trHeight w:val="928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B071A4A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4. Foi juntado o Estudo Técnico Preliminar da Contratação, incluindo acordo de nível de serviço, quando aplicável? (arts. 2° XIII e  12 da IN/SLTI 04/2014)?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A88497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9777076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6223FFA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3FF0E388" w14:textId="77777777">
        <w:trPr>
          <w:trHeight w:val="928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B49D363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5. Se for hipótese de contratação de Serviços Estratégicos de Tecnologia da Informação, foi juntado o Plano de Capacidade? (art. 2º, XIV da IN/SLTI 04/2014)</w:t>
            </w:r>
          </w:p>
          <w:p w14:paraId="2A3F22F5" w14:textId="77777777" w:rsidR="007E7293" w:rsidRPr="00812013" w:rsidRDefault="007E729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32CC800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78018E46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EBC114F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366C25A6" w14:textId="77777777">
        <w:trPr>
          <w:trHeight w:val="928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755BE89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 xml:space="preserve">6. Foi elaborada a Análise de Riscos em documento separado ou em tópico específico do Estudo Técnico Preliminar da Contratação? (arts. 2º, XV, e  13 da IN/SLTI 04/2014) 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F7B575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9D2D968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8EB5016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45949FE4" w14:textId="77777777">
        <w:trPr>
          <w:trHeight w:val="928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DED19FC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7. Foi elaborada a minuta do Plano de Inserção? (arts. 2º, XVI, e  32 da IN/SLTI 04/2014)</w:t>
            </w:r>
          </w:p>
          <w:p w14:paraId="3C0AB9BB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 xml:space="preserve">Obs.: O plano de inserção é confeccionado juntamente com o fornecedor, após a seleção da proposta vencedora, devendo ser finalizado por ocasião da contratação. 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284050B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DC21CC3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AD62D4C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051B7709" w14:textId="77777777">
        <w:trPr>
          <w:trHeight w:val="928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71C6BB27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8. Foi elaborada a minuta do Plano de Fiscalização ? (arts. 2º, XVII, e  20 da IN/SLTI 04/2014)</w:t>
            </w:r>
          </w:p>
          <w:p w14:paraId="7006B263" w14:textId="77777777" w:rsidR="007E7293" w:rsidRPr="00812013" w:rsidRDefault="007E729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BF67D78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A384806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C2FE971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2C87D943" w14:textId="77777777">
        <w:trPr>
          <w:trHeight w:val="928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9B245CD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9. Foi elaborada a Lista de Verificação? Em caso negativo foi justificado? (arts. 2º, XVIII e 20, II, letra “a”, item 4 da IN/SLTI 04/2014)</w:t>
            </w:r>
          </w:p>
          <w:p w14:paraId="172C7F6D" w14:textId="77777777" w:rsidR="007E7293" w:rsidRPr="00812013" w:rsidRDefault="007E729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12123AF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F62B510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8C8DB0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13B58944" w14:textId="77777777">
        <w:trPr>
          <w:trHeight w:val="928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72A6B5E1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10. Foi elaborado o Modelo de Execução em documento separado ou em tópico específico do Termo de Referência? (arts. 2º, XX e 19 da IN/SLTI 04/2014)</w:t>
            </w:r>
          </w:p>
          <w:p w14:paraId="009C7114" w14:textId="77777777" w:rsidR="007E7293" w:rsidRPr="00812013" w:rsidRDefault="007E729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CAAB4F5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BECC053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49ADA4D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6D9DC795" w14:textId="77777777">
        <w:trPr>
          <w:trHeight w:val="928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65FA3E6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11. Foi elaborado o Modelo de Gestão em documento separado ou em tópico específico do termo de referência? (arts. 2º, XXI e 20 da IN/SLTI 04/2014)</w:t>
            </w:r>
          </w:p>
          <w:p w14:paraId="0E1F7481" w14:textId="77777777" w:rsidR="007E7293" w:rsidRPr="00812013" w:rsidRDefault="007E729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7C52EA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29BF345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3D06ACC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7B8C8346" w14:textId="77777777">
        <w:trPr>
          <w:trHeight w:val="1102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8FE972A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lastRenderedPageBreak/>
              <w:t>12. A autoridade competente justificou a necessidade da contratação (art. 3º, I da Lei nº 10.520/02, arts. 9º, III, § 1º e 30, I, do Decreto 5.450/05 e art. 2º, caput, e parágrafo único, VII, da Lei nº 9.784/99)?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9F9FFCC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6D71145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3BE6DF1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05E3A52A" w14:textId="77777777">
        <w:trPr>
          <w:trHeight w:val="948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89514A1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13. Consta a autorização da autoridade competente para a abertura da licitação (art. 38, caput, da Lei nº 8.666/93 e arts. 8º, III e 30, V, do Decreto 5.450/05)?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A455C9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1FE39F2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1019CA8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6CDEC3DB" w14:textId="77777777">
        <w:trPr>
          <w:trHeight w:val="1218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943F55B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14. Há termo de referência elaborado pelo Gestor do Contrato, com apoio do Requisitante da contratação e da Área de Tecnologia da Informação, a partir do Estudo Técnico Preliminar da Contratação (art. 9º, I, § 2º do Decreto nº 5.450/05 e arts. 2°, XIII, 9, IV,  12 e 14 da IN/SLTI 04/2014)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F286746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C0E994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771B497A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12A8EA13" w14:textId="77777777">
        <w:trPr>
          <w:trHeight w:val="673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90C902F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15. Consta a aprovação motivada do termo de referência pela autoridade competente (art. 9º, II, § 1º do Decreto nº 5.450/2005)?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2043D02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7A538B6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87D86CB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4E6D4189" w14:textId="77777777">
        <w:trPr>
          <w:trHeight w:val="960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75288396" w14:textId="77777777" w:rsidR="007E7293" w:rsidRPr="00812013" w:rsidRDefault="00812013">
            <w:pPr>
              <w:pStyle w:val="LO-Normal"/>
            </w:pPr>
            <w:r w:rsidRPr="00812013">
              <w:rPr>
                <w:rStyle w:val="Fontepargpadro"/>
                <w:rFonts w:ascii="Ecofont_Spranq_eco_Sans" w:hAnsi="Ecofont_Spranq_eco_Sans"/>
                <w:sz w:val="20"/>
                <w:szCs w:val="20"/>
              </w:rPr>
              <w:t>16. Foi realizada a pesquisa de preços praticados pelo mercado do ramo do objeto da licitação (art. 3º, III, da Lei nº 10.520/02, art. 9º, § 2º, do Decreto nº 5.450/2005, arts. 15, III e 43, IV da Lei nº 8.666/1993, art. 22, IN/SLTI 04/2014 e IN/SLTI 05/2014)?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E4D038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B8D63ED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A3F6E0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6DDB7E55" w14:textId="77777777">
        <w:trPr>
          <w:trHeight w:val="960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077FEAF" w14:textId="77777777" w:rsidR="007E7293" w:rsidRPr="00812013" w:rsidRDefault="00812013">
            <w:pPr>
              <w:pStyle w:val="LO-Normal"/>
            </w:pPr>
            <w:r w:rsidRPr="00812013">
              <w:rPr>
                <w:rStyle w:val="Fontepargpadro"/>
                <w:rFonts w:ascii="Ecofont_Spranq_eco_Sans" w:hAnsi="Ecofont_Spranq_eco_Sans"/>
                <w:sz w:val="20"/>
                <w:szCs w:val="20"/>
              </w:rPr>
              <w:t>16.1 Tratando-se de serviço, existe orçamento detalhado em planilhas que expresse a composição de todos os seus custos unitários baseado em pesquisa de preços praticados no mercado do ramo do objeto da contratação (art. 7º, § 2º, II da Lei 8.666/1993 e art. 15, XII, “a”, da IN/SLTI 02/2008), assim como a respectiva pesquisa de preços realizada (art. 43, IV da Lei nº 8.666/93, art. 15, XII, “b”, IN/SLTI 02/2008 e IN/SLTI 05/2014)? Acórdão 2471/2008-Plenário-TCU</w:t>
            </w:r>
          </w:p>
          <w:p w14:paraId="26725837" w14:textId="77777777" w:rsidR="007E7293" w:rsidRPr="00812013" w:rsidRDefault="007E729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BAF0B41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54F64D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1DCC76D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2365B3F4" w14:textId="77777777">
        <w:trPr>
          <w:trHeight w:val="960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88A65A3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16.2 Quando da utilização de método de pesquisa diverso do disposto no § 2º do art. 2º da IN/SLTI 05/2014, foi tal situação justificada? (art. 2º, § 3º da IN/SLTI 05/2014)</w:t>
            </w:r>
          </w:p>
          <w:p w14:paraId="1069E147" w14:textId="77777777" w:rsidR="007E7293" w:rsidRPr="00812013" w:rsidRDefault="007E729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8F42A13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9FEE71A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2F4C63C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593BF2FC" w14:textId="77777777">
        <w:trPr>
          <w:trHeight w:val="960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FB56E69" w14:textId="77777777" w:rsidR="007E7293" w:rsidRPr="00812013" w:rsidRDefault="00812013">
            <w:pPr>
              <w:pStyle w:val="LO-Normal"/>
            </w:pPr>
            <w:r w:rsidRPr="00812013">
              <w:rPr>
                <w:rStyle w:val="Fontepargpadro"/>
                <w:rFonts w:ascii="Ecofont_Spranq_eco_Sans" w:hAnsi="Ecofont_Spranq_eco_Sans"/>
                <w:sz w:val="20"/>
                <w:szCs w:val="20"/>
              </w:rPr>
              <w:t>16.3 No caso de pesquisa com menos de 3 preços/fornecedores, foi apresentada justificativa? (art. 2º, § 5º da IN/SLTI 05/2014)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E5972A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8907FEF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A88B2B1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366D063E" w14:textId="77777777">
        <w:trPr>
          <w:trHeight w:val="960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BE5A0B6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17. Há previsão de recursos orçamentários, com indicação das respectivas rubricas (art. 30, IV, do Decreto nº 5.450/05 e arts. 7º, § 2º, III, 14 e 38, caput, da Lei nº 8.666/93)?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35346EC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CD4BFA7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8C91D11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644EF072" w14:textId="77777777">
        <w:trPr>
          <w:trHeight w:val="1193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F95560A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17.1 Se for o caso, constam a estimativa do impacto orçamentário financeiro da despesa prevista no art. 16, inc. I da LC 101/2000 e a declaração prevista no art. 16, II do mesmo diploma na hipótese da despesa incidir no caput do art. 16 (art. 23, I, IN/SLTI 04/2014)?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F12651E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FBE258A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CB2D981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4AE97613" w14:textId="77777777">
        <w:trPr>
          <w:trHeight w:val="1212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36B234D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18. Em face do valor estimado do objeto, a participação na licitação é exclusiva para Microempresas, Empresas de Pequeno Porte e Sociedades Cooperativas (art. 48, I, da LC nº 123/06, art. 6º do Decreto nº 8.538/15 e art. 34 da Lei nº 11.488/07)?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0360B4E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45C6A01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85B8AD2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40DEC8E2" w14:textId="77777777">
        <w:trPr>
          <w:trHeight w:val="776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7963A44B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18.1 Incide uma das exceções previstas no art. 10 do Decreto nº 8.538/15, devidamente justificada, a afastar a exclusividade?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7EA2D8F0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8696D97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F9E242F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7B92B69B" w14:textId="77777777">
        <w:trPr>
          <w:trHeight w:val="776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DCD6D94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lastRenderedPageBreak/>
              <w:t xml:space="preserve">19. Foram observados os dispositivos legais que dispõem sobre a margem de preferência? (Decretos nºs 7546/ 2011 e 8538/2015) 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CF19AB0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BC81633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6086836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07C1639F" w14:textId="77777777">
        <w:trPr>
          <w:trHeight w:val="943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6745417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20. Consta a designação do pregoeiro e equipe de apoio (art. 3º, IV, §§1º e 2º da Lei nº 10.520/02, arts. 9º, VI, 10, 11, 12 e 30, VI, do Decreto nº 5.450/05)?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77CAD2E4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B095B2E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70FBD258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</w:rPr>
            </w:pPr>
          </w:p>
        </w:tc>
      </w:tr>
      <w:tr w:rsidR="007E7293" w:rsidRPr="00812013" w14:paraId="63E03945" w14:textId="77777777">
        <w:trPr>
          <w:trHeight w:val="4629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11782BC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21. Há minuta de edital e anexos (art. 4º, III, da Lei nº 10.520/02, arts. 9º, IV e 30, VII, do Decreto nº 5.450/05 e art. 40 da Lei nº 8.666/93)?</w:t>
            </w:r>
          </w:p>
          <w:p w14:paraId="1DFF3413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20.1      Constituem anexos do edital:</w:t>
            </w:r>
          </w:p>
          <w:p w14:paraId="627D8535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(a)     termo de referência;</w:t>
            </w:r>
          </w:p>
          <w:p w14:paraId="046C26F6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(b)     termo de contrato, se for o caso; e</w:t>
            </w:r>
          </w:p>
          <w:p w14:paraId="441F63A3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(c)     planilha de quantitativos e custos unitários, se for o caso.</w:t>
            </w:r>
          </w:p>
          <w:p w14:paraId="033E4DDE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O TCU firmou entendimento no sentido de que, em licitação na modalidade pregão, “o orçamento estimado em planilhas e preços unitários não constitui um dos elementos obrigatórios do edital”, devendo estar necessariamente inserido no processo relativo ao certame, conforme exigido pela Lei 10.520/02 (art. 3º, III, c/c o art. 4º, III) e pelo Decreto 5.450/05 (art. 30, III), acessível a quem o solicitar, ficando a critério do Gestor a avaliação da oportunidade e conveniência de incluir “dita peça” no edital como anexo – Acórdão 1888/2010 – Plenário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83DF57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BFEE2CC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C4F93A8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</w:tr>
      <w:tr w:rsidR="007E7293" w:rsidRPr="00812013" w14:paraId="1EC4D1AF" w14:textId="77777777">
        <w:trPr>
          <w:trHeight w:val="1060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2C01F079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22. Foi utilizado o modelo de edital e de contrato/instrumento equivalente para produtos disponibilizado pela AGU?</w:t>
            </w:r>
          </w:p>
          <w:p w14:paraId="617314B7" w14:textId="77777777" w:rsidR="007E7293" w:rsidRPr="00812013" w:rsidRDefault="0081201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  <w:r w:rsidRPr="00812013">
              <w:rPr>
                <w:rFonts w:ascii="Ecofont_Spranq_eco_Sans" w:hAnsi="Ecofont_Spranq_eco_Sans"/>
                <w:sz w:val="20"/>
                <w:szCs w:val="20"/>
              </w:rPr>
              <w:t>22.1 Eventuais alterações foram destacadas no texto, e, se necessário, explicadas?</w:t>
            </w:r>
          </w:p>
          <w:p w14:paraId="16EEAA9E" w14:textId="77777777" w:rsidR="007E7293" w:rsidRPr="00812013" w:rsidRDefault="007E729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D1425B8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8F7F821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0BF70699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</w:tr>
      <w:tr w:rsidR="007E7293" w:rsidRPr="00812013" w14:paraId="52CBCF9E" w14:textId="77777777">
        <w:trPr>
          <w:trHeight w:val="1060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806000"/>
            <w:tcMar>
              <w:left w:w="-7" w:type="dxa"/>
            </w:tcMar>
          </w:tcPr>
          <w:p w14:paraId="7FACDF97" w14:textId="77777777" w:rsidR="007E7293" w:rsidRPr="00812013" w:rsidRDefault="007E7293">
            <w:pPr>
              <w:pStyle w:val="LO-Normal"/>
              <w:rPr>
                <w:rFonts w:ascii="Ecofont_Spranq_eco_Sans" w:hAnsi="Ecofont_Spranq_eco_Sans"/>
                <w:sz w:val="20"/>
                <w:szCs w:val="20"/>
              </w:rPr>
            </w:pP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806000"/>
            <w:tcMar>
              <w:left w:w="-7" w:type="dxa"/>
            </w:tcMar>
          </w:tcPr>
          <w:p w14:paraId="260AACD4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806000"/>
            <w:tcMar>
              <w:left w:w="-7" w:type="dxa"/>
            </w:tcMar>
          </w:tcPr>
          <w:p w14:paraId="0294F5FE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806000"/>
            <w:tcMar>
              <w:left w:w="-7" w:type="dxa"/>
            </w:tcMar>
          </w:tcPr>
          <w:p w14:paraId="27ADD4DC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</w:tr>
      <w:tr w:rsidR="007E7293" w:rsidRPr="00812013" w14:paraId="2143BA45" w14:textId="77777777">
        <w:trPr>
          <w:trHeight w:val="638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6FE8CD1E" w14:textId="77777777" w:rsidR="007E7293" w:rsidRPr="00812013" w:rsidRDefault="00812013">
            <w:pPr>
              <w:spacing w:line="210" w:lineRule="atLeast"/>
            </w:pPr>
            <w:r w:rsidRPr="00812013">
              <w:rPr>
                <w:rStyle w:val="Fontepargpadro"/>
                <w:rFonts w:ascii="Ecofont_Spranq_eco_Sans" w:hAnsi="Ecofont_Spranq_eco_Sans" w:cs="Arial"/>
                <w:sz w:val="20"/>
                <w:szCs w:val="20"/>
              </w:rPr>
              <w:t>23. Análise e aprovação da minuta de edital e seus anexos pela assessoria jurídica (art. 38, parágrafo único, da Lei nº 8.666/93)</w:t>
            </w:r>
          </w:p>
        </w:tc>
        <w:tc>
          <w:tcPr>
            <w:tcW w:w="908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5111E73E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  <w:tc>
          <w:tcPr>
            <w:tcW w:w="909" w:type="dxa"/>
            <w:tcBorders>
              <w:lef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6E10C5E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72A439A1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</w:tr>
      <w:tr w:rsidR="007E7293" w:rsidRPr="00812013" w14:paraId="2DD1F57B" w14:textId="77777777">
        <w:trPr>
          <w:trHeight w:val="804"/>
          <w:jc w:val="right"/>
        </w:trPr>
        <w:tc>
          <w:tcPr>
            <w:tcW w:w="697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3E4DA862" w14:textId="77777777" w:rsidR="007E7293" w:rsidRPr="00812013" w:rsidRDefault="00812013">
            <w:r w:rsidRPr="00812013">
              <w:rPr>
                <w:rStyle w:val="Fontepargpadro"/>
                <w:rFonts w:ascii="Ecofont_Spranq_eco_Sans" w:hAnsi="Ecofont_Spranq_eco_Sans" w:cs="Arial"/>
                <w:sz w:val="20"/>
                <w:szCs w:val="20"/>
              </w:rPr>
              <w:t>24. Publicação do aviso de edital (art. 4º, I e II, da Lei nº 10.520/02 e art. 17 do Decreto nº 5.450/05)</w:t>
            </w:r>
          </w:p>
        </w:tc>
        <w:tc>
          <w:tcPr>
            <w:tcW w:w="908" w:type="dxa"/>
            <w:tcBorders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4417DBC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  <w:tc>
          <w:tcPr>
            <w:tcW w:w="909" w:type="dxa"/>
            <w:tcBorders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1F816FBD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auto"/>
            <w:tcMar>
              <w:left w:w="-7" w:type="dxa"/>
            </w:tcMar>
          </w:tcPr>
          <w:p w14:paraId="43A8625A" w14:textId="77777777" w:rsidR="007E7293" w:rsidRPr="00812013" w:rsidRDefault="007E7293">
            <w:pPr>
              <w:snapToGrid w:val="0"/>
              <w:rPr>
                <w:rFonts w:ascii="Ecofont_Spranq_eco_Sans" w:hAnsi="Ecofont_Spranq_eco_Sans" w:cs="Ecofont_Spranq_eco_Sans"/>
                <w:sz w:val="20"/>
                <w:szCs w:val="20"/>
              </w:rPr>
            </w:pPr>
          </w:p>
        </w:tc>
      </w:tr>
    </w:tbl>
    <w:p w14:paraId="6AC340E7" w14:textId="77777777" w:rsidR="007E7293" w:rsidRPr="00812013" w:rsidRDefault="007E7293">
      <w:pPr>
        <w:rPr>
          <w:rFonts w:ascii="Ecofont_Spranq_eco_Sans" w:hAnsi="Ecofont_Spranq_eco_Sans" w:cs="Ecofont_Spranq_eco_Sans"/>
          <w:sz w:val="20"/>
          <w:szCs w:val="20"/>
        </w:rPr>
      </w:pPr>
    </w:p>
    <w:sectPr w:rsidR="007E7293" w:rsidRPr="0081201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Segoe UI">
    <w:charset w:val="01"/>
    <w:family w:val="swiss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cofont_Spranq_eco_Sans">
    <w:panose1 w:val="020B0603030804020204"/>
    <w:charset w:val="00"/>
    <w:family w:val="auto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7E7293"/>
    <w:rsid w:val="003D2B4D"/>
    <w:rsid w:val="00684A66"/>
    <w:rsid w:val="007E7293"/>
    <w:rsid w:val="00812013"/>
    <w:rsid w:val="00D2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FD7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widowControl w:val="0"/>
      <w:shd w:val="clear" w:color="auto" w:fill="FFFFFF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">
    <w:name w:val="Fonte parág. padrão"/>
    <w:qFormat/>
  </w:style>
  <w:style w:type="character" w:customStyle="1" w:styleId="TextodebaloChar">
    <w:name w:val="Texto de balão Char"/>
    <w:basedOn w:val="Fontepargpadro"/>
    <w:qFormat/>
    <w:rPr>
      <w:rFonts w:ascii="Segoe UI" w:hAnsi="Segoe UI" w:cs="Mangal"/>
      <w:sz w:val="18"/>
      <w:szCs w:val="16"/>
    </w:rPr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</w:pPr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Lista">
    <w:name w:val="Lista"/>
    <w:basedOn w:val="TextBody"/>
    <w:qFormat/>
  </w:style>
  <w:style w:type="paragraph" w:customStyle="1" w:styleId="Legenda">
    <w:name w:val="Legenda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odebalo">
    <w:name w:val="Texto de balão"/>
    <w:basedOn w:val="LO-Normal"/>
    <w:qFormat/>
    <w:rPr>
      <w:rFonts w:ascii="Segoe UI" w:hAnsi="Segoe UI" w:cs="Mangal"/>
      <w:sz w:val="18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1110</Words>
  <Characters>5829</Characters>
  <Application>Microsoft Macintosh Word</Application>
  <DocSecurity>0</DocSecurity>
  <Lines>277</Lines>
  <Paragraphs>78</Paragraphs>
  <ScaleCrop>false</ScaleCrop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Cesar Amaro de Melo</dc:creator>
  <dc:description/>
  <cp:lastModifiedBy>Manoel Paz e Silva Filho</cp:lastModifiedBy>
  <cp:revision>5</cp:revision>
  <cp:lastPrinted>2016-02-24T14:08:00Z</cp:lastPrinted>
  <dcterms:created xsi:type="dcterms:W3CDTF">2016-05-06T14:42:00Z</dcterms:created>
  <dcterms:modified xsi:type="dcterms:W3CDTF">2016-05-06T19:46:00Z</dcterms:modified>
  <dc:language>en-US</dc:language>
</cp:coreProperties>
</file>