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892EBD" w14:textId="1DE2F8F4" w:rsidR="00052D1B" w:rsidRDefault="0069422D">
      <w:r w:rsidRPr="0069422D">
        <w:rPr>
          <w:b/>
          <w:bCs/>
        </w:rPr>
        <w:t>Thesis</w:t>
      </w:r>
      <w:r>
        <w:t xml:space="preserve">: The </w:t>
      </w:r>
      <w:r w:rsidR="007F2001">
        <w:t xml:space="preserve">U.S. </w:t>
      </w:r>
      <w:r>
        <w:t xml:space="preserve">EPA must ready programs to secure critical rural American water infrastructure </w:t>
      </w:r>
      <w:r w:rsidR="007F2001">
        <w:t>to protect</w:t>
      </w:r>
      <w:r>
        <w:t xml:space="preserve"> the poorest of Americans, water dependent industries and an electorate that is left holding the bag.</w:t>
      </w:r>
    </w:p>
    <w:p w14:paraId="4DE8442F" w14:textId="747262D4" w:rsidR="00A40A5A" w:rsidRDefault="00A40A5A">
      <w:r w:rsidRPr="00A40A5A">
        <w:rPr>
          <w:b/>
          <w:bCs/>
        </w:rPr>
        <w:t>Research Q:</w:t>
      </w:r>
      <w:r>
        <w:t xml:space="preserve"> How could Iranian Cyber-Attacks threaten America’s Rural Water Infrastructure?</w:t>
      </w:r>
    </w:p>
    <w:p w14:paraId="607B0F24" w14:textId="77777777" w:rsidR="00170752" w:rsidRDefault="00A40A5A" w:rsidP="001E1FCF">
      <w:pPr>
        <w:jc w:val="both"/>
      </w:pPr>
      <w:r>
        <w:t>As the tit-for-tat continues between the United States</w:t>
      </w:r>
      <w:r w:rsidR="00170752">
        <w:t xml:space="preserve"> (U.S.)</w:t>
      </w:r>
      <w:r>
        <w:t xml:space="preserve"> and Iran, their fight is bringing more attention to the salience of cyberspace as a fighting domain. </w:t>
      </w:r>
      <w:r w:rsidR="00170752">
        <w:t>During</w:t>
      </w:r>
      <w:r>
        <w:t xml:space="preserve"> the </w:t>
      </w:r>
      <w:r w:rsidR="00FE745C">
        <w:t>initial</w:t>
      </w:r>
      <w:r>
        <w:t xml:space="preserve"> months</w:t>
      </w:r>
      <w:r w:rsidR="00170752">
        <w:t xml:space="preserve"> of the conflict, </w:t>
      </w:r>
      <w:r>
        <w:t xml:space="preserve">social media </w:t>
      </w:r>
      <w:r w:rsidR="00170752">
        <w:t xml:space="preserve">experienced </w:t>
      </w:r>
      <w:proofErr w:type="gramStart"/>
      <w:r w:rsidR="00170752">
        <w:t>an</w:t>
      </w:r>
      <w:proofErr w:type="gramEnd"/>
      <w:r>
        <w:t xml:space="preserve"> disinformation campaigns </w:t>
      </w:r>
      <w:r w:rsidR="00170752">
        <w:t>pushing Iranian AI slop and narratives.</w:t>
      </w:r>
      <w:r>
        <w:t xml:space="preserve"> </w:t>
      </w:r>
      <w:r w:rsidR="00170752">
        <w:t>N</w:t>
      </w:r>
      <w:r>
        <w:t>ow the public is learning of cyberattacks targeting</w:t>
      </w:r>
      <w:r w:rsidR="00170752">
        <w:t xml:space="preserve"> critical</w:t>
      </w:r>
      <w:r>
        <w:t xml:space="preserve"> infrastructure</w:t>
      </w:r>
      <w:r w:rsidR="00170752">
        <w:t xml:space="preserve"> in the U.S.</w:t>
      </w:r>
      <w:r>
        <w:t xml:space="preserve"> Of the 16 critical sectors, one</w:t>
      </w:r>
      <w:r w:rsidR="00170752">
        <w:t xml:space="preserve"> sector</w:t>
      </w:r>
      <w:r>
        <w:t xml:space="preserve"> gaining more attention recently is water. </w:t>
      </w:r>
      <w:r w:rsidR="00170752">
        <w:t>A core element</w:t>
      </w:r>
      <w:r>
        <w:t xml:space="preserve"> for the world</w:t>
      </w:r>
      <w:r w:rsidR="00170752">
        <w:t xml:space="preserve"> and life</w:t>
      </w:r>
      <w:r>
        <w:t xml:space="preserve">, the Iranian regime was attributed for </w:t>
      </w:r>
      <w:r w:rsidR="00170752">
        <w:t>cyber-</w:t>
      </w:r>
      <w:r>
        <w:t>targeting 12 states</w:t>
      </w:r>
      <w:r w:rsidR="00170752">
        <w:t xml:space="preserve"> and hacking </w:t>
      </w:r>
      <w:r>
        <w:t xml:space="preserve">wastewater and public drinking water systems. </w:t>
      </w:r>
      <w:r w:rsidR="00FE745C">
        <w:t xml:space="preserve">The United States has 153,000, </w:t>
      </w:r>
      <w:r w:rsidR="00FE745C" w:rsidRPr="00FE745C">
        <w:rPr>
          <w:u w:val="single"/>
        </w:rPr>
        <w:t xml:space="preserve">active </w:t>
      </w:r>
      <w:r w:rsidR="00560BB5">
        <w:rPr>
          <w:u w:val="single"/>
        </w:rPr>
        <w:t xml:space="preserve">public </w:t>
      </w:r>
      <w:r w:rsidR="00FE745C" w:rsidRPr="00FE745C">
        <w:rPr>
          <w:u w:val="single"/>
        </w:rPr>
        <w:t>water systems</w:t>
      </w:r>
      <w:r w:rsidR="00560BB5">
        <w:rPr>
          <w:u w:val="single"/>
        </w:rPr>
        <w:t xml:space="preserve"> (PWS)</w:t>
      </w:r>
      <w:r w:rsidR="00FE745C">
        <w:t>,</w:t>
      </w:r>
      <w:r w:rsidR="00DC416A">
        <w:t xml:space="preserve"> comprised of </w:t>
      </w:r>
      <w:r w:rsidR="00DC416A" w:rsidRPr="00DC416A">
        <w:t>Community water system</w:t>
      </w:r>
      <w:r w:rsidR="00DC416A">
        <w:t xml:space="preserve"> (CWS), </w:t>
      </w:r>
      <w:r w:rsidR="00DC416A" w:rsidRPr="00DC416A">
        <w:t>Transient non-community water system</w:t>
      </w:r>
      <w:r w:rsidR="00DC416A">
        <w:t xml:space="preserve"> (</w:t>
      </w:r>
      <w:r w:rsidR="00DC416A" w:rsidRPr="00DC416A">
        <w:t>TNCWS</w:t>
      </w:r>
      <w:r w:rsidR="00DC416A">
        <w:t xml:space="preserve">) and </w:t>
      </w:r>
      <w:r w:rsidR="00DC416A" w:rsidRPr="00DC416A">
        <w:t>Non-transient non-community water system</w:t>
      </w:r>
      <w:r w:rsidR="00DC416A">
        <w:t xml:space="preserve"> (</w:t>
      </w:r>
      <w:r w:rsidR="00DC416A" w:rsidRPr="00DC416A">
        <w:t>NTNCWS</w:t>
      </w:r>
      <w:r w:rsidR="00DC416A">
        <w:t>)</w:t>
      </w:r>
      <w:r w:rsidR="00560BB5">
        <w:t xml:space="preserve"> (See references for the full breakdown). Of the 153,000, </w:t>
      </w:r>
      <w:r w:rsidR="00560BB5" w:rsidRPr="001E1FCF">
        <w:rPr>
          <w:highlight w:val="yellow"/>
        </w:rPr>
        <w:t>XX</w:t>
      </w:r>
      <w:r w:rsidR="00560BB5">
        <w:t xml:space="preserve"> serve less than 3,300 people and are permitted to not carryout self-risk assessments</w:t>
      </w:r>
      <w:r w:rsidR="00170752">
        <w:t xml:space="preserve"> to the EPA</w:t>
      </w:r>
      <w:r w:rsidR="00560BB5">
        <w:t xml:space="preserve">. This presents a larger challenge to the national security of the </w:t>
      </w:r>
      <w:r w:rsidR="00170752">
        <w:t>U.S. and its home line</w:t>
      </w:r>
      <w:r w:rsidR="00560BB5">
        <w:t xml:space="preserve"> because </w:t>
      </w:r>
      <w:r w:rsidR="00170752">
        <w:t xml:space="preserve">fundamentally, XX represents unknown-unknown. </w:t>
      </w:r>
    </w:p>
    <w:p w14:paraId="18C91A56" w14:textId="674401B4" w:rsidR="00170752" w:rsidRDefault="004D46D1" w:rsidP="008B055B">
      <w:pPr>
        <w:jc w:val="both"/>
      </w:pPr>
      <w:r>
        <w:t xml:space="preserve">To defend small and rural CWS, members of Congress have proposed </w:t>
      </w:r>
      <w:hyperlink r:id="rId4" w:history="1">
        <w:r w:rsidRPr="004D46D1">
          <w:rPr>
            <w:rStyle w:val="Hyperlink"/>
          </w:rPr>
          <w:t>H.R.10083</w:t>
        </w:r>
      </w:hyperlink>
      <w:r w:rsidRPr="004D46D1">
        <w:t xml:space="preserve"> - </w:t>
      </w:r>
      <w:r w:rsidRPr="004D46D1">
        <w:rPr>
          <w:i/>
          <w:iCs/>
        </w:rPr>
        <w:t xml:space="preserve">Water Technology and Resilience Reauthorization </w:t>
      </w:r>
      <w:proofErr w:type="gramStart"/>
      <w:r w:rsidRPr="004D46D1">
        <w:rPr>
          <w:i/>
          <w:iCs/>
        </w:rPr>
        <w:t>Act</w:t>
      </w:r>
      <w:r>
        <w:rPr>
          <w:i/>
          <w:iCs/>
        </w:rPr>
        <w:t xml:space="preserve"> </w:t>
      </w:r>
      <w:r>
        <w:t>.</w:t>
      </w:r>
      <w:proofErr w:type="gramEnd"/>
      <w:r>
        <w:t xml:space="preserve"> </w:t>
      </w:r>
      <w:proofErr w:type="spellStart"/>
      <w:r w:rsidR="007C1592">
        <w:t>In</w:t>
      </w:r>
      <w:proofErr w:type="spellEnd"/>
      <w:r w:rsidR="007C1592">
        <w:t xml:space="preserve"> my a</w:t>
      </w:r>
      <w:r w:rsidR="00170752">
        <w:t xml:space="preserve">nalysis of </w:t>
      </w:r>
      <w:r w:rsidR="007C1592">
        <w:t>CWS</w:t>
      </w:r>
      <w:r w:rsidR="00170752">
        <w:t xml:space="preserve"> and the</w:t>
      </w:r>
      <w:r w:rsidR="007C1592">
        <w:t>ir communities, I rank order the most vulnerable census blocks</w:t>
      </w:r>
      <w:r w:rsidR="008B055B">
        <w:t xml:space="preserve"> tied and find that on average there are XX CWS that serve households with X% of poverty</w:t>
      </w:r>
      <w:r>
        <w:t>, a range of XXXXX median household income. When we subset down by race, XX could be the most impacted across the 12 states.</w:t>
      </w:r>
    </w:p>
    <w:p w14:paraId="69E53257" w14:textId="77777777" w:rsidR="00170752" w:rsidRDefault="00170752" w:rsidP="00170752">
      <w:pPr>
        <w:jc w:val="both"/>
      </w:pPr>
    </w:p>
    <w:p w14:paraId="7E3F5CDA" w14:textId="1AFCA8D2" w:rsidR="00DC416A" w:rsidRDefault="00170752" w:rsidP="00170752">
      <w:pPr>
        <w:jc w:val="both"/>
      </w:pPr>
      <w:r>
        <w:t>To tackle understanding unknown-unknown, this research in brief wrangles PWS data collected for compliance with the Safe Water Drinking Act and joins it with U.S. census block group social-economic variables for the public to access. In addition, the data includes congressional district level for the public to become aware which representative to reach out to field their concerns and lobby for increase cybersecurity to rural America.</w:t>
      </w:r>
    </w:p>
    <w:p w14:paraId="4DD46963" w14:textId="77777777" w:rsidR="00DC416A" w:rsidRDefault="00DC416A"/>
    <w:p w14:paraId="53ADDDF3" w14:textId="771E3742" w:rsidR="00DC416A" w:rsidRDefault="00DC416A">
      <w:r>
        <w:t>References</w:t>
      </w:r>
    </w:p>
    <w:tbl>
      <w:tblPr>
        <w:tblStyle w:val="TableGrid"/>
        <w:tblW w:w="9625" w:type="dxa"/>
        <w:tblLook w:val="04A0" w:firstRow="1" w:lastRow="0" w:firstColumn="1" w:lastColumn="0" w:noHBand="0" w:noVBand="1"/>
      </w:tblPr>
      <w:tblGrid>
        <w:gridCol w:w="1434"/>
        <w:gridCol w:w="6571"/>
        <w:gridCol w:w="1620"/>
      </w:tblGrid>
      <w:tr w:rsidR="00560BB5" w:rsidRPr="00560BB5" w14:paraId="645C9E00" w14:textId="77777777" w:rsidTr="00E13C87">
        <w:tc>
          <w:tcPr>
            <w:tcW w:w="9625" w:type="dxa"/>
            <w:gridSpan w:val="3"/>
          </w:tcPr>
          <w:p w14:paraId="6E0C2E64" w14:textId="106831CF" w:rsidR="00560BB5" w:rsidRPr="00560BB5" w:rsidRDefault="00560BB5">
            <w:pPr>
              <w:rPr>
                <w:rFonts w:ascii="Times New Roman" w:hAnsi="Times New Roman" w:cs="Times New Roman"/>
                <w:sz w:val="22"/>
                <w:szCs w:val="22"/>
              </w:rPr>
            </w:pPr>
            <w:r>
              <w:rPr>
                <w:rFonts w:ascii="Times New Roman" w:hAnsi="Times New Roman" w:cs="Times New Roman"/>
                <w:sz w:val="22"/>
                <w:szCs w:val="22"/>
              </w:rPr>
              <w:t>Table 1A: Tabulations of Public Water Systems (PWS)</w:t>
            </w:r>
          </w:p>
        </w:tc>
      </w:tr>
      <w:tr w:rsidR="00DC416A" w:rsidRPr="00560BB5" w14:paraId="3882DF84" w14:textId="77777777" w:rsidTr="00560BB5">
        <w:tc>
          <w:tcPr>
            <w:tcW w:w="1434" w:type="dxa"/>
          </w:tcPr>
          <w:p w14:paraId="32B67241" w14:textId="2F3ADFAE" w:rsidR="00DC416A" w:rsidRPr="00560BB5" w:rsidRDefault="00DC416A">
            <w:pPr>
              <w:rPr>
                <w:rFonts w:ascii="Times New Roman" w:hAnsi="Times New Roman" w:cs="Times New Roman"/>
                <w:sz w:val="22"/>
                <w:szCs w:val="22"/>
              </w:rPr>
            </w:pPr>
            <w:r w:rsidRPr="00560BB5">
              <w:rPr>
                <w:rFonts w:ascii="Times New Roman" w:hAnsi="Times New Roman" w:cs="Times New Roman"/>
                <w:sz w:val="22"/>
                <w:szCs w:val="22"/>
              </w:rPr>
              <w:t>Name</w:t>
            </w:r>
          </w:p>
        </w:tc>
        <w:tc>
          <w:tcPr>
            <w:tcW w:w="6571" w:type="dxa"/>
          </w:tcPr>
          <w:p w14:paraId="1C49E5A8" w14:textId="7A87CEBD" w:rsidR="00DC416A" w:rsidRPr="00560BB5" w:rsidRDefault="00DC416A">
            <w:pPr>
              <w:rPr>
                <w:rFonts w:ascii="Times New Roman" w:hAnsi="Times New Roman" w:cs="Times New Roman"/>
                <w:sz w:val="22"/>
                <w:szCs w:val="22"/>
              </w:rPr>
            </w:pPr>
            <w:r w:rsidRPr="00560BB5">
              <w:rPr>
                <w:rFonts w:ascii="Times New Roman" w:hAnsi="Times New Roman" w:cs="Times New Roman"/>
                <w:sz w:val="22"/>
                <w:szCs w:val="22"/>
              </w:rPr>
              <w:t>Details</w:t>
            </w:r>
          </w:p>
        </w:tc>
        <w:tc>
          <w:tcPr>
            <w:tcW w:w="1620" w:type="dxa"/>
          </w:tcPr>
          <w:p w14:paraId="59FC20CB" w14:textId="78FF0167" w:rsidR="00DC416A" w:rsidRPr="00560BB5" w:rsidRDefault="00560BB5">
            <w:pPr>
              <w:rPr>
                <w:rFonts w:ascii="Times New Roman" w:hAnsi="Times New Roman" w:cs="Times New Roman"/>
                <w:sz w:val="22"/>
                <w:szCs w:val="22"/>
              </w:rPr>
            </w:pPr>
            <w:r w:rsidRPr="00560BB5">
              <w:rPr>
                <w:rFonts w:ascii="Times New Roman" w:hAnsi="Times New Roman" w:cs="Times New Roman"/>
                <w:sz w:val="22"/>
                <w:szCs w:val="22"/>
              </w:rPr>
              <w:t>Sample Size</w:t>
            </w:r>
          </w:p>
        </w:tc>
      </w:tr>
      <w:tr w:rsidR="00DC416A" w:rsidRPr="00560BB5" w14:paraId="799A11B3" w14:textId="77777777" w:rsidTr="00560BB5">
        <w:tc>
          <w:tcPr>
            <w:tcW w:w="1434" w:type="dxa"/>
          </w:tcPr>
          <w:p w14:paraId="795412E4" w14:textId="2A5B85B5" w:rsidR="00DC416A" w:rsidRPr="00560BB5" w:rsidRDefault="00DC416A">
            <w:pPr>
              <w:rPr>
                <w:rFonts w:ascii="Times New Roman" w:hAnsi="Times New Roman" w:cs="Times New Roman"/>
                <w:sz w:val="22"/>
                <w:szCs w:val="22"/>
              </w:rPr>
            </w:pPr>
            <w:r w:rsidRPr="00560BB5">
              <w:rPr>
                <w:rFonts w:ascii="Times New Roman" w:hAnsi="Times New Roman" w:cs="Times New Roman"/>
                <w:sz w:val="22"/>
                <w:szCs w:val="22"/>
              </w:rPr>
              <w:lastRenderedPageBreak/>
              <w:t>Community water system</w:t>
            </w:r>
            <w:r w:rsidRPr="00560BB5">
              <w:rPr>
                <w:rFonts w:ascii="Times New Roman" w:hAnsi="Times New Roman" w:cs="Times New Roman"/>
                <w:sz w:val="22"/>
                <w:szCs w:val="22"/>
              </w:rPr>
              <w:t xml:space="preserve"> (CWS)</w:t>
            </w:r>
          </w:p>
        </w:tc>
        <w:tc>
          <w:tcPr>
            <w:tcW w:w="6571" w:type="dxa"/>
          </w:tcPr>
          <w:p w14:paraId="29659DF4" w14:textId="5BB3DE8B" w:rsidR="00DC416A" w:rsidRPr="00560BB5" w:rsidRDefault="00DC416A">
            <w:pPr>
              <w:rPr>
                <w:rFonts w:ascii="Times New Roman" w:hAnsi="Times New Roman" w:cs="Times New Roman"/>
                <w:sz w:val="22"/>
                <w:szCs w:val="22"/>
              </w:rPr>
            </w:pPr>
            <w:r w:rsidRPr="00560BB5">
              <w:rPr>
                <w:rFonts w:ascii="Times New Roman" w:hAnsi="Times New Roman" w:cs="Times New Roman"/>
                <w:sz w:val="22"/>
                <w:szCs w:val="22"/>
              </w:rPr>
              <w:t xml:space="preserve">A </w:t>
            </w:r>
            <w:r w:rsidRPr="00560BB5">
              <w:rPr>
                <w:rFonts w:ascii="Times New Roman" w:hAnsi="Times New Roman" w:cs="Times New Roman"/>
                <w:sz w:val="22"/>
                <w:szCs w:val="22"/>
              </w:rPr>
              <w:t>Public Water System</w:t>
            </w:r>
            <w:r w:rsidRPr="00560BB5">
              <w:rPr>
                <w:rFonts w:ascii="Times New Roman" w:hAnsi="Times New Roman" w:cs="Times New Roman"/>
                <w:sz w:val="22"/>
                <w:szCs w:val="22"/>
              </w:rPr>
              <w:t xml:space="preserve"> that serves at least fifteen service connections used by year-round residents or regularly serves at least 25 year-round residents (e.g., homes, apartments and condominiums that are occupied year-round as primary residences).</w:t>
            </w:r>
          </w:p>
        </w:tc>
        <w:tc>
          <w:tcPr>
            <w:tcW w:w="1620" w:type="dxa"/>
          </w:tcPr>
          <w:p w14:paraId="3A696D7C" w14:textId="77777777" w:rsidR="00DC416A" w:rsidRPr="00560BB5" w:rsidRDefault="00DC416A">
            <w:pPr>
              <w:rPr>
                <w:rFonts w:ascii="Times New Roman" w:hAnsi="Times New Roman" w:cs="Times New Roman"/>
                <w:sz w:val="22"/>
                <w:szCs w:val="22"/>
              </w:rPr>
            </w:pPr>
          </w:p>
        </w:tc>
      </w:tr>
      <w:tr w:rsidR="00DC416A" w:rsidRPr="00560BB5" w14:paraId="52E01390" w14:textId="77777777" w:rsidTr="00560BB5">
        <w:tc>
          <w:tcPr>
            <w:tcW w:w="1434" w:type="dxa"/>
          </w:tcPr>
          <w:p w14:paraId="4CE25F43" w14:textId="18E29809" w:rsidR="00DC416A" w:rsidRPr="00560BB5" w:rsidRDefault="00DC416A">
            <w:pPr>
              <w:rPr>
                <w:rFonts w:ascii="Times New Roman" w:hAnsi="Times New Roman" w:cs="Times New Roman"/>
                <w:sz w:val="22"/>
                <w:szCs w:val="22"/>
              </w:rPr>
            </w:pPr>
            <w:r w:rsidRPr="00560BB5">
              <w:rPr>
                <w:rFonts w:ascii="Times New Roman" w:hAnsi="Times New Roman" w:cs="Times New Roman"/>
                <w:sz w:val="22"/>
                <w:szCs w:val="22"/>
              </w:rPr>
              <w:t>Transient non-community water system</w:t>
            </w:r>
            <w:r w:rsidRPr="00560BB5">
              <w:rPr>
                <w:rFonts w:ascii="Times New Roman" w:hAnsi="Times New Roman" w:cs="Times New Roman"/>
                <w:sz w:val="22"/>
                <w:szCs w:val="22"/>
              </w:rPr>
              <w:t xml:space="preserve"> (</w:t>
            </w:r>
            <w:r w:rsidRPr="00560BB5">
              <w:rPr>
                <w:rFonts w:ascii="Times New Roman" w:hAnsi="Times New Roman" w:cs="Times New Roman"/>
                <w:sz w:val="22"/>
                <w:szCs w:val="22"/>
              </w:rPr>
              <w:t>TNCWS</w:t>
            </w:r>
            <w:r w:rsidRPr="00560BB5">
              <w:rPr>
                <w:rFonts w:ascii="Times New Roman" w:hAnsi="Times New Roman" w:cs="Times New Roman"/>
                <w:sz w:val="22"/>
                <w:szCs w:val="22"/>
              </w:rPr>
              <w:t>)</w:t>
            </w:r>
          </w:p>
        </w:tc>
        <w:tc>
          <w:tcPr>
            <w:tcW w:w="6571" w:type="dxa"/>
          </w:tcPr>
          <w:p w14:paraId="236D71B5" w14:textId="39C5C471" w:rsidR="00DC416A" w:rsidRPr="00560BB5" w:rsidRDefault="00DC416A">
            <w:pPr>
              <w:rPr>
                <w:rFonts w:ascii="Times New Roman" w:hAnsi="Times New Roman" w:cs="Times New Roman"/>
                <w:sz w:val="22"/>
                <w:szCs w:val="22"/>
              </w:rPr>
            </w:pPr>
            <w:r w:rsidRPr="00560BB5">
              <w:rPr>
                <w:rFonts w:ascii="Times New Roman" w:hAnsi="Times New Roman" w:cs="Times New Roman"/>
                <w:sz w:val="22"/>
                <w:szCs w:val="22"/>
              </w:rPr>
              <w:t>A non-community water system that does not regularly serve at least 25 of the same persons over six months per year   A typical example is a campground or a highway rest stop that has its own water source, such as a drinking water well.</w:t>
            </w:r>
          </w:p>
        </w:tc>
        <w:tc>
          <w:tcPr>
            <w:tcW w:w="1620" w:type="dxa"/>
          </w:tcPr>
          <w:p w14:paraId="38AFFF40" w14:textId="77777777" w:rsidR="00DC416A" w:rsidRPr="00560BB5" w:rsidRDefault="00DC416A">
            <w:pPr>
              <w:rPr>
                <w:rFonts w:ascii="Times New Roman" w:hAnsi="Times New Roman" w:cs="Times New Roman"/>
                <w:sz w:val="22"/>
                <w:szCs w:val="22"/>
              </w:rPr>
            </w:pPr>
          </w:p>
        </w:tc>
      </w:tr>
      <w:tr w:rsidR="00DC416A" w:rsidRPr="00560BB5" w14:paraId="626CF345" w14:textId="77777777" w:rsidTr="00560BB5">
        <w:tc>
          <w:tcPr>
            <w:tcW w:w="1434" w:type="dxa"/>
          </w:tcPr>
          <w:p w14:paraId="0FC5A7A5" w14:textId="41344F1F" w:rsidR="00DC416A" w:rsidRPr="00560BB5" w:rsidRDefault="00DC416A">
            <w:pPr>
              <w:rPr>
                <w:rFonts w:ascii="Times New Roman" w:hAnsi="Times New Roman" w:cs="Times New Roman"/>
                <w:sz w:val="22"/>
                <w:szCs w:val="22"/>
              </w:rPr>
            </w:pPr>
            <w:r w:rsidRPr="00560BB5">
              <w:rPr>
                <w:rFonts w:ascii="Times New Roman" w:hAnsi="Times New Roman" w:cs="Times New Roman"/>
                <w:sz w:val="22"/>
                <w:szCs w:val="22"/>
              </w:rPr>
              <w:t xml:space="preserve">Non-transient non-community water </w:t>
            </w:r>
            <w:proofErr w:type="gramStart"/>
            <w:r w:rsidRPr="00560BB5">
              <w:rPr>
                <w:rFonts w:ascii="Times New Roman" w:hAnsi="Times New Roman" w:cs="Times New Roman"/>
                <w:sz w:val="22"/>
                <w:szCs w:val="22"/>
              </w:rPr>
              <w:t>system</w:t>
            </w:r>
            <w:r w:rsidRPr="00560BB5">
              <w:rPr>
                <w:rFonts w:ascii="Times New Roman" w:hAnsi="Times New Roman" w:cs="Times New Roman"/>
                <w:sz w:val="22"/>
                <w:szCs w:val="22"/>
              </w:rPr>
              <w:t xml:space="preserve">  (</w:t>
            </w:r>
            <w:proofErr w:type="gramEnd"/>
            <w:r w:rsidRPr="00560BB5">
              <w:rPr>
                <w:rFonts w:ascii="Times New Roman" w:hAnsi="Times New Roman" w:cs="Times New Roman"/>
                <w:sz w:val="22"/>
                <w:szCs w:val="22"/>
              </w:rPr>
              <w:t>NTNCWS</w:t>
            </w:r>
            <w:r w:rsidRPr="00560BB5">
              <w:rPr>
                <w:rFonts w:ascii="Times New Roman" w:hAnsi="Times New Roman" w:cs="Times New Roman"/>
                <w:sz w:val="22"/>
                <w:szCs w:val="22"/>
              </w:rPr>
              <w:t>)</w:t>
            </w:r>
          </w:p>
        </w:tc>
        <w:tc>
          <w:tcPr>
            <w:tcW w:w="6571" w:type="dxa"/>
          </w:tcPr>
          <w:p w14:paraId="2CBD0C81" w14:textId="4120D5F6" w:rsidR="00DC416A" w:rsidRPr="00560BB5" w:rsidRDefault="00DC416A">
            <w:pPr>
              <w:rPr>
                <w:rFonts w:ascii="Times New Roman" w:hAnsi="Times New Roman" w:cs="Times New Roman"/>
                <w:sz w:val="22"/>
                <w:szCs w:val="22"/>
              </w:rPr>
            </w:pPr>
            <w:r w:rsidRPr="00560BB5">
              <w:rPr>
                <w:rFonts w:ascii="Times New Roman" w:hAnsi="Times New Roman" w:cs="Times New Roman"/>
                <w:sz w:val="22"/>
                <w:szCs w:val="22"/>
              </w:rPr>
              <w:t>A non-community PWS that regularly serves at least 25 of the same persons over six months per year. A typical example of a non-transient non-community water system is a school or an office building that has its own water source, such as a drinking water well.</w:t>
            </w:r>
          </w:p>
        </w:tc>
        <w:tc>
          <w:tcPr>
            <w:tcW w:w="1620" w:type="dxa"/>
          </w:tcPr>
          <w:p w14:paraId="6B95871A" w14:textId="77777777" w:rsidR="00DC416A" w:rsidRPr="00560BB5" w:rsidRDefault="00DC416A">
            <w:pPr>
              <w:rPr>
                <w:rFonts w:ascii="Times New Roman" w:hAnsi="Times New Roman" w:cs="Times New Roman"/>
                <w:sz w:val="22"/>
                <w:szCs w:val="22"/>
              </w:rPr>
            </w:pPr>
          </w:p>
        </w:tc>
      </w:tr>
      <w:tr w:rsidR="00560BB5" w:rsidRPr="00560BB5" w14:paraId="126DB9BB" w14:textId="77777777" w:rsidTr="009C0A4C">
        <w:tc>
          <w:tcPr>
            <w:tcW w:w="8005" w:type="dxa"/>
            <w:gridSpan w:val="2"/>
          </w:tcPr>
          <w:p w14:paraId="02B86749" w14:textId="1AD3D768" w:rsidR="00560BB5" w:rsidRPr="00560BB5" w:rsidRDefault="00560BB5">
            <w:pPr>
              <w:rPr>
                <w:rFonts w:ascii="Times New Roman" w:hAnsi="Times New Roman" w:cs="Times New Roman"/>
                <w:sz w:val="22"/>
                <w:szCs w:val="22"/>
              </w:rPr>
            </w:pPr>
            <w:r>
              <w:rPr>
                <w:rFonts w:ascii="Times New Roman" w:hAnsi="Times New Roman" w:cs="Times New Roman"/>
                <w:sz w:val="22"/>
                <w:szCs w:val="22"/>
              </w:rPr>
              <w:t>TOTAL</w:t>
            </w:r>
          </w:p>
        </w:tc>
        <w:tc>
          <w:tcPr>
            <w:tcW w:w="1620" w:type="dxa"/>
          </w:tcPr>
          <w:p w14:paraId="775EFF1C" w14:textId="77777777" w:rsidR="00560BB5" w:rsidRPr="00560BB5" w:rsidRDefault="00560BB5">
            <w:pPr>
              <w:rPr>
                <w:rFonts w:ascii="Times New Roman" w:hAnsi="Times New Roman" w:cs="Times New Roman"/>
                <w:sz w:val="22"/>
                <w:szCs w:val="22"/>
              </w:rPr>
            </w:pPr>
          </w:p>
        </w:tc>
      </w:tr>
    </w:tbl>
    <w:p w14:paraId="355487AF" w14:textId="77777777" w:rsidR="00DC416A" w:rsidRDefault="00DC416A"/>
    <w:sectPr w:rsidR="00DC4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22D"/>
    <w:rsid w:val="00052D1B"/>
    <w:rsid w:val="00170752"/>
    <w:rsid w:val="001E1FCF"/>
    <w:rsid w:val="003646FE"/>
    <w:rsid w:val="00371290"/>
    <w:rsid w:val="003D3906"/>
    <w:rsid w:val="004D46D1"/>
    <w:rsid w:val="00560BB5"/>
    <w:rsid w:val="0069422D"/>
    <w:rsid w:val="00791DC3"/>
    <w:rsid w:val="007C1592"/>
    <w:rsid w:val="007F2001"/>
    <w:rsid w:val="008B055B"/>
    <w:rsid w:val="008F1D4E"/>
    <w:rsid w:val="00997080"/>
    <w:rsid w:val="00A40A5A"/>
    <w:rsid w:val="00A63E7C"/>
    <w:rsid w:val="00BA5CD6"/>
    <w:rsid w:val="00BD16EE"/>
    <w:rsid w:val="00BE12F8"/>
    <w:rsid w:val="00CC0FE2"/>
    <w:rsid w:val="00DC416A"/>
    <w:rsid w:val="00E31B0B"/>
    <w:rsid w:val="00FE7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481152"/>
  <w15:chartTrackingRefBased/>
  <w15:docId w15:val="{345665A3-C4A8-D641-A3B8-A895359E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22D"/>
    <w:rPr>
      <w:rFonts w:eastAsiaTheme="majorEastAsia" w:cstheme="majorBidi"/>
      <w:color w:val="272727" w:themeColor="text1" w:themeTint="D8"/>
    </w:rPr>
  </w:style>
  <w:style w:type="paragraph" w:styleId="Title">
    <w:name w:val="Title"/>
    <w:basedOn w:val="Normal"/>
    <w:next w:val="Normal"/>
    <w:link w:val="TitleChar"/>
    <w:uiPriority w:val="10"/>
    <w:qFormat/>
    <w:rsid w:val="00694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22D"/>
    <w:pPr>
      <w:spacing w:before="160"/>
      <w:jc w:val="center"/>
    </w:pPr>
    <w:rPr>
      <w:i/>
      <w:iCs/>
      <w:color w:val="404040" w:themeColor="text1" w:themeTint="BF"/>
    </w:rPr>
  </w:style>
  <w:style w:type="character" w:customStyle="1" w:styleId="QuoteChar">
    <w:name w:val="Quote Char"/>
    <w:basedOn w:val="DefaultParagraphFont"/>
    <w:link w:val="Quote"/>
    <w:uiPriority w:val="29"/>
    <w:rsid w:val="0069422D"/>
    <w:rPr>
      <w:i/>
      <w:iCs/>
      <w:color w:val="404040" w:themeColor="text1" w:themeTint="BF"/>
    </w:rPr>
  </w:style>
  <w:style w:type="paragraph" w:styleId="ListParagraph">
    <w:name w:val="List Paragraph"/>
    <w:basedOn w:val="Normal"/>
    <w:uiPriority w:val="34"/>
    <w:qFormat/>
    <w:rsid w:val="0069422D"/>
    <w:pPr>
      <w:ind w:left="720"/>
      <w:contextualSpacing/>
    </w:pPr>
  </w:style>
  <w:style w:type="character" w:styleId="IntenseEmphasis">
    <w:name w:val="Intense Emphasis"/>
    <w:basedOn w:val="DefaultParagraphFont"/>
    <w:uiPriority w:val="21"/>
    <w:qFormat/>
    <w:rsid w:val="0069422D"/>
    <w:rPr>
      <w:i/>
      <w:iCs/>
      <w:color w:val="0F4761" w:themeColor="accent1" w:themeShade="BF"/>
    </w:rPr>
  </w:style>
  <w:style w:type="paragraph" w:styleId="IntenseQuote">
    <w:name w:val="Intense Quote"/>
    <w:basedOn w:val="Normal"/>
    <w:next w:val="Normal"/>
    <w:link w:val="IntenseQuoteChar"/>
    <w:uiPriority w:val="30"/>
    <w:qFormat/>
    <w:rsid w:val="00694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22D"/>
    <w:rPr>
      <w:i/>
      <w:iCs/>
      <w:color w:val="0F4761" w:themeColor="accent1" w:themeShade="BF"/>
    </w:rPr>
  </w:style>
  <w:style w:type="character" w:styleId="IntenseReference">
    <w:name w:val="Intense Reference"/>
    <w:basedOn w:val="DefaultParagraphFont"/>
    <w:uiPriority w:val="32"/>
    <w:qFormat/>
    <w:rsid w:val="0069422D"/>
    <w:rPr>
      <w:b/>
      <w:bCs/>
      <w:smallCaps/>
      <w:color w:val="0F4761" w:themeColor="accent1" w:themeShade="BF"/>
      <w:spacing w:val="5"/>
    </w:rPr>
  </w:style>
  <w:style w:type="table" w:styleId="TableGrid">
    <w:name w:val="Table Grid"/>
    <w:basedOn w:val="TableNormal"/>
    <w:uiPriority w:val="39"/>
    <w:rsid w:val="00DC41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D46D1"/>
    <w:rPr>
      <w:color w:val="467886" w:themeColor="hyperlink"/>
      <w:u w:val="single"/>
    </w:rPr>
  </w:style>
  <w:style w:type="character" w:styleId="UnresolvedMention">
    <w:name w:val="Unresolved Mention"/>
    <w:basedOn w:val="DefaultParagraphFont"/>
    <w:uiPriority w:val="99"/>
    <w:semiHidden/>
    <w:unhideWhenUsed/>
    <w:rsid w:val="004D4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ngress.gov/bill/119th-congress/house-bill/100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517</Words>
  <Characters>2847</Characters>
  <Application>Microsoft Office Word</Application>
  <DocSecurity>0</DocSecurity>
  <Lines>49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Macias</dc:creator>
  <cp:keywords/>
  <dc:description/>
  <cp:lastModifiedBy>Jose Macias</cp:lastModifiedBy>
  <cp:revision>6</cp:revision>
  <dcterms:created xsi:type="dcterms:W3CDTF">2026-08-15T11:29:00Z</dcterms:created>
  <dcterms:modified xsi:type="dcterms:W3CDTF">2026-08-15T21:46:00Z</dcterms:modified>
</cp:coreProperties>
</file>