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Funcional</w:t>
      </w:r>
      <w:r>
        <w:t xml:space="preserve"> </w:t>
      </w:r>
      <w:r>
        <w:t xml:space="preserve">–</w:t>
      </w:r>
      <w:r>
        <w:t xml:space="preserve"> </w:t>
      </w:r>
      <w:r>
        <w:t xml:space="preserve">APOC</w:t>
      </w:r>
      <w:r>
        <w:t xml:space="preserve"> </w:t>
      </w:r>
      <w:r>
        <w:t xml:space="preserve">Pago</w:t>
      </w:r>
      <w:r>
        <w:t xml:space="preserve"> </w:t>
      </w:r>
      <w:r>
        <w:t xml:space="preserve">Desacoplado</w:t>
      </w:r>
    </w:p>
    <w:p>
      <w:pPr>
        <w:pStyle w:val="Subtitle"/>
      </w:pPr>
      <w:r>
        <w:t xml:space="preserve">APOC de pago desacoplado · .NET 10 · v1.1 · Octubre 2026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0" w:lastRow="0" w:firstColumn="0" w:lastColumn="0" w:noHBand="0" w:noVBand="0" w:val="0000"/>
      </w:tblPr>
      <w:tblGrid>
        <w:gridCol w:w="2427"/>
        <w:gridCol w:w="6933"/>
      </w:tblGrid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Producto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APOC de pago desacoplado con OTP y token de un solo uso</w:t>
            </w:r>
          </w:p>
        </w:tc>
      </w:tr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Versión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1.1 (con persistencia en base de datos)</w:t>
            </w:r>
          </w:p>
        </w:tc>
      </w:tr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Audiencia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Analistas de negocio, QA, líderes de producto, operaciones</w:t>
            </w:r>
          </w:p>
        </w:tc>
      </w:tr>
      <w:tr>
        <w:tc>
          <w:tcPr>
            <w:tcW w:type="dxa" w:w="2427"/>
            <w:shd w:val="clear" w:color="auto" w:fill="E7ECF4"/>
          </w:tcPr>
          <w:p>
            <w:pPr>
              <w:pStyle w:val="Compact"/>
              <w:jc w:val="left"/>
            </w:pPr>
            <w:r>
              <w:rPr>
                <w:b/>
                <w:bCs/>
                <w:color w:val="1F3864"/>
                <w:sz w:val="20"/>
              </w:rPr>
              <w:t xml:space="preserve">Documento fuente</w:t>
            </w:r>
          </w:p>
        </w:tc>
        <w:tc>
          <w:tcPr>
            <w:tcW w:type="dxa" w:w="6933"/>
          </w:tcPr>
          <w:p>
            <w:pPr>
              <w:pStyle w:val="Compact"/>
              <w:jc w:val="left"/>
            </w:pPr>
            <w:r>
              <w:rPr>
                <w:i/>
                <w:iCs/>
                <w:sz w:val="20"/>
              </w:rPr>
              <w:t xml:space="preserve">Especificacion_Arquitectura_Pago_Desacoplado_NET10.docx</w:t>
            </w:r>
          </w:p>
        </w:tc>
      </w:tr>
    </w:tbl>
    <w:p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TOC \o "1-1" \z \u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 xml:space="preserve">1. Introducción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2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2. Actores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2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3. Visión del proceso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3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4. Estados de la transacción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4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5. Casos de uso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4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6. Reglas de negocio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5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7. Pantallas del portal (/payment-gateway)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6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8. Mensajes y errores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6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9. Casos de prueba de aceptación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7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10. Datos de prueba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7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11. Datos que se conservan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8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12. Alcance y limitaciones de la APOC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8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13. Evolución sugerida hacia producción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8</w:t>
          </w:r>
        </w:p>
        <w:p>
          <w:pPr>
            <w:tabs>
              <w:tab w:val="right" w:leader="dot" w:pos="9350"/>
            </w:tabs>
            <w:spacing w:after="60"/>
          </w:pPr>
          <w:r>
            <w:rPr>
              <w:sz w:val="21"/>
            </w:rPr>
            <w:t xml:space="preserve">14. Glosario</w:t>
          </w:r>
          <w:r>
            <w:rPr>
              <w:sz w:val="21"/>
            </w:rPr>
            <w:tab/>
          </w:r>
          <w:r>
            <w:rPr>
              <w:sz w:val="21"/>
            </w:rPr>
            <w:t xml:space="preserve">8</w:t>
          </w:r>
          <w:r>
            <w:rPr>
              <w:sz w:val="21"/>
            </w:rPr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r>
        <w:br w:type="page"/>
      </w:r>
    </w:p>
    <w:bookmarkStart w:id="23" w:name="introducción"/>
    <w:p>
      <w:pPr>
        <w:pStyle w:val="Heading1"/>
      </w:pPr>
      <w:r>
        <w:t xml:space="preserve">1. Introducción</w:t>
      </w:r>
    </w:p>
    <w:bookmarkStart w:id="20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Demostrar (prueba de concepto) un flujo de pago</w:t>
      </w:r>
      <w:r>
        <w:t xml:space="preserve"> </w:t>
      </w:r>
      <w:r>
        <w:rPr>
          <w:b/>
          <w:bCs/>
        </w:rPr>
        <w:t xml:space="preserve">desacoplado</w:t>
      </w:r>
      <w:r>
        <w:t xml:space="preserve">, en el que la autorización del usuario y la ejecución del débito son pasos separados y se unen mediante un</w:t>
      </w:r>
      <w:r>
        <w:t xml:space="preserve"> </w:t>
      </w:r>
      <w:r>
        <w:rPr>
          <w:b/>
          <w:bCs/>
        </w:rPr>
        <w:t xml:space="preserve">token de un solo uso y vida muy corta</w:t>
      </w:r>
      <w:r>
        <w:t xml:space="preserve">.</w:t>
      </w:r>
    </w:p>
    <w:bookmarkEnd w:id="20"/>
    <w:bookmarkStart w:id="21" w:name="alcance"/>
    <w:p>
      <w:pPr>
        <w:pStyle w:val="Heading2"/>
      </w:pPr>
      <w:r>
        <w:t xml:space="preserve">1.2 Alcance</w:t>
      </w:r>
    </w:p>
    <w:p>
      <w:pPr>
        <w:pStyle w:val="FirstParagraph"/>
      </w:pPr>
      <w:r>
        <w:t xml:space="preserve">Incluye: iniciación del pago, validación del OTP, emisión del token de autorización, ejecución del débito y bloqueo de reutilización del token (anti-replay).</w:t>
      </w:r>
      <w:r>
        <w:t xml:space="preserve"> </w:t>
      </w:r>
      <w:r>
        <w:t xml:space="preserve">No incluye (simulado en la APOC): conexión real con el banco, envío real del OTP, notificación al comercio (callback), conciliación y reportes. Ver sección 12.</w:t>
      </w:r>
    </w:p>
    <w:bookmarkEnd w:id="21"/>
    <w:bookmarkStart w:id="22" w:name="qué-problema-resuelve"/>
    <w:p>
      <w:pPr>
        <w:pStyle w:val="Heading2"/>
      </w:pPr>
      <w:r>
        <w:t xml:space="preserve">1.3 ¿Qué problema resuelve?</w:t>
      </w:r>
    </w:p>
    <w:p>
      <w:pPr>
        <w:pStyle w:val="FirstParagraph"/>
      </w:pPr>
      <w:r>
        <w:t xml:space="preserve">En un pago tradicional, quien inicia la operación y quien la autoriza comparten el mismo canal. Si un tercero captura la petición de débito, podría repetirla. El esquema desacoplado reduce ese riesgo: el débito solo se acepta con un token emitido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validar al usuario, válido</w:t>
      </w:r>
      <w:r>
        <w:t xml:space="preserve"> </w:t>
      </w:r>
      <w:r>
        <w:rPr>
          <w:b/>
          <w:bCs/>
        </w:rPr>
        <w:t xml:space="preserve">60 segundos</w:t>
      </w:r>
      <w:r>
        <w:t xml:space="preserve"> </w:t>
      </w:r>
      <w:r>
        <w:t xml:space="preserve">y utilizable</w:t>
      </w:r>
      <w:r>
        <w:t xml:space="preserve"> </w:t>
      </w:r>
      <w:r>
        <w:rPr>
          <w:b/>
          <w:bCs/>
        </w:rPr>
        <w:t xml:space="preserve">una única vez</w:t>
      </w:r>
      <w:r>
        <w:t xml:space="preserve">.</w:t>
      </w:r>
    </w:p>
    <w:bookmarkEnd w:id="22"/>
    <w:bookmarkEnd w:id="23"/>
    <w:bookmarkStart w:id="24" w:name="actores"/>
    <w:p>
      <w:pPr>
        <w:pStyle w:val="Heading1"/>
      </w:pPr>
      <w:r>
        <w:t xml:space="preserve">2. Actores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865"/>
        <w:gridCol w:w="6495"/>
      </w:tblGrid>
      <w:tr>
        <w:trPr>
          <w:tblHeader w:val="true"/>
          <w:cantSplit/>
          <w:tblHeader/>
        </w:trPr>
        <w:tc>
          <w:tcPr>
            <w:tcW w:type="dxa" w:w="286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Actor</w:t>
            </w:r>
          </w:p>
        </w:tc>
        <w:tc>
          <w:tcPr>
            <w:tcW w:type="dxa" w:w="649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Pagador (usuario)</w:t>
            </w:r>
          </w:p>
        </w:tc>
        <w:tc>
          <w:tcPr>
            <w:tcW w:type="dxa" w:w="64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paga. Ingresa sus datos y confirma con un OTP</w:t>
            </w:r>
          </w:p>
        </w:tc>
      </w:tr>
      <w:tr>
        <w:trPr>
          <w:cantSplit/>
        </w:trPr>
        <w:tc>
          <w:tcPr>
            <w:tcW w:type="dxa" w:w="28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Comercio (merchant)</w:t>
            </w:r>
          </w:p>
        </w:tc>
        <w:tc>
          <w:tcPr>
            <w:tcW w:type="dxa" w:w="64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Origina el cobro; se identifica con su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merchant_id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Portal de pago</w:t>
            </w:r>
          </w:p>
        </w:tc>
        <w:tc>
          <w:tcPr>
            <w:tcW w:type="dxa" w:w="64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 web que guía al pagador (frontend)</w:t>
            </w:r>
          </w:p>
        </w:tc>
      </w:tr>
      <w:tr>
        <w:trPr>
          <w:cantSplit/>
        </w:trPr>
        <w:tc>
          <w:tcPr>
            <w:tcW w:type="dxa" w:w="28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Plataforma de pagos</w:t>
            </w:r>
          </w:p>
        </w:tc>
        <w:tc>
          <w:tcPr>
            <w:tcW w:type="dxa" w:w="64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Servicio que valida, autoriza y ejecuta (backend + base de datos)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Entidad financiera</w:t>
            </w:r>
          </w:p>
        </w:tc>
        <w:tc>
          <w:tcPr>
            <w:tcW w:type="dxa" w:w="64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Realiza el débito real. En la APOC se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simula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una referencia generada</w:t>
            </w:r>
          </w:p>
        </w:tc>
      </w:tr>
      <w:tr>
        <w:trPr>
          <w:cantSplit/>
        </w:trPr>
        <w:tc>
          <w:tcPr>
            <w:tcW w:type="dxa" w:w="28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Operaciones / soporte</w:t>
            </w:r>
          </w:p>
        </w:tc>
        <w:tc>
          <w:tcPr>
            <w:tcW w:type="dxa" w:w="64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 el servicio y consulta transacciones</w:t>
            </w:r>
          </w:p>
        </w:tc>
      </w:tr>
    </w:tbl>
    <w:bookmarkEnd w:id="24"/>
    <w:bookmarkStart w:id="29" w:name="visión-del-proceso"/>
    <w:p>
      <w:pPr>
        <w:pStyle w:val="Heading1"/>
      </w:pPr>
      <w:r>
        <w:t xml:space="preserve">3. Visión del proceso</w:t>
      </w:r>
    </w:p>
    <w:p>
      <w:pPr>
        <w:pStyle w:val="CaptionedFigure"/>
        <w:jc w:val="center"/>
      </w:pPr>
      <w:r>
        <w:drawing>
          <wp:inline>
            <wp:extent cx="5486400" cy="4918471"/>
            <wp:effectExtent b="0" l="0" r="0" t="0"/>
            <wp:docPr descr="Figura 1 – Secuencia del proceso de pago desacoplado" title="" id="26" name="Picture"/>
            <a:graphic>
              <a:graphicData uri="http://schemas.openxmlformats.org/drawingml/2006/picture">
                <pic:pic>
                  <pic:nvPicPr>
                    <pic:cNvPr descr="/home/claude/word/img/func_secuenci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1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1 – Secuencia del proceso de pago desacoplado</w:t>
      </w:r>
    </w:p>
    <w:bookmarkStart w:id="28" w:name="descripción-por-etapa"/>
    <w:p>
      <w:pPr>
        <w:pStyle w:val="Heading2"/>
      </w:pPr>
      <w:r>
        <w:t xml:space="preserve">3.1 Descripción por etapa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Iniciación.</w:t>
      </w:r>
      <w:r>
        <w:t xml:space="preserve"> </w:t>
      </w:r>
      <w:r>
        <w:t xml:space="preserve">El portal envía comercio, documento del usuario, monto y moneda. La plataforma crea la transacción en estado</w:t>
      </w:r>
      <w:r>
        <w:t xml:space="preserve"> </w:t>
      </w:r>
      <w:r>
        <w:rPr>
          <w:i/>
          <w:iCs/>
        </w:rPr>
        <w:t xml:space="preserve">Pendiente de verificación OTP</w:t>
      </w:r>
      <w:r>
        <w:t xml:space="preserve"> </w:t>
      </w:r>
      <w:r>
        <w:t xml:space="preserve">y entrega un identificador.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Verificación del OTP.</w:t>
      </w:r>
      <w:r>
        <w:t xml:space="preserve"> </w:t>
      </w:r>
      <w:r>
        <w:t xml:space="preserve">El usuario digita el código. Si es correcto, la transacción pasa a</w:t>
      </w:r>
      <w:r>
        <w:t xml:space="preserve"> </w:t>
      </w:r>
      <w:r>
        <w:rPr>
          <w:i/>
          <w:iCs/>
        </w:rPr>
        <w:t xml:space="preserve">Autorizada</w:t>
      </w:r>
      <w:r>
        <w:t xml:space="preserve"> </w:t>
      </w:r>
      <w:r>
        <w:t xml:space="preserve">y se emite el token de pago (60 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Ejecución.</w:t>
      </w:r>
      <w:r>
        <w:t xml:space="preserve"> </w:t>
      </w:r>
      <w:r>
        <w:t xml:space="preserve">Con ese token el portal solicita el débito. La plataforma verifica el token, comprueba que no se haya usado antes y que corresponda a esa transacción, y ejecuta. La transacción pasa a</w:t>
      </w:r>
      <w:r>
        <w:t xml:space="preserve"> </w:t>
      </w:r>
      <w:r>
        <w:rPr>
          <w:i/>
          <w:iCs/>
        </w:rPr>
        <w:t xml:space="preserve">Ejecutada</w:t>
      </w:r>
      <w:r>
        <w:t xml:space="preserve"> </w:t>
      </w:r>
      <w:r>
        <w:t xml:space="preserve">y se devuelve la referencia bancaria.</w:t>
      </w:r>
    </w:p>
    <w:bookmarkEnd w:id="28"/>
    <w:bookmarkEnd w:id="29"/>
    <w:bookmarkStart w:id="33" w:name="estados-de-la-transacción"/>
    <w:p>
      <w:pPr>
        <w:pStyle w:val="Heading1"/>
      </w:pPr>
      <w:r>
        <w:t xml:space="preserve">4. Estados de la transacción</w:t>
      </w:r>
    </w:p>
    <w:p>
      <w:pPr>
        <w:pStyle w:val="CaptionedFigure"/>
        <w:jc w:val="center"/>
      </w:pPr>
      <w:r>
        <w:drawing>
          <wp:inline>
            <wp:extent cx="5669280" cy="1793795"/>
            <wp:effectExtent b="0" l="0" r="0" t="0"/>
            <wp:docPr descr="Figura 2 – Estados de la transacción" title="" id="31" name="Picture"/>
            <a:graphic>
              <a:graphicData uri="http://schemas.openxmlformats.org/drawingml/2006/picture">
                <pic:pic>
                  <pic:nvPicPr>
                    <pic:cNvPr descr="/home/claude/word/img/func_estado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9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2 – Estados de la transacción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944"/>
        <w:gridCol w:w="6416"/>
      </w:tblGrid>
      <w:tr>
        <w:trPr>
          <w:tblHeader w:val="true"/>
          <w:cantSplit/>
          <w:tblHeader/>
        </w:trPr>
        <w:tc>
          <w:tcPr>
            <w:tcW w:type="dxa" w:w="294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Estado</w:t>
            </w:r>
          </w:p>
        </w:tc>
        <w:tc>
          <w:tcPr>
            <w:tcW w:type="dxa" w:w="6416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94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PendingOtpVerification</w:t>
            </w:r>
          </w:p>
        </w:tc>
        <w:tc>
          <w:tcPr>
            <w:tcW w:type="dxa" w:w="641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Creada; espera el OTP del usuario</w:t>
            </w:r>
          </w:p>
        </w:tc>
      </w:tr>
      <w:tr>
        <w:trPr>
          <w:cantSplit/>
        </w:trPr>
        <w:tc>
          <w:tcPr>
            <w:tcW w:type="dxa" w:w="294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Authorized</w:t>
            </w:r>
          </w:p>
        </w:tc>
        <w:tc>
          <w:tcPr>
            <w:tcW w:type="dxa" w:w="641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OTP validado; se emitió el token de pago</w:t>
            </w:r>
          </w:p>
        </w:tc>
      </w:tr>
      <w:tr>
        <w:trPr>
          <w:cantSplit/>
        </w:trPr>
        <w:tc>
          <w:tcPr>
            <w:tcW w:type="dxa" w:w="2944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Executed</w:t>
            </w:r>
          </w:p>
        </w:tc>
        <w:tc>
          <w:tcPr>
            <w:tcW w:type="dxa" w:w="641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Débito realizado (estado final)</w:t>
            </w:r>
          </w:p>
        </w:tc>
      </w:tr>
      <w:tr>
        <w:trPr>
          <w:cantSplit/>
        </w:trPr>
        <w:tc>
          <w:tcPr>
            <w:tcW w:type="dxa" w:w="294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Failed</w:t>
            </w:r>
          </w:p>
        </w:tc>
        <w:tc>
          <w:tcPr>
            <w:tcW w:type="dxa" w:w="641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Definido en el modelo para fallos de ejecución; la APOC no lo asigna todavía</w:t>
            </w:r>
          </w:p>
        </w:tc>
      </w:tr>
    </w:tbl>
    <w:bookmarkEnd w:id="33"/>
    <w:bookmarkStart w:id="39" w:name="casos-de-uso"/>
    <w:p>
      <w:pPr>
        <w:pStyle w:val="Heading1"/>
      </w:pPr>
      <w:r>
        <w:t xml:space="preserve">5. Casos de uso</w:t>
      </w:r>
    </w:p>
    <w:bookmarkStart w:id="34" w:name="cu-01-iniciar-transacción"/>
    <w:p>
      <w:pPr>
        <w:pStyle w:val="Heading2"/>
      </w:pPr>
      <w:r>
        <w:t xml:space="preserve">CU-01 Iniciar transacción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Pagador (vía portal).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Precondición:</w:t>
      </w:r>
      <w:r>
        <w:t xml:space="preserve"> </w:t>
      </w:r>
      <w:r>
        <w:t xml:space="preserve">el portal puede comunicarse con la plataforma.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Flujo principal:</w:t>
      </w:r>
      <w:r>
        <w:t xml:space="preserve"> </w:t>
      </w:r>
      <w:r>
        <w:t xml:space="preserve">el pagador revisa documento y monto → pulsa</w:t>
      </w:r>
      <w:r>
        <w:t xml:space="preserve"> </w:t>
      </w:r>
      <w:r>
        <w:rPr>
          <w:i/>
          <w:iCs/>
        </w:rPr>
        <w:t xml:space="preserve">Iniciar Transacción</w:t>
      </w:r>
      <w:r>
        <w:t xml:space="preserve"> </w:t>
      </w:r>
      <w:r>
        <w:t xml:space="preserve">→ el sistema crea la transacción y avanza al paso del OTP.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Alternos:</w:t>
      </w:r>
      <w:r>
        <w:t xml:space="preserve"> </w:t>
      </w:r>
      <w:r>
        <w:t xml:space="preserve">datos inválidos (monto ≤ 0, moneda que no es de 3 letras, campos vacíos o demasiado largos) → el sistema rechaza con un mensaje y no crea la transacción.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transacción en</w:t>
      </w:r>
      <w:r>
        <w:t xml:space="preserve"> </w:t>
      </w:r>
      <w:r>
        <w:rPr>
          <w:rStyle w:val="VerbatimChar"/>
        </w:rPr>
        <w:t xml:space="preserve">PendingOtpVerification</w:t>
      </w:r>
      <w:r>
        <w:t xml:space="preserve">, con vigencia de 5 minutos.</w:t>
      </w:r>
    </w:p>
    <w:bookmarkEnd w:id="34"/>
    <w:bookmarkStart w:id="35" w:name="cu-02-verificar-otp"/>
    <w:p>
      <w:pPr>
        <w:pStyle w:val="Heading2"/>
      </w:pPr>
      <w:r>
        <w:t xml:space="preserve">CU-02 Verificar 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Precondición:</w:t>
      </w:r>
      <w:r>
        <w:t xml:space="preserve"> </w:t>
      </w:r>
      <w:r>
        <w:t xml:space="preserve">transacción en</w:t>
      </w:r>
      <w:r>
        <w:t xml:space="preserve"> </w:t>
      </w:r>
      <w:r>
        <w:rPr>
          <w:rStyle w:val="VerbatimChar"/>
        </w:rPr>
        <w:t xml:space="preserve">PendingOtpVerification</w:t>
      </w:r>
      <w:r>
        <w:t xml:space="preserve"> </w:t>
      </w:r>
      <w:r>
        <w:t xml:space="preserve">y no vencida.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Flujo principal:</w:t>
      </w:r>
      <w:r>
        <w:t xml:space="preserve"> </w:t>
      </w:r>
      <w:r>
        <w:t xml:space="preserve">el pagador ingresa el OTP de 6 dígitos → el sistema lo valida → emite el token de pago (60 s) → el portal avanza al paso de débito.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Alternos:</w:t>
      </w:r>
    </w:p>
    <w:p>
      <w:pPr>
        <w:pStyle w:val="Compact"/>
        <w:numPr>
          <w:ilvl w:val="1"/>
          <w:numId w:val="1004"/>
        </w:numPr>
      </w:pPr>
      <w:r>
        <w:t xml:space="preserve">OTP incorrecto → mensaje</w:t>
      </w:r>
      <w:r>
        <w:t xml:space="preserve"> </w:t>
      </w:r>
      <w:r>
        <w:t xml:space="preserve">“</w:t>
      </w:r>
      <w:r>
        <w:t xml:space="preserve">OTP incorrecto o expirado</w:t>
      </w:r>
      <w:r>
        <w:t xml:space="preserve">”</w:t>
      </w:r>
      <w:r>
        <w:t xml:space="preserve">; la transacción sigue pendiente y puede reintentarse.</w:t>
      </w:r>
    </w:p>
    <w:p>
      <w:pPr>
        <w:pStyle w:val="Compact"/>
        <w:numPr>
          <w:ilvl w:val="1"/>
          <w:numId w:val="1004"/>
        </w:numPr>
      </w:pPr>
      <w:r>
        <w:t xml:space="preserve">Transacción vencida (más de 5 min) → rechazo; se debe iniciar una nueva.</w:t>
      </w:r>
    </w:p>
    <w:p>
      <w:pPr>
        <w:pStyle w:val="Compact"/>
        <w:numPr>
          <w:ilvl w:val="1"/>
          <w:numId w:val="1004"/>
        </w:numPr>
      </w:pPr>
      <w:r>
        <w:t xml:space="preserve">Transacción ya autorizada o ejecutada → rechazo (no se emite un segundo token).</w:t>
      </w:r>
    </w:p>
    <w:p>
      <w:pPr>
        <w:pStyle w:val="Compact"/>
        <w:numPr>
          <w:ilvl w:val="1"/>
          <w:numId w:val="1004"/>
        </w:numPr>
      </w:pPr>
      <w:r>
        <w:t xml:space="preserve">Transacción inexistente → rechazo.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transacción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y token emitido.</w:t>
      </w:r>
    </w:p>
    <w:bookmarkEnd w:id="35"/>
    <w:bookmarkStart w:id="36" w:name="cu-03-ejecutar-pago"/>
    <w:p>
      <w:pPr>
        <w:pStyle w:val="Heading2"/>
      </w:pPr>
      <w:r>
        <w:t xml:space="preserve">CU-03 Ejecutar pago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Precondición:</w:t>
      </w:r>
      <w:r>
        <w:t xml:space="preserve"> </w:t>
      </w:r>
      <w:r>
        <w:t xml:space="preserve">transacción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; token vigente (60 s) y no utilizado.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Flujo principal:</w:t>
      </w:r>
      <w:r>
        <w:t xml:space="preserve"> </w:t>
      </w:r>
      <w:r>
        <w:t xml:space="preserve">el pagador pulsa</w:t>
      </w:r>
      <w:r>
        <w:t xml:space="preserve"> </w:t>
      </w:r>
      <w:r>
        <w:rPr>
          <w:i/>
          <w:iCs/>
        </w:rPr>
        <w:t xml:space="preserve">Ejecutar Débito Bancario</w:t>
      </w:r>
      <w:r>
        <w:t xml:space="preserve"> </w:t>
      </w:r>
      <w:r>
        <w:t xml:space="preserve">→ el sistema valida el token, lo marca como consumido, ejecuta el débito (simulado) → muestra</w:t>
      </w:r>
      <w:r>
        <w:t xml:space="preserve"> </w:t>
      </w:r>
      <w:r>
        <w:t xml:space="preserve">“</w:t>
      </w:r>
      <w:r>
        <w:t xml:space="preserve">¡Pago Exitoso!</w:t>
      </w:r>
      <w:r>
        <w:t xml:space="preserve">”</w:t>
      </w:r>
      <w:r>
        <w:t xml:space="preserve"> </w:t>
      </w:r>
      <w:r>
        <w:t xml:space="preserve">con la referencia bancaria y la fecha.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Alternos:</w:t>
      </w:r>
      <w:r>
        <w:t xml:space="preserve"> </w:t>
      </w:r>
      <w:r>
        <w:t xml:space="preserve">token vencido (más de 60 s) → rechazo, reiniciar el flujo; token de otra transacción → rechazo; falta la clave de idempotencia → rechazo; transacción en estado no autorizado → rechazo.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transacción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; el token queda inutilizable.</w:t>
      </w:r>
    </w:p>
    <w:bookmarkEnd w:id="36"/>
    <w:bookmarkStart w:id="37" w:name="X83678848bba3284c561a51340d78d9d5cf4c03e"/>
    <w:p>
      <w:pPr>
        <w:pStyle w:val="Heading2"/>
      </w:pPr>
      <w:r>
        <w:t xml:space="preserve">CU-04 Rechazar la reutilización del token (anti-replay)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demostrar que un token capturado no sirve para repetir el cobro.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Flujo:</w:t>
      </w:r>
      <w:r>
        <w:t xml:space="preserve"> </w:t>
      </w:r>
      <w:r>
        <w:t xml:space="preserve">tras un pago exitoso, el pagador pulsa</w:t>
      </w:r>
      <w:r>
        <w:t xml:space="preserve"> </w:t>
      </w:r>
      <w:r>
        <w:rPr>
          <w:i/>
          <w:iCs/>
        </w:rPr>
        <w:t xml:space="preserve">Probar Ataque de Reinteracción</w:t>
      </w:r>
      <w:r>
        <w:t xml:space="preserve"> </w:t>
      </w:r>
      <w:r>
        <w:t xml:space="preserve">→ el portal reenvía el</w:t>
      </w:r>
      <w:r>
        <w:t xml:space="preserve"> </w:t>
      </w:r>
      <w:r>
        <w:rPr>
          <w:b/>
          <w:bCs/>
        </w:rPr>
        <w:t xml:space="preserve">mismo</w:t>
      </w:r>
      <w:r>
        <w:t xml:space="preserve"> </w:t>
      </w:r>
      <w:r>
        <w:t xml:space="preserve">token → el sistema responde</w:t>
      </w:r>
      <w:r>
        <w:t xml:space="preserve"> </w:t>
      </w:r>
      <w:r>
        <w:t xml:space="preserve">“</w:t>
      </w:r>
      <w:r>
        <w:t xml:space="preserve">409 – token ya utilizado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no se genera un segundo débito.</w:t>
      </w:r>
    </w:p>
    <w:bookmarkEnd w:id="37"/>
    <w:bookmarkStart w:id="38" w:name="X8de61e4d9410e851b9929f68641ab83ba9c24f5"/>
    <w:p>
      <w:pPr>
        <w:pStyle w:val="Heading2"/>
      </w:pPr>
      <w:r>
        <w:t xml:space="preserve">CU-05 Consultar el estado del servicio (operaciones)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Flujo:</w:t>
      </w:r>
      <w:r>
        <w:t xml:space="preserve"> </w:t>
      </w:r>
      <w:r>
        <w:t xml:space="preserve">operaciones consulta</w:t>
      </w:r>
      <w:r>
        <w:t xml:space="preserve"> </w:t>
      </w:r>
      <w:r>
        <w:rPr>
          <w:rStyle w:val="VerbatimChar"/>
        </w:rPr>
        <w:t xml:space="preserve">GET /healthz/ready</w:t>
      </w:r>
      <w:r>
        <w:t xml:space="preserve">. Responde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si el servicio y su base de datos están operativos; en caso contrario, error 503.</w:t>
      </w:r>
    </w:p>
    <w:bookmarkEnd w:id="38"/>
    <w:bookmarkEnd w:id="39"/>
    <w:bookmarkStart w:id="40" w:name="reglas-de-negocio"/>
    <w:p>
      <w:pPr>
        <w:pStyle w:val="Heading1"/>
      </w:pPr>
      <w:r>
        <w:t xml:space="preserve">6. Reglas de negocio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654"/>
        <w:gridCol w:w="7706"/>
      </w:tblGrid>
      <w:tr>
        <w:trPr>
          <w:tblHeader w:val="true"/>
          <w:cantSplit/>
          <w:tblHeader/>
        </w:trPr>
        <w:tc>
          <w:tcPr>
            <w:tcW w:type="dxa" w:w="165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tcW w:type="dxa" w:w="7706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6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RN-01</w:t>
            </w:r>
          </w:p>
        </w:tc>
        <w:tc>
          <w:tcPr>
            <w:tcW w:type="dxa" w:w="770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 transacción nace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PendingOtpVerification</w:t>
            </w:r>
          </w:p>
        </w:tc>
      </w:tr>
      <w:tr>
        <w:trPr>
          <w:cantSplit/>
        </w:trPr>
        <w:tc>
          <w:tcPr>
            <w:tcW w:type="dxa" w:w="16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  <w:tc>
          <w:tcPr>
            <w:tcW w:type="dxa" w:w="770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monto debe ser mayor a cero, con máximo 2 decimales</w:t>
            </w:r>
          </w:p>
        </w:tc>
      </w:tr>
      <w:tr>
        <w:trPr>
          <w:cantSplit/>
        </w:trPr>
        <w:tc>
          <w:tcPr>
            <w:tcW w:type="dxa" w:w="16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RN-03</w:t>
            </w:r>
          </w:p>
        </w:tc>
        <w:tc>
          <w:tcPr>
            <w:tcW w:type="dxa" w:w="770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moneda es un código de 3 letras (p. ej. COP)</w:t>
            </w:r>
          </w:p>
        </w:tc>
      </w:tr>
      <w:tr>
        <w:trPr>
          <w:cantSplit/>
        </w:trPr>
        <w:tc>
          <w:tcPr>
            <w:tcW w:type="dxa" w:w="16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RN-04</w:t>
            </w:r>
          </w:p>
        </w:tc>
        <w:tc>
          <w:tcPr>
            <w:tcW w:type="dxa" w:w="770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merchant_id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obligatorio (máx. 64 caracteres); documento del usuario obligatorio (máx. 32)</w:t>
            </w:r>
          </w:p>
        </w:tc>
      </w:tr>
      <w:tr>
        <w:trPr>
          <w:cantSplit/>
        </w:trPr>
        <w:tc>
          <w:tcPr>
            <w:tcW w:type="dxa" w:w="16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RN-05</w:t>
            </w:r>
          </w:p>
        </w:tc>
        <w:tc>
          <w:tcPr>
            <w:tcW w:type="dxa" w:w="770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transacción es válida 5 minutos desde su creación para validar el OTP</w:t>
            </w:r>
          </w:p>
        </w:tc>
      </w:tr>
      <w:tr>
        <w:trPr>
          <w:cantSplit/>
        </w:trPr>
        <w:tc>
          <w:tcPr>
            <w:tcW w:type="dxa" w:w="16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RN-06</w:t>
            </w:r>
          </w:p>
        </w:tc>
        <w:tc>
          <w:tcPr>
            <w:tcW w:type="dxa" w:w="770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una transacción pendiente y vigente puede autorizarse; un OTP incorrecto no la autoriza</w:t>
            </w:r>
          </w:p>
        </w:tc>
      </w:tr>
      <w:tr>
        <w:trPr>
          <w:cantSplit/>
        </w:trPr>
        <w:tc>
          <w:tcPr>
            <w:tcW w:type="dxa" w:w="16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RN-07</w:t>
            </w:r>
          </w:p>
        </w:tc>
        <w:tc>
          <w:tcPr>
            <w:tcW w:type="dxa" w:w="770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token de pago se emite solo tras un OTP correcto, vale 60 segundos y solo sirve para la ejecución (</w:t>
            </w:r>
            <w:r>
              <w:rPr>
                <w:rStyle w:val="VerbatimChar"/>
                <w:sz w:val="18"/>
              </w:rPr>
              <w:t xml:space="preserve">execute_payment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  <w:tc>
          <w:tcPr>
            <w:tcW w:type="dxa" w:w="770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token solo puede ejecutar la transacción para la que se emitió</w:t>
            </w:r>
          </w:p>
        </w:tc>
      </w:tr>
      <w:tr>
        <w:trPr>
          <w:cantSplit/>
        </w:trPr>
        <w:tc>
          <w:tcPr>
            <w:tcW w:type="dxa" w:w="16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  <w:tc>
          <w:tcPr>
            <w:tcW w:type="dxa" w:w="770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token solo puede usarse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una vez</w:t>
            </w:r>
            <w:r>
              <w:rPr>
                <w:sz w:val="18"/>
              </w:rPr>
              <w:t xml:space="preserve">; el segundo intento se rechaza con 409</w:t>
            </w:r>
          </w:p>
        </w:tc>
      </w:tr>
      <w:tr>
        <w:trPr>
          <w:cantSplit/>
        </w:trPr>
        <w:tc>
          <w:tcPr>
            <w:tcW w:type="dxa" w:w="16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RN-10</w:t>
            </w:r>
          </w:p>
        </w:tc>
        <w:tc>
          <w:tcPr>
            <w:tcW w:type="dxa" w:w="770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se ejecutan transacciones en estado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Authorized</w:t>
            </w:r>
            <w:r>
              <w:rPr>
                <w:sz w:val="18"/>
              </w:rPr>
              <w:t xml:space="preserve">; una transacción ejecutada no se puede ejecutar de nuevo</w:t>
            </w:r>
          </w:p>
        </w:tc>
      </w:tr>
      <w:tr>
        <w:trPr>
          <w:cantSplit/>
        </w:trPr>
        <w:tc>
          <w:tcPr>
            <w:tcW w:type="dxa" w:w="16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RN-11</w:t>
            </w:r>
          </w:p>
        </w:tc>
        <w:tc>
          <w:tcPr>
            <w:tcW w:type="dxa" w:w="770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solicitud de ejecución debe incluir una clave de idempotencia (UUID)</w:t>
            </w:r>
          </w:p>
        </w:tc>
      </w:tr>
      <w:tr>
        <w:trPr>
          <w:cantSplit/>
        </w:trPr>
        <w:tc>
          <w:tcPr>
            <w:tcW w:type="dxa" w:w="165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RN-12</w:t>
            </w:r>
          </w:p>
        </w:tc>
        <w:tc>
          <w:tcPr>
            <w:tcW w:type="dxa" w:w="770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operaciones simultáneas sobre la misma transacción no pueden ambas prosperar: una recibe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conflicto de concurrencia</w:t>
            </w:r>
            <w:r>
              <w:rPr>
                <w:sz w:val="18"/>
              </w:rPr>
              <w:t xml:space="preserve">”</w:t>
            </w:r>
          </w:p>
        </w:tc>
      </w:tr>
    </w:tbl>
    <w:bookmarkEnd w:id="40"/>
    <w:bookmarkStart w:id="41" w:name="pantallas-del-portal-payment-gateway"/>
    <w:p>
      <w:pPr>
        <w:pStyle w:val="Heading1"/>
      </w:pPr>
      <w:r>
        <w:t xml:space="preserve">7. Pantallas del portal (</w:t>
      </w:r>
      <w:r>
        <w:rPr>
          <w:rStyle w:val="VerbatimChar"/>
        </w:rPr>
        <w:t xml:space="preserve">/payment-gateway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Paso 1 – Iniciación de pago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576"/>
        <w:gridCol w:w="5784"/>
      </w:tblGrid>
      <w:tr>
        <w:trPr>
          <w:tblHeader w:val="true"/>
          <w:cantSplit/>
          <w:tblHeader/>
        </w:trPr>
        <w:tc>
          <w:tcPr>
            <w:tcW w:type="dxa" w:w="3576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type="dxa" w:w="5784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Comportamiento</w:t>
            </w:r>
          </w:p>
        </w:tc>
      </w:tr>
      <w:tr>
        <w:trPr>
          <w:cantSplit/>
        </w:trPr>
        <w:tc>
          <w:tcPr>
            <w:tcW w:type="dxa" w:w="35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Comercio</w:t>
            </w:r>
          </w:p>
        </w:tc>
        <w:tc>
          <w:tcPr>
            <w:tcW w:type="dxa" w:w="578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lectura (</w:t>
            </w:r>
            <w:r>
              <w:rPr>
                <w:rStyle w:val="VerbatimChar"/>
                <w:sz w:val="18"/>
              </w:rPr>
              <w:t xml:space="preserve">MERCHANT_PSE_8892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 defecto)</w:t>
            </w:r>
          </w:p>
        </w:tc>
      </w:tr>
      <w:tr>
        <w:trPr>
          <w:cantSplit/>
        </w:trPr>
        <w:tc>
          <w:tcPr>
            <w:tcW w:type="dxa" w:w="357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del usuario</w:t>
            </w:r>
          </w:p>
        </w:tc>
        <w:tc>
          <w:tcPr>
            <w:tcW w:type="dxa" w:w="578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Editable</w:t>
            </w:r>
          </w:p>
        </w:tc>
      </w:tr>
      <w:tr>
        <w:trPr>
          <w:cantSplit/>
        </w:trPr>
        <w:tc>
          <w:tcPr>
            <w:tcW w:type="dxa" w:w="35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Monto a pagar (COP)</w:t>
            </w:r>
          </w:p>
        </w:tc>
        <w:tc>
          <w:tcPr>
            <w:tcW w:type="dxa" w:w="578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Editable</w:t>
            </w:r>
          </w:p>
        </w:tc>
      </w:tr>
      <w:tr>
        <w:trPr>
          <w:cantSplit/>
        </w:trPr>
        <w:tc>
          <w:tcPr>
            <w:tcW w:type="dxa" w:w="3576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Botón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Iniciar Transacción</w:t>
            </w:r>
          </w:p>
        </w:tc>
        <w:tc>
          <w:tcPr>
            <w:tcW w:type="dxa" w:w="5784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 la transacción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2 – Clave dinámica / OTP</w:t>
      </w:r>
      <w:r>
        <w:t xml:space="preserve">: campo de 6 dígitos y botón</w:t>
      </w:r>
      <w:r>
        <w:t xml:space="preserve"> </w:t>
      </w:r>
      <w:r>
        <w:rPr>
          <w:i/>
          <w:iCs/>
        </w:rPr>
        <w:t xml:space="preserve">Validar y Obtener Token</w:t>
      </w:r>
      <w:r>
        <w:t xml:space="preserve">. Muestra una nota con el OTP simulado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 3 – Autorización y débito</w:t>
      </w:r>
      <w:r>
        <w:t xml:space="preserve">: botón</w:t>
      </w:r>
      <w:r>
        <w:t xml:space="preserve"> </w:t>
      </w:r>
      <w:r>
        <w:rPr>
          <w:i/>
          <w:iCs/>
        </w:rPr>
        <w:t xml:space="preserve">Ejecutar Débito Bancario</w:t>
      </w:r>
      <w:r>
        <w:t xml:space="preserve"> </w:t>
      </w:r>
      <w:r>
        <w:t xml:space="preserve">y botón de prueba</w:t>
      </w:r>
      <w:r>
        <w:t xml:space="preserve"> </w:t>
      </w:r>
      <w:r>
        <w:rPr>
          <w:i/>
          <w:iCs/>
        </w:rPr>
        <w:t xml:space="preserve">Probar Ataque de Reinteracción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Resultados:</w:t>
      </w:r>
      <w:r>
        <w:t xml:space="preserve"> </w:t>
      </w:r>
      <w:r>
        <w:t xml:space="preserve">recuadro verde</w:t>
      </w:r>
      <w:r>
        <w:t xml:space="preserve"> </w:t>
      </w:r>
      <w:r>
        <w:t xml:space="preserve">“</w:t>
      </w:r>
      <w:r>
        <w:t xml:space="preserve">¡Pago Exitoso!</w:t>
      </w:r>
      <w:r>
        <w:t xml:space="preserve">”</w:t>
      </w:r>
      <w:r>
        <w:t xml:space="preserve"> </w:t>
      </w:r>
      <w:r>
        <w:t xml:space="preserve">con referencia bancaria y fecha; recuadro rojo</w:t>
      </w:r>
      <w:r>
        <w:t xml:space="preserve"> </w:t>
      </w:r>
      <w:r>
        <w:t xml:space="preserve">“</w:t>
      </w:r>
      <w:r>
        <w:t xml:space="preserve">Error de Seguridad / Middleware</w:t>
      </w:r>
      <w:r>
        <w:t xml:space="preserve">”</w:t>
      </w:r>
      <w:r>
        <w:t xml:space="preserve"> </w:t>
      </w:r>
      <w:r>
        <w:t xml:space="preserve">con el detalle del rechazo.</w:t>
      </w:r>
    </w:p>
    <w:bookmarkEnd w:id="41"/>
    <w:bookmarkStart w:id="42" w:name="mensajes-y-errores"/>
    <w:p>
      <w:pPr>
        <w:pStyle w:val="Heading1"/>
      </w:pPr>
      <w:r>
        <w:t xml:space="preserve">8. Mensajes y errores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065"/>
        <w:gridCol w:w="2400"/>
        <w:gridCol w:w="3895"/>
      </w:tblGrid>
      <w:tr>
        <w:trPr>
          <w:tblHeader w:val="true"/>
          <w:cantSplit/>
          <w:tblHeader/>
        </w:trPr>
        <w:tc>
          <w:tcPr>
            <w:tcW w:type="dxa" w:w="306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Situación</w:t>
            </w:r>
          </w:p>
        </w:tc>
        <w:tc>
          <w:tcPr>
            <w:tcW w:type="dxa" w:w="2400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Mensaje/código visible</w:t>
            </w:r>
          </w:p>
        </w:tc>
        <w:tc>
          <w:tcPr>
            <w:tcW w:type="dxa" w:w="3895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OTP incorrecto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OTP incorrecto o expirado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38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Reintente o inicie de nuevo</w:t>
            </w:r>
          </w:p>
        </w:tc>
      </w:tr>
      <w:tr>
        <w:trPr>
          <w:cantSplit/>
        </w:trPr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reutilizado</w:t>
            </w:r>
          </w:p>
        </w:tc>
        <w:tc>
          <w:tcPr>
            <w:tcW w:type="dxa" w:w="240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TOKEN_ALREADY_USED</w:t>
            </w:r>
          </w:p>
        </w:tc>
        <w:tc>
          <w:tcPr>
            <w:tcW w:type="dxa" w:w="38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Comportamiento esperado en la prueba de replay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vencido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type="dxa" w:w="38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Reinicie el flujo (pasaron más de 60 s)</w:t>
            </w:r>
          </w:p>
        </w:tc>
      </w:tr>
      <w:tr>
        <w:trPr>
          <w:cantSplit/>
        </w:trPr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de otra transacción</w:t>
            </w:r>
          </w:p>
        </w:tc>
        <w:tc>
          <w:tcPr>
            <w:tcW w:type="dxa" w:w="240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403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TOKEN_TRANSACTION_MISMATCH</w:t>
            </w:r>
          </w:p>
        </w:tc>
        <w:tc>
          <w:tcPr>
            <w:tcW w:type="dxa" w:w="38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Reinicie el flujo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Transacción vencida o en estado inválido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INVALID_TRANSACTION_STATE</w:t>
            </w:r>
          </w:p>
        </w:tc>
        <w:tc>
          <w:tcPr>
            <w:tcW w:type="dxa" w:w="38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Inicie una nueva transacción</w:t>
            </w:r>
          </w:p>
        </w:tc>
      </w:tr>
      <w:tr>
        <w:trPr>
          <w:cantSplit/>
        </w:trPr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inválidos</w:t>
            </w:r>
          </w:p>
        </w:tc>
        <w:tc>
          <w:tcPr>
            <w:tcW w:type="dxa" w:w="240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400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INVALID_REQUEST</w:t>
            </w:r>
          </w:p>
        </w:tc>
        <w:tc>
          <w:tcPr>
            <w:tcW w:type="dxa" w:w="38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Corrija los datos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clave de idempotencia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400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MISSING_IDEMPOTENCY_KEY</w:t>
            </w:r>
          </w:p>
        </w:tc>
        <w:tc>
          <w:tcPr>
            <w:tcW w:type="dxa" w:w="38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Contacte soporte (la envía el portal automáticamente)</w:t>
            </w:r>
          </w:p>
        </w:tc>
      </w:tr>
      <w:tr>
        <w:trPr>
          <w:cantSplit/>
        </w:trPr>
        <w:tc>
          <w:tcPr>
            <w:tcW w:type="dxa" w:w="306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Operación simultánea</w:t>
            </w:r>
          </w:p>
        </w:tc>
        <w:tc>
          <w:tcPr>
            <w:tcW w:type="dxa" w:w="240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CONCURRENT_UPDATE</w:t>
            </w:r>
          </w:p>
        </w:tc>
        <w:tc>
          <w:tcPr>
            <w:tcW w:type="dxa" w:w="3895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Reintente</w:t>
            </w:r>
          </w:p>
        </w:tc>
      </w:tr>
      <w:tr>
        <w:trPr>
          <w:cantSplit/>
        </w:trPr>
        <w:tc>
          <w:tcPr>
            <w:tcW w:type="dxa" w:w="306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conexión con el servidor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Mensaje de error de red</w:t>
            </w:r>
          </w:p>
        </w:tc>
        <w:tc>
          <w:tcPr>
            <w:tcW w:type="dxa" w:w="389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Verifique que el servicio esté disponible</w:t>
            </w:r>
          </w:p>
        </w:tc>
      </w:tr>
    </w:tbl>
    <w:bookmarkEnd w:id="42"/>
    <w:bookmarkStart w:id="43" w:name="casos-de-prueba-de-aceptación"/>
    <w:p>
      <w:pPr>
        <w:pStyle w:val="Heading1"/>
      </w:pPr>
      <w:r>
        <w:t xml:space="preserve">9. Casos de prueba de aceptación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18"/>
        <w:gridCol w:w="1943"/>
        <w:gridCol w:w="3348"/>
        <w:gridCol w:w="3351"/>
      </w:tblGrid>
      <w:tr>
        <w:trPr>
          <w:tblHeader w:val="true"/>
          <w:cantSplit/>
          <w:tblHeader/>
        </w:trPr>
        <w:tc>
          <w:tcPr>
            <w:tcW w:type="dxa" w:w="718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1943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Caso</w:t>
            </w:r>
          </w:p>
        </w:tc>
        <w:tc>
          <w:tcPr>
            <w:tcW w:type="dxa" w:w="3348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type="dxa" w:w="3351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71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CP-01</w:t>
            </w:r>
          </w:p>
        </w:tc>
        <w:tc>
          <w:tcPr>
            <w:tcW w:type="dxa" w:w="194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Pago exitoso</w:t>
            </w:r>
          </w:p>
        </w:tc>
        <w:tc>
          <w:tcPr>
            <w:tcW w:type="dxa" w:w="3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→ OTP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123456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Ejecutar</w:t>
            </w:r>
          </w:p>
        </w:tc>
        <w:tc>
          <w:tcPr>
            <w:tcW w:type="dxa" w:w="335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¡Pago Exitoso!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referencia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CUS_AAAAMMDD_nnnnnn</w:t>
            </w:r>
          </w:p>
        </w:tc>
      </w:tr>
      <w:tr>
        <w:trPr>
          <w:cantSplit/>
        </w:trPr>
        <w:tc>
          <w:tcPr>
            <w:tcW w:type="dxa" w:w="71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CP-02</w:t>
            </w:r>
          </w:p>
        </w:tc>
        <w:tc>
          <w:tcPr>
            <w:tcW w:type="dxa" w:w="194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OTP incorrecto</w:t>
            </w:r>
          </w:p>
        </w:tc>
        <w:tc>
          <w:tcPr>
            <w:tcW w:type="dxa" w:w="33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→ OTP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000000</w:t>
            </w:r>
          </w:p>
        </w:tc>
        <w:tc>
          <w:tcPr>
            <w:tcW w:type="dxa" w:w="335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OTP incorrecto o expirado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; sigue en el paso 2</w:t>
            </w:r>
          </w:p>
        </w:tc>
      </w:tr>
      <w:tr>
        <w:trPr>
          <w:cantSplit/>
        </w:trPr>
        <w:tc>
          <w:tcPr>
            <w:tcW w:type="dxa" w:w="71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CP-03</w:t>
            </w:r>
          </w:p>
        </w:tc>
        <w:tc>
          <w:tcPr>
            <w:tcW w:type="dxa" w:w="194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Reintento tras OTP incorrecto</w:t>
            </w:r>
          </w:p>
        </w:tc>
        <w:tc>
          <w:tcPr>
            <w:tcW w:type="dxa" w:w="3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OTP erróneo → luego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123456</w:t>
            </w:r>
          </w:p>
        </w:tc>
        <w:tc>
          <w:tcPr>
            <w:tcW w:type="dxa" w:w="335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Avanza al paso 3</w:t>
            </w:r>
          </w:p>
        </w:tc>
      </w:tr>
      <w:tr>
        <w:trPr>
          <w:cantSplit/>
        </w:trPr>
        <w:tc>
          <w:tcPr>
            <w:tcW w:type="dxa" w:w="71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CP-04</w:t>
            </w:r>
          </w:p>
        </w:tc>
        <w:tc>
          <w:tcPr>
            <w:tcW w:type="dxa" w:w="194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Replay del token</w:t>
            </w:r>
          </w:p>
        </w:tc>
        <w:tc>
          <w:tcPr>
            <w:tcW w:type="dxa" w:w="33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Pago exitoso →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Probar Ataque de Reinteracción</w:t>
            </w:r>
          </w:p>
        </w:tc>
        <w:tc>
          <w:tcPr>
            <w:tcW w:type="dxa" w:w="335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TOKEN_ALREADY_USED</w:t>
            </w:r>
            <w:r>
              <w:rPr>
                <w:sz w:val="18"/>
              </w:rPr>
              <w:t xml:space="preserve">; sin segundo débito</w:t>
            </w:r>
          </w:p>
        </w:tc>
      </w:tr>
      <w:tr>
        <w:trPr>
          <w:cantSplit/>
        </w:trPr>
        <w:tc>
          <w:tcPr>
            <w:tcW w:type="dxa" w:w="71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CP-05</w:t>
            </w:r>
          </w:p>
        </w:tc>
        <w:tc>
          <w:tcPr>
            <w:tcW w:type="dxa" w:w="194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vencido</w:t>
            </w:r>
          </w:p>
        </w:tc>
        <w:tc>
          <w:tcPr>
            <w:tcW w:type="dxa" w:w="3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OTP → esperar más de 60 s → Ejecutar</w:t>
            </w:r>
          </w:p>
        </w:tc>
        <w:tc>
          <w:tcPr>
            <w:tcW w:type="dxa" w:w="335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401; reiniciar el flujo</w:t>
            </w:r>
          </w:p>
        </w:tc>
      </w:tr>
      <w:tr>
        <w:trPr>
          <w:cantSplit/>
        </w:trPr>
        <w:tc>
          <w:tcPr>
            <w:tcW w:type="dxa" w:w="71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CP-06</w:t>
            </w:r>
          </w:p>
        </w:tc>
        <w:tc>
          <w:tcPr>
            <w:tcW w:type="dxa" w:w="194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Monto inválido</w:t>
            </w:r>
          </w:p>
        </w:tc>
        <w:tc>
          <w:tcPr>
            <w:tcW w:type="dxa" w:w="33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Monto 0 o negativo</w:t>
            </w:r>
          </w:p>
        </w:tc>
        <w:tc>
          <w:tcPr>
            <w:tcW w:type="dxa" w:w="335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Rechazo 400; no se crea la transacción</w:t>
            </w:r>
          </w:p>
        </w:tc>
      </w:tr>
      <w:tr>
        <w:trPr>
          <w:cantSplit/>
        </w:trPr>
        <w:tc>
          <w:tcPr>
            <w:tcW w:type="dxa" w:w="71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CP-07</w:t>
            </w:r>
          </w:p>
        </w:tc>
        <w:tc>
          <w:tcPr>
            <w:tcW w:type="dxa" w:w="194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Doble clic en Ejecutar</w:t>
            </w:r>
          </w:p>
        </w:tc>
        <w:tc>
          <w:tcPr>
            <w:tcW w:type="dxa" w:w="3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ejecuciones casi simultáneas</w:t>
            </w:r>
          </w:p>
        </w:tc>
        <w:tc>
          <w:tcPr>
            <w:tcW w:type="dxa" w:w="335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exitosa; la otra 409</w:t>
            </w:r>
          </w:p>
        </w:tc>
      </w:tr>
      <w:tr>
        <w:trPr>
          <w:cantSplit/>
        </w:trPr>
        <w:tc>
          <w:tcPr>
            <w:tcW w:type="dxa" w:w="71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CP-08</w:t>
            </w:r>
          </w:p>
        </w:tc>
        <w:tc>
          <w:tcPr>
            <w:tcW w:type="dxa" w:w="194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Transacción vencida</w:t>
            </w:r>
          </w:p>
        </w:tc>
        <w:tc>
          <w:tcPr>
            <w:tcW w:type="dxa" w:w="33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→ esperar más de 5 min → OTP</w:t>
            </w:r>
          </w:p>
        </w:tc>
        <w:tc>
          <w:tcPr>
            <w:tcW w:type="dxa" w:w="335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Rechazo 409</w:t>
            </w:r>
          </w:p>
        </w:tc>
      </w:tr>
      <w:tr>
        <w:trPr>
          <w:cantSplit/>
        </w:trPr>
        <w:tc>
          <w:tcPr>
            <w:tcW w:type="dxa" w:w="71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CP-09</w:t>
            </w:r>
          </w:p>
        </w:tc>
        <w:tc>
          <w:tcPr>
            <w:tcW w:type="dxa" w:w="194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Persistencia</w:t>
            </w:r>
          </w:p>
        </w:tc>
        <w:tc>
          <w:tcPr>
            <w:tcW w:type="dxa" w:w="3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Pago exitoso → reiniciar el servicio → consultar la tabla</w:t>
            </w:r>
          </w:p>
        </w:tc>
        <w:tc>
          <w:tcPr>
            <w:tcW w:type="dxa" w:w="335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transacción sigue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Executed</w:t>
            </w:r>
          </w:p>
        </w:tc>
      </w:tr>
      <w:tr>
        <w:trPr>
          <w:cantSplit/>
        </w:trPr>
        <w:tc>
          <w:tcPr>
            <w:tcW w:type="dxa" w:w="71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CP-10</w:t>
            </w:r>
          </w:p>
        </w:tc>
        <w:tc>
          <w:tcPr>
            <w:tcW w:type="dxa" w:w="1943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Reinicio no habilita replay</w:t>
            </w:r>
          </w:p>
        </w:tc>
        <w:tc>
          <w:tcPr>
            <w:tcW w:type="dxa" w:w="33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Pago → reiniciar → reenviar el mismo token</w:t>
            </w:r>
          </w:p>
        </w:tc>
        <w:tc>
          <w:tcPr>
            <w:tcW w:type="dxa" w:w="3351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401 (clave efímera) o 409 (clave compartida); nunca 200</w:t>
            </w:r>
          </w:p>
        </w:tc>
      </w:tr>
      <w:tr>
        <w:trPr>
          <w:cantSplit/>
        </w:trPr>
        <w:tc>
          <w:tcPr>
            <w:tcW w:type="dxa" w:w="71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CP-11</w:t>
            </w:r>
          </w:p>
        </w:tc>
        <w:tc>
          <w:tcPr>
            <w:tcW w:type="dxa" w:w="194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Disponibilidad</w:t>
            </w:r>
          </w:p>
        </w:tc>
        <w:tc>
          <w:tcPr>
            <w:tcW w:type="dxa" w:w="3348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/healthz/ready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la BD detenida</w:t>
            </w:r>
          </w:p>
        </w:tc>
        <w:tc>
          <w:tcPr>
            <w:tcW w:type="dxa" w:w="335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503; al restablecerla, 200</w:t>
            </w:r>
          </w:p>
        </w:tc>
      </w:tr>
    </w:tbl>
    <w:bookmarkEnd w:id="43"/>
    <w:bookmarkStart w:id="44" w:name="datos-de-prueba"/>
    <w:p>
      <w:pPr>
        <w:pStyle w:val="Heading1"/>
      </w:pPr>
      <w:r>
        <w:t xml:space="preserve">10. Datos de prueba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148"/>
        <w:gridCol w:w="5212"/>
      </w:tblGrid>
      <w:tr>
        <w:trPr>
          <w:tblHeader w:val="true"/>
          <w:cantSplit/>
          <w:tblHeader/>
        </w:trPr>
        <w:tc>
          <w:tcPr>
            <w:tcW w:type="dxa" w:w="4148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Dato</w:t>
            </w:r>
          </w:p>
        </w:tc>
        <w:tc>
          <w:tcPr>
            <w:tcW w:type="dxa" w:w="5212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1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Comercio</w:t>
            </w:r>
          </w:p>
        </w:tc>
        <w:tc>
          <w:tcPr>
            <w:tcW w:type="dxa" w:w="5212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MERCHANT_PSE_8892</w:t>
            </w:r>
          </w:p>
        </w:tc>
      </w:tr>
      <w:tr>
        <w:trPr>
          <w:cantSplit/>
        </w:trPr>
        <w:tc>
          <w:tcPr>
            <w:tcW w:type="dxa" w:w="41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</w:t>
            </w:r>
          </w:p>
        </w:tc>
        <w:tc>
          <w:tcPr>
            <w:tcW w:type="dxa" w:w="5212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1018234567</w:t>
            </w:r>
          </w:p>
        </w:tc>
      </w:tr>
      <w:tr>
        <w:trPr>
          <w:cantSplit/>
        </w:trPr>
        <w:tc>
          <w:tcPr>
            <w:tcW w:type="dxa" w:w="41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Monto</w:t>
            </w:r>
          </w:p>
        </w:tc>
        <w:tc>
          <w:tcPr>
            <w:tcW w:type="dxa" w:w="5212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250000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COP</w:t>
            </w:r>
          </w:p>
        </w:tc>
      </w:tr>
      <w:tr>
        <w:trPr>
          <w:cantSplit/>
        </w:trPr>
        <w:tc>
          <w:tcPr>
            <w:tcW w:type="dxa" w:w="4148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OTP simulado</w:t>
            </w:r>
          </w:p>
        </w:tc>
        <w:tc>
          <w:tcPr>
            <w:tcW w:type="dxa" w:w="5212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41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 origen</w:t>
            </w:r>
          </w:p>
        </w:tc>
        <w:tc>
          <w:tcPr>
            <w:tcW w:type="dxa" w:w="5212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ACC_SAVINGS_9812</w:t>
            </w:r>
          </w:p>
        </w:tc>
      </w:tr>
    </w:tbl>
    <w:bookmarkEnd w:id="44"/>
    <w:bookmarkStart w:id="45" w:name="datos-que-se-conservan"/>
    <w:p>
      <w:pPr>
        <w:pStyle w:val="Heading1"/>
      </w:pPr>
      <w:r>
        <w:t xml:space="preserve">11. Datos que se conservan</w:t>
      </w:r>
    </w:p>
    <w:p>
      <w:pPr>
        <w:pStyle w:val="FirstParagraph"/>
      </w:pPr>
      <w:r>
        <w:t xml:space="preserve">Por cada transacción: comercio, documento del usuario, monto, moneda, estado, fecha de creación y de vencimiento, y el OTP esperado (simulado). Por cada token consumido: su identificador y vencimiento (solo para impedir su reutilización; se purga automáticamente al vencer).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conservan la URL de retorno del comercio, la cuenta origen ni el token de sesión.</w:t>
      </w:r>
    </w:p>
    <w:bookmarkEnd w:id="45"/>
    <w:bookmarkStart w:id="46" w:name="alcance-y-limitaciones-de-la-apoc"/>
    <w:p>
      <w:pPr>
        <w:pStyle w:val="Heading1"/>
      </w:pPr>
      <w:r>
        <w:t xml:space="preserve">12. Alcance y limitaciones de la APOC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OTP es simulado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123456</w:t>
      </w:r>
      <w:r>
        <w:t xml:space="preserve">) y no se envía por ningún canal; no hay límite de intentos de OTP.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débito bancario es simulado</w:t>
      </w:r>
      <w:r>
        <w:t xml:space="preserve">: se genera una referencia, no se contacta a ninguna entidad.</w:t>
      </w:r>
    </w:p>
    <w:p>
      <w:pPr>
        <w:pStyle w:val="Compact"/>
        <w:numPr>
          <w:ilvl w:val="0"/>
          <w:numId w:val="100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URL de retorno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callback_url</w:t>
      </w:r>
      <w:r>
        <w:t xml:space="preserve">) se recibe pero no se notifica al comercio.</w:t>
      </w:r>
    </w:p>
    <w:p>
      <w:pPr>
        <w:pStyle w:val="Compact"/>
        <w:numPr>
          <w:ilvl w:val="0"/>
          <w:numId w:val="100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clave de idempotencia</w:t>
      </w:r>
      <w:r>
        <w:t xml:space="preserve"> </w:t>
      </w:r>
      <w:r>
        <w:t xml:space="preserve">es obligatoria pero no se usa para devolver respuestas repetidas; la protección contra repetición la da el token de un solo uso.</w:t>
      </w:r>
    </w:p>
    <w:p>
      <w:pPr>
        <w:pStyle w:val="Compact"/>
        <w:numPr>
          <w:ilvl w:val="0"/>
          <w:numId w:val="1008"/>
        </w:numPr>
      </w:pPr>
      <w:r>
        <w:t xml:space="preserve">No hay autenticación del comercio ni usuarios/roles de administración.</w:t>
      </w:r>
    </w:p>
    <w:p>
      <w:pPr>
        <w:pStyle w:val="Compact"/>
        <w:numPr>
          <w:ilvl w:val="0"/>
          <w:numId w:val="1008"/>
        </w:numPr>
      </w:pPr>
      <w:r>
        <w:t xml:space="preserve">No existen aún consulta de transacciones, anulaciones, reversos ni reportes.</w:t>
      </w:r>
    </w:p>
    <w:bookmarkEnd w:id="46"/>
    <w:bookmarkStart w:id="47" w:name="evolución-sugerida-hacia-producción"/>
    <w:p>
      <w:pPr>
        <w:pStyle w:val="Heading1"/>
      </w:pPr>
      <w:r>
        <w:t xml:space="preserve">13. Evolución sugerida hacia producción</w:t>
      </w:r>
    </w:p>
    <w:p>
      <w:pPr>
        <w:pStyle w:val="FirstParagraph"/>
      </w:pPr>
      <w:r>
        <w:t xml:space="preserve">OTP real (TOTP/push/SMS) con límite de intentos; integración con la entidad financiera; notificación al comercio con firma; autenticación del comercio (OAuth2/API keys); idempotencia real con almacenamiento de respuestas; módulo de consulta y conciliación; auditoría y reportes.</w:t>
      </w:r>
    </w:p>
    <w:bookmarkEnd w:id="47"/>
    <w:bookmarkStart w:id="48" w:name="glosario"/>
    <w:p>
      <w:pPr>
        <w:pStyle w:val="Heading1"/>
      </w:pPr>
      <w:r>
        <w:t xml:space="preserve">14. Glosario</w:t>
      </w:r>
    </w:p>
    <w:tbl>
      <w:tblPr>
        <w:tblStyle w:val="Table"/>
        <w:tblW w:w="9360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520"/>
        <w:gridCol w:w="6840"/>
      </w:tblGrid>
      <w:tr>
        <w:trPr>
          <w:tblHeader w:val="true"/>
          <w:cantSplit/>
          <w:tblHeader/>
        </w:trPr>
        <w:tc>
          <w:tcPr>
            <w:tcW w:type="dxa" w:w="2520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Término</w:t>
            </w:r>
          </w:p>
        </w:tc>
        <w:tc>
          <w:tcPr>
            <w:tcW w:type="dxa" w:w="6840"/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Pago desacoplado</w:t>
            </w:r>
          </w:p>
        </w:tc>
        <w:tc>
          <w:tcPr>
            <w:tcW w:type="dxa" w:w="684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Separación entre la autorización del usuario y la ejecución del débito, unidas por un token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OTP</w:t>
            </w:r>
          </w:p>
        </w:tc>
        <w:tc>
          <w:tcPr>
            <w:tcW w:type="dxa" w:w="684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 solo uso para confirmar la identidad del usuario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Transaction token</w:t>
            </w:r>
          </w:p>
        </w:tc>
        <w:tc>
          <w:tcPr>
            <w:tcW w:type="dxa" w:w="684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JWT de 60 s y un solo uso que habilita la ejecución del pago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Anti-replay</w:t>
            </w:r>
          </w:p>
        </w:tc>
        <w:tc>
          <w:tcPr>
            <w:tcW w:type="dxa" w:w="684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que impide reutilizar una petición o token ya procesado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Idempotencia</w:t>
            </w:r>
          </w:p>
        </w:tc>
        <w:tc>
          <w:tcPr>
            <w:tcW w:type="dxa" w:w="684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Propiedad de que repetir una solicitud no produzca efectos duplicados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Merchant</w:t>
            </w:r>
          </w:p>
        </w:tc>
        <w:tc>
          <w:tcPr>
            <w:tcW w:type="dxa" w:w="6840"/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Comercio que origina el cobro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APOC</w:t>
            </w:r>
          </w:p>
        </w:tc>
        <w:tc>
          <w:tcPr>
            <w:tcW w:type="dxa" w:w="684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concepto de arquitectura</w:t>
            </w:r>
          </w:p>
        </w:tc>
      </w:tr>
    </w:tbl>
    <w:bookmarkEnd w:id="48"/>
    <w:sectPr>
      <w:footerReference w:type="default" r:id="rId9"/>
      <w:pgSz w:h="15840" w:w="12240"/>
      <w:pgMar w:bottom="1440" w:left="1440" w:right="1440" w:top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APOC Pago Desacoplado – Manual Funcional  ·  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20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9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59595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2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b w:val="0"/>
      <w:color w:val="595959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color w:val="59595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color w:val="1E1E1E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25" Type="http://schemas.openxmlformats.org/officeDocument/2006/relationships/image" Target="media/rId2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– APOC Pago Desacoplado</dc:title>
  <dc:creator/>
  <dc:language>es-CO</dc:language>
  <cp:keywords/>
  <dcterms:created xsi:type="dcterms:W3CDTF">2026-10-07T23:09:42Z</dcterms:created>
  <dcterms:modified xsi:type="dcterms:W3CDTF">2026-10-07T23:09:42Z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APOC de pago desacoplado · .NET 10 · v1.1 · Octubre 2026</vt:lpwstr>
  </property>
  <property fmtid="{D5CDD505-2E9C-101B-9397-08002B2CF9AE}" pid="3" name="toc-title">
    <vt:lpwstr>Contenido</vt:lpwstr>
  </property>
</Properties>
</file>