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Manual</w:t>
      </w:r>
      <w:r>
        <w:t xml:space="preserve"> </w:t>
      </w:r>
      <w:r>
        <w:t xml:space="preserve">Técnico</w:t>
      </w:r>
      <w:r>
        <w:t xml:space="preserve"> </w:t>
      </w:r>
      <w:r>
        <w:t xml:space="preserve">–</w:t>
      </w:r>
      <w:r>
        <w:t xml:space="preserve"> </w:t>
      </w:r>
      <w:r>
        <w:t xml:space="preserve">APOC</w:t>
      </w:r>
      <w:r>
        <w:t xml:space="preserve"> </w:t>
      </w:r>
      <w:r>
        <w:t xml:space="preserve">Pago</w:t>
      </w:r>
      <w:r>
        <w:t xml:space="preserve"> </w:t>
      </w:r>
      <w:r>
        <w:t xml:space="preserve">Desacoplado</w:t>
      </w:r>
    </w:p>
    <w:p>
      <w:pPr>
        <w:pStyle w:val="Subtitle"/>
      </w:pPr>
      <w:r>
        <w:t xml:space="preserve">APOC de pago desacoplado · .NET 10 · v1.1 · Octubre 2026</w:t>
      </w:r>
    </w:p>
    <w:tbl>
      <w:tblPr>
        <w:tblStyle w:val="Table"/>
        <w:tblW w:w="9360" w:type="dxa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0" w:lastRow="0" w:firstColumn="0" w:lastColumn="0" w:noHBand="0" w:noVBand="0" w:val="0000"/>
      </w:tblPr>
      <w:tblGrid>
        <w:gridCol w:w="2427"/>
        <w:gridCol w:w="6933"/>
      </w:tblGrid>
      <w:tr>
        <w:tc>
          <w:tcPr>
            <w:tcW w:type="dxa" w:w="2427"/>
            <w:shd w:val="clear" w:color="auto" w:fill="E7ECF4"/>
          </w:tcPr>
          <w:p>
            <w:pPr>
              <w:pStyle w:val="Compact"/>
              <w:jc w:val="left"/>
            </w:pPr>
            <w:r>
              <w:rPr>
                <w:b/>
                <w:bCs/>
                <w:color w:val="1F3864"/>
                <w:sz w:val="20"/>
              </w:rPr>
              <w:t xml:space="preserve">Producto</w:t>
            </w:r>
          </w:p>
        </w:tc>
        <w:tc>
          <w:tcPr>
            <w:tcW w:type="dxa" w:w="693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APOC de pago desacoplado (.NET 10)</w:t>
            </w:r>
          </w:p>
        </w:tc>
      </w:tr>
      <w:tr>
        <w:tc>
          <w:tcPr>
            <w:tcW w:type="dxa" w:w="2427"/>
            <w:shd w:val="clear" w:color="auto" w:fill="E7ECF4"/>
          </w:tcPr>
          <w:p>
            <w:pPr>
              <w:pStyle w:val="Compact"/>
              <w:jc w:val="left"/>
            </w:pPr>
            <w:r>
              <w:rPr>
                <w:b/>
                <w:bCs/>
                <w:color w:val="1F3864"/>
                <w:sz w:val="20"/>
              </w:rPr>
              <w:t xml:space="preserve">Versión</w:t>
            </w:r>
          </w:p>
        </w:tc>
        <w:tc>
          <w:tcPr>
            <w:tcW w:type="dxa" w:w="693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1.1 – persistencia en PostgreSQL / SQL Server mediante EF Core</w:t>
            </w:r>
          </w:p>
        </w:tc>
      </w:tr>
      <w:tr>
        <w:tc>
          <w:tcPr>
            <w:tcW w:type="dxa" w:w="2427"/>
            <w:shd w:val="clear" w:color="auto" w:fill="E7ECF4"/>
          </w:tcPr>
          <w:p>
            <w:pPr>
              <w:pStyle w:val="Compact"/>
              <w:jc w:val="left"/>
            </w:pPr>
            <w:r>
              <w:rPr>
                <w:b/>
                <w:bCs/>
                <w:color w:val="1F3864"/>
                <w:sz w:val="20"/>
              </w:rPr>
              <w:t xml:space="preserve">Audiencia</w:t>
            </w:r>
          </w:p>
        </w:tc>
        <w:tc>
          <w:tcPr>
            <w:tcW w:type="dxa" w:w="693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Desarrolladores, arquitectos, DevOps, DBAs</w:t>
            </w:r>
          </w:p>
        </w:tc>
      </w:tr>
      <w:tr>
        <w:tc>
          <w:tcPr>
            <w:tcW w:type="dxa" w:w="2427"/>
            <w:shd w:val="clear" w:color="auto" w:fill="E7ECF4"/>
          </w:tcPr>
          <w:p>
            <w:pPr>
              <w:pStyle w:val="Compact"/>
              <w:jc w:val="left"/>
            </w:pPr>
            <w:r>
              <w:rPr>
                <w:b/>
                <w:bCs/>
                <w:color w:val="1F3864"/>
                <w:sz w:val="20"/>
              </w:rPr>
              <w:t xml:space="preserve">Documento fuente</w:t>
            </w:r>
          </w:p>
        </w:tc>
        <w:tc>
          <w:tcPr>
            <w:tcW w:type="dxa" w:w="6933"/>
          </w:tcPr>
          <w:p>
            <w:pPr>
              <w:pStyle w:val="Compact"/>
              <w:jc w:val="left"/>
            </w:pPr>
            <w:r>
              <w:rPr>
                <w:i/>
                <w:iCs/>
                <w:sz w:val="20"/>
              </w:rPr>
              <w:t xml:space="preserve">Especificacion_Arquitectura_Pago_Desacoplado_NET10.docx</w:t>
            </w:r>
          </w:p>
        </w:tc>
      </w:tr>
    </w:tbl>
    <w:p/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Contenido</w:t>
          </w:r>
        </w:p>
        <w:p>
          <w:pPr>
            <w:tabs>
              <w:tab w:val="right" w:leader="dot" w:pos="9350"/>
            </w:tabs>
            <w:spacing w:after="60"/>
          </w:pPr>
          <w:r>
            <w:rPr>
              <w:sz w:val="21"/>
            </w:rPr>
            <w:fldChar w:fldCharType="begin"/>
          </w:r>
          <w:r>
            <w:rPr>
              <w:sz w:val="21"/>
            </w:rPr>
            <w:instrText xml:space="preserve"> TOC \o "1-1" \z \u </w:instrText>
          </w:r>
          <w:r>
            <w:rPr>
              <w:sz w:val="21"/>
            </w:rPr>
            <w:fldChar w:fldCharType="separate"/>
          </w:r>
          <w:r>
            <w:rPr>
              <w:sz w:val="21"/>
            </w:rPr>
            <w:t xml:space="preserve">1. Introducción</w:t>
          </w:r>
          <w:r>
            <w:rPr>
              <w:sz w:val="21"/>
            </w:rPr>
            <w:tab/>
          </w:r>
          <w:r>
            <w:rPr>
              <w:sz w:val="21"/>
            </w:rPr>
            <w:t xml:space="preserve">2</w:t>
          </w:r>
        </w:p>
        <w:p>
          <w:pPr>
            <w:tabs>
              <w:tab w:val="right" w:leader="dot" w:pos="9350"/>
            </w:tabs>
            <w:spacing w:after="60"/>
          </w:pPr>
          <w:r>
            <w:rPr>
              <w:sz w:val="21"/>
            </w:rPr>
            <w:t xml:space="preserve">2. Arquitectura</w:t>
          </w:r>
          <w:r>
            <w:rPr>
              <w:sz w:val="21"/>
            </w:rPr>
            <w:tab/>
          </w:r>
          <w:r>
            <w:rPr>
              <w:sz w:val="21"/>
            </w:rPr>
            <w:t xml:space="preserve">2</w:t>
          </w:r>
        </w:p>
        <w:p>
          <w:pPr>
            <w:tabs>
              <w:tab w:val="right" w:leader="dot" w:pos="9350"/>
            </w:tabs>
            <w:spacing w:after="60"/>
          </w:pPr>
          <w:r>
            <w:rPr>
              <w:sz w:val="21"/>
            </w:rPr>
            <w:t xml:space="preserve">3. Stack tecnológico</w:t>
          </w:r>
          <w:r>
            <w:rPr>
              <w:sz w:val="21"/>
            </w:rPr>
            <w:tab/>
          </w:r>
          <w:r>
            <w:rPr>
              <w:sz w:val="21"/>
            </w:rPr>
            <w:t xml:space="preserve">4</w:t>
          </w:r>
        </w:p>
        <w:p>
          <w:pPr>
            <w:tabs>
              <w:tab w:val="right" w:leader="dot" w:pos="9350"/>
            </w:tabs>
            <w:spacing w:after="60"/>
          </w:pPr>
          <w:r>
            <w:rPr>
              <w:sz w:val="21"/>
            </w:rPr>
            <w:t xml:space="preserve">4. Estructura de la solución</w:t>
          </w:r>
          <w:r>
            <w:rPr>
              <w:sz w:val="21"/>
            </w:rPr>
            <w:tab/>
          </w:r>
          <w:r>
            <w:rPr>
              <w:sz w:val="21"/>
            </w:rPr>
            <w:t xml:space="preserve">5</w:t>
          </w:r>
        </w:p>
        <w:p>
          <w:pPr>
            <w:tabs>
              <w:tab w:val="right" w:leader="dot" w:pos="9350"/>
            </w:tabs>
            <w:spacing w:after="60"/>
          </w:pPr>
          <w:r>
            <w:rPr>
              <w:sz w:val="21"/>
            </w:rPr>
            <w:t xml:space="preserve">5. Backend</w:t>
          </w:r>
          <w:r>
            <w:rPr>
              <w:sz w:val="21"/>
            </w:rPr>
            <w:tab/>
          </w:r>
          <w:r>
            <w:rPr>
              <w:sz w:val="21"/>
            </w:rPr>
            <w:t xml:space="preserve">5</w:t>
          </w:r>
        </w:p>
        <w:p>
          <w:pPr>
            <w:tabs>
              <w:tab w:val="right" w:leader="dot" w:pos="9350"/>
            </w:tabs>
            <w:spacing w:after="60"/>
          </w:pPr>
          <w:r>
            <w:rPr>
              <w:sz w:val="21"/>
            </w:rPr>
            <w:t xml:space="preserve">6. Contrato de la API</w:t>
          </w:r>
          <w:r>
            <w:rPr>
              <w:sz w:val="21"/>
            </w:rPr>
            <w:tab/>
          </w:r>
          <w:r>
            <w:rPr>
              <w:sz w:val="21"/>
            </w:rPr>
            <w:t xml:space="preserve">6</w:t>
          </w:r>
        </w:p>
        <w:p>
          <w:pPr>
            <w:tabs>
              <w:tab w:val="right" w:leader="dot" w:pos="9350"/>
            </w:tabs>
            <w:spacing w:after="60"/>
          </w:pPr>
          <w:r>
            <w:rPr>
              <w:sz w:val="21"/>
            </w:rPr>
            <w:t xml:space="preserve">7. Seguridad</w:t>
          </w:r>
          <w:r>
            <w:rPr>
              <w:sz w:val="21"/>
            </w:rPr>
            <w:tab/>
          </w:r>
          <w:r>
            <w:rPr>
              <w:sz w:val="21"/>
            </w:rPr>
            <w:t xml:space="preserve">8</w:t>
          </w:r>
        </w:p>
        <w:p>
          <w:pPr>
            <w:tabs>
              <w:tab w:val="right" w:leader="dot" w:pos="9350"/>
            </w:tabs>
            <w:spacing w:after="60"/>
          </w:pPr>
          <w:r>
            <w:rPr>
              <w:sz w:val="21"/>
            </w:rPr>
            <w:t xml:space="preserve">8. Capa de datos</w:t>
          </w:r>
          <w:r>
            <w:rPr>
              <w:sz w:val="21"/>
            </w:rPr>
            <w:tab/>
          </w:r>
          <w:r>
            <w:rPr>
              <w:sz w:val="21"/>
            </w:rPr>
            <w:t xml:space="preserve">9</w:t>
          </w:r>
        </w:p>
        <w:p>
          <w:pPr>
            <w:tabs>
              <w:tab w:val="right" w:leader="dot" w:pos="9350"/>
            </w:tabs>
            <w:spacing w:after="60"/>
          </w:pPr>
          <w:r>
            <w:rPr>
              <w:sz w:val="21"/>
            </w:rPr>
            <w:t xml:space="preserve">9. Frontend</w:t>
          </w:r>
          <w:r>
            <w:rPr>
              <w:sz w:val="21"/>
            </w:rPr>
            <w:tab/>
          </w:r>
          <w:r>
            <w:rPr>
              <w:sz w:val="21"/>
            </w:rPr>
            <w:t xml:space="preserve">9</w:t>
          </w:r>
        </w:p>
        <w:p>
          <w:pPr>
            <w:tabs>
              <w:tab w:val="right" w:leader="dot" w:pos="9350"/>
            </w:tabs>
            <w:spacing w:after="60"/>
          </w:pPr>
          <w:r>
            <w:rPr>
              <w:sz w:val="21"/>
            </w:rPr>
            <w:t xml:space="preserve">10. Configuración</w:t>
          </w:r>
          <w:r>
            <w:rPr>
              <w:sz w:val="21"/>
            </w:rPr>
            <w:tab/>
          </w:r>
          <w:r>
            <w:rPr>
              <w:sz w:val="21"/>
            </w:rPr>
            <w:t xml:space="preserve">9</w:t>
          </w:r>
        </w:p>
        <w:p>
          <w:pPr>
            <w:tabs>
              <w:tab w:val="right" w:leader="dot" w:pos="9350"/>
            </w:tabs>
            <w:spacing w:after="60"/>
          </w:pPr>
          <w:r>
            <w:rPr>
              <w:sz w:val="21"/>
            </w:rPr>
            <w:t xml:space="preserve">11. Despliegue</w:t>
          </w:r>
          <w:r>
            <w:rPr>
              <w:sz w:val="21"/>
            </w:rPr>
            <w:tab/>
          </w:r>
          <w:r>
            <w:rPr>
              <w:sz w:val="21"/>
            </w:rPr>
            <w:t xml:space="preserve">10</w:t>
          </w:r>
        </w:p>
        <w:p>
          <w:pPr>
            <w:tabs>
              <w:tab w:val="right" w:leader="dot" w:pos="9350"/>
            </w:tabs>
            <w:spacing w:after="60"/>
          </w:pPr>
          <w:r>
            <w:rPr>
              <w:sz w:val="21"/>
            </w:rPr>
            <w:t xml:space="preserve">12. Observabilidad y operación</w:t>
          </w:r>
          <w:r>
            <w:rPr>
              <w:sz w:val="21"/>
            </w:rPr>
            <w:tab/>
          </w:r>
          <w:r>
            <w:rPr>
              <w:sz w:val="21"/>
            </w:rPr>
            <w:t xml:space="preserve">10</w:t>
          </w:r>
        </w:p>
        <w:p>
          <w:pPr>
            <w:tabs>
              <w:tab w:val="right" w:leader="dot" w:pos="9350"/>
            </w:tabs>
            <w:spacing w:after="60"/>
          </w:pPr>
          <w:r>
            <w:rPr>
              <w:sz w:val="21"/>
            </w:rPr>
            <w:t xml:space="preserve">13. Pruebas</w:t>
          </w:r>
          <w:r>
            <w:rPr>
              <w:sz w:val="21"/>
            </w:rPr>
            <w:tab/>
          </w:r>
          <w:r>
            <w:rPr>
              <w:sz w:val="21"/>
            </w:rPr>
            <w:t xml:space="preserve">11</w:t>
          </w:r>
        </w:p>
        <w:p>
          <w:pPr>
            <w:tabs>
              <w:tab w:val="right" w:leader="dot" w:pos="9350"/>
            </w:tabs>
            <w:spacing w:after="60"/>
          </w:pPr>
          <w:r>
            <w:rPr>
              <w:sz w:val="21"/>
            </w:rPr>
            <w:t xml:space="preserve">14. Decisiones de diseño</w:t>
          </w:r>
          <w:r>
            <w:rPr>
              <w:sz w:val="21"/>
            </w:rPr>
            <w:tab/>
          </w:r>
          <w:r>
            <w:rPr>
              <w:sz w:val="21"/>
            </w:rPr>
            <w:t xml:space="preserve">11</w:t>
          </w:r>
        </w:p>
        <w:p>
          <w:pPr>
            <w:tabs>
              <w:tab w:val="right" w:leader="dot" w:pos="9350"/>
            </w:tabs>
            <w:spacing w:after="60"/>
          </w:pPr>
          <w:r>
            <w:rPr>
              <w:sz w:val="21"/>
            </w:rPr>
            <w:t xml:space="preserve">15. Limitaciones conocidas y hoja de ruta</w:t>
          </w:r>
          <w:r>
            <w:rPr>
              <w:sz w:val="21"/>
            </w:rPr>
            <w:tab/>
          </w:r>
          <w:r>
            <w:rPr>
              <w:sz w:val="21"/>
            </w:rPr>
            <w:t xml:space="preserve">11</w:t>
          </w:r>
        </w:p>
        <w:p>
          <w:pPr>
            <w:tabs>
              <w:tab w:val="right" w:leader="dot" w:pos="9350"/>
            </w:tabs>
            <w:spacing w:after="60"/>
          </w:pPr>
          <w:r>
            <w:rPr>
              <w:sz w:val="21"/>
            </w:rPr>
            <w:t xml:space="preserve">16. Referencias internas</w:t>
          </w:r>
          <w:r>
            <w:rPr>
              <w:sz w:val="21"/>
            </w:rPr>
            <w:tab/>
          </w:r>
          <w:r>
            <w:rPr>
              <w:sz w:val="21"/>
            </w:rPr>
            <w:t xml:space="preserve">12</w:t>
          </w:r>
          <w:r>
            <w:rPr>
              <w:sz w:val="21"/>
            </w:rPr>
            <w:fldChar w:fldCharType="end"/>
          </w:r>
        </w:p>
      </w:sdtContent>
    </w:sdt>
    <w:p>
      <w:pPr>
        <w:pStyle w:val="BodyText"/>
      </w:pPr>
      <w:r>
        <w:t xml:space="preserve">Documentos relacionados:</w:t>
      </w:r>
      <w:r>
        <w:t xml:space="preserve"> </w:t>
      </w:r>
      <w:r>
        <w:rPr>
          <w:rStyle w:val="VerbatimChar"/>
        </w:rPr>
        <w:t xml:space="preserve">docs/01…07</w:t>
      </w:r>
      <w:r>
        <w:t xml:space="preserve"> </w:t>
      </w:r>
      <w:r>
        <w:t xml:space="preserve">(guías paso a paso, Docker, OpenShift, capa de datos) y</w:t>
      </w:r>
      <w:r>
        <w:t xml:space="preserve"> </w:t>
      </w:r>
      <w:r>
        <w:rPr>
          <w:rStyle w:val="VerbatimChar"/>
        </w:rPr>
        <w:t xml:space="preserve">manual-funcional.md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Start w:id="20" w:name="introducción"/>
    <w:p>
      <w:pPr>
        <w:pStyle w:val="Heading1"/>
      </w:pPr>
      <w:r>
        <w:t xml:space="preserve">1. Introducción</w:t>
      </w:r>
    </w:p>
    <w:p>
      <w:pPr>
        <w:pStyle w:val="FirstParagraph"/>
      </w:pPr>
      <w:r>
        <w:t xml:space="preserve">Este manual describe la arquitectura, el diseño, la seguridad, la configuración y la operación de la APOC. El detalle funcional está en el manual funcional.</w:t>
      </w:r>
    </w:p>
    <w:bookmarkEnd w:id="20"/>
    <w:bookmarkStart w:id="33" w:name="arquitectura"/>
    <w:p>
      <w:pPr>
        <w:pStyle w:val="Heading1"/>
      </w:pPr>
      <w:r>
        <w:t xml:space="preserve">2. Arquitectura</w:t>
      </w:r>
    </w:p>
    <w:bookmarkStart w:id="24" w:name="vista-de-contenedores"/>
    <w:p>
      <w:pPr>
        <w:pStyle w:val="Heading2"/>
      </w:pPr>
      <w:r>
        <w:t xml:space="preserve">2.1 Vista de contenedores</w:t>
      </w:r>
    </w:p>
    <w:p>
      <w:pPr>
        <w:pStyle w:val="CaptionedFigure"/>
        <w:jc w:val="center"/>
      </w:pPr>
      <w:r>
        <w:drawing>
          <wp:inline>
            <wp:extent cx="5486400" cy="2893218"/>
            <wp:effectExtent b="0" l="0" r="0" t="0"/>
            <wp:docPr descr="Figura 1 – Vista de contenedores" title="" id="22" name="Picture"/>
            <a:graphic>
              <a:graphicData uri="http://schemas.openxmlformats.org/drawingml/2006/picture">
                <pic:pic>
                  <pic:nvPicPr>
                    <pic:cNvPr descr="/home/claude/word/img/tec_contenedores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93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Figura 1 – Vista de contenedores</w:t>
      </w:r>
    </w:p>
    <w:p>
      <w:pPr>
        <w:pStyle w:val="BodyText"/>
      </w:pPr>
      <w:r>
        <w:t xml:space="preserve">El frontend es estático (se descarga una vez); es</w:t>
      </w:r>
      <w:r>
        <w:t xml:space="preserve"> </w:t>
      </w:r>
      <w:r>
        <w:rPr>
          <w:b/>
          <w:bCs/>
        </w:rPr>
        <w:t xml:space="preserve">el navegador</w:t>
      </w:r>
      <w:r>
        <w:t xml:space="preserve"> </w:t>
      </w:r>
      <w:r>
        <w:t xml:space="preserve">quien llama directamente al backend, por eso necesita CORS y una URL pública del backend.</w:t>
      </w:r>
    </w:p>
    <w:bookmarkEnd w:id="24"/>
    <w:bookmarkStart w:id="28" w:name="Xc464cc0bfd809b01aa42f0834ca09ad633271b3"/>
    <w:p>
      <w:pPr>
        <w:pStyle w:val="Heading2"/>
      </w:pPr>
      <w:r>
        <w:t xml:space="preserve">2.2 Arquitectura en capas (cebolla) del backend</w:t>
      </w:r>
    </w:p>
    <w:p>
      <w:pPr>
        <w:pStyle w:val="CaptionedFigure"/>
        <w:jc w:val="center"/>
      </w:pPr>
      <w:r>
        <w:drawing>
          <wp:inline>
            <wp:extent cx="5120640" cy="3625453"/>
            <wp:effectExtent b="0" l="0" r="0" t="0"/>
            <wp:docPr descr="Figura 2 – Arquitectura en capas (cebolla) del backend" title="" id="26" name="Picture"/>
            <a:graphic>
              <a:graphicData uri="http://schemas.openxmlformats.org/drawingml/2006/picture">
                <pic:pic>
                  <pic:nvPicPr>
                    <pic:cNvPr descr="/home/claude/word/img/tec_capa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625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Figura 2 – Arquitectura en capas (cebolla) del backend</w:t>
      </w:r>
    </w:p>
    <w:p>
      <w:pPr>
        <w:pStyle w:val="BodyText"/>
      </w:pPr>
      <w:r>
        <w:t xml:space="preserve">Regla de dependencias: las capas internas no conocen a las externas.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 </w:t>
      </w:r>
      <w:r>
        <w:t xml:space="preserve">define las interfaces (</w:t>
      </w:r>
      <w:r>
        <w:rPr>
          <w:rStyle w:val="VerbatimChar"/>
        </w:rPr>
        <w:t xml:space="preserve">ITransactionRepository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IReplayProtectionService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IJwtTokenService</w:t>
      </w:r>
      <w:r>
        <w:t xml:space="preserve">);</w:t>
      </w:r>
      <w:r>
        <w:t xml:space="preserve"> </w:t>
      </w:r>
      <w:r>
        <w:rPr>
          <w:rStyle w:val="VerbatimChar"/>
        </w:rPr>
        <w:t xml:space="preserve">Infrastructure</w:t>
      </w:r>
      <w:r>
        <w:t xml:space="preserve"> </w:t>
      </w:r>
      <w:r>
        <w:t xml:space="preserve">las implementa;</w:t>
      </w:r>
      <w:r>
        <w:t xml:space="preserve"> </w:t>
      </w:r>
      <w:r>
        <w:rPr>
          <w:rStyle w:val="VerbatimChar"/>
        </w:rPr>
        <w:t xml:space="preserve">WebApi</w:t>
      </w:r>
      <w:r>
        <w:t xml:space="preserve"> </w:t>
      </w:r>
      <w:r>
        <w:t xml:space="preserve">compone todo (inyección de dependencias).</w:t>
      </w:r>
    </w:p>
    <w:bookmarkEnd w:id="28"/>
    <w:bookmarkStart w:id="32" w:name="secuencia-técnica-del-flujo"/>
    <w:p>
      <w:pPr>
        <w:pStyle w:val="Heading2"/>
      </w:pPr>
      <w:r>
        <w:t xml:space="preserve">2.3 Secuencia técnica del flujo</w:t>
      </w:r>
    </w:p>
    <w:p>
      <w:pPr>
        <w:pStyle w:val="CaptionedFigure"/>
        <w:jc w:val="center"/>
      </w:pPr>
      <w:r>
        <w:drawing>
          <wp:inline>
            <wp:extent cx="4572000" cy="6067722"/>
            <wp:effectExtent b="0" l="0" r="0" t="0"/>
            <wp:docPr descr="Figura 3 – Secuencia técnica del flujo de pago" title="" id="30" name="Picture"/>
            <a:graphic>
              <a:graphicData uri="http://schemas.openxmlformats.org/drawingml/2006/picture">
                <pic:pic>
                  <pic:nvPicPr>
                    <pic:cNvPr descr="/home/claude/word/img/tec_secuencia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067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Figura 3 – Secuencia técnica del flujo de pago</w:t>
      </w:r>
    </w:p>
    <w:bookmarkEnd w:id="32"/>
    <w:bookmarkEnd w:id="33"/>
    <w:bookmarkStart w:id="34" w:name="stack-tecnológico"/>
    <w:p>
      <w:pPr>
        <w:pStyle w:val="Heading1"/>
      </w:pPr>
      <w:r>
        <w:t xml:space="preserve">3. Stack tecnológico</w:t>
      </w:r>
    </w:p>
    <w:tbl>
      <w:tblPr>
        <w:tblStyle w:val="Table"/>
        <w:tblW w:w="9360" w:type="dxa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2123"/>
        <w:gridCol w:w="7237"/>
      </w:tblGrid>
      <w:tr>
        <w:trPr>
          <w:tblHeader w:val="true"/>
          <w:cantSplit/>
          <w:tblHeader/>
        </w:trPr>
        <w:tc>
          <w:tcPr>
            <w:tcW w:type="dxa" w:w="2123"/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Componente</w:t>
            </w:r>
          </w:p>
        </w:tc>
        <w:tc>
          <w:tcPr>
            <w:tcW w:type="dxa" w:w="7237"/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Tecnología</w:t>
            </w:r>
          </w:p>
        </w:tc>
      </w:tr>
      <w:tr>
        <w:trPr>
          <w:cantSplit/>
        </w:trPr>
        <w:tc>
          <w:tcPr>
            <w:tcW w:type="dxa" w:w="212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Runtime / SDK</w:t>
            </w:r>
          </w:p>
        </w:tc>
        <w:tc>
          <w:tcPr>
            <w:tcW w:type="dxa" w:w="723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.NET 10 (</w:t>
            </w:r>
            <w:r>
              <w:rPr>
                <w:rStyle w:val="VerbatimChar"/>
                <w:sz w:val="18"/>
              </w:rPr>
              <w:t xml:space="preserve">net10.0</w:t>
            </w:r>
            <w:r>
              <w:rPr>
                <w:sz w:val="18"/>
              </w:rPr>
              <w:t xml:space="preserve">), C# con</w:t>
            </w:r>
            <w:r>
              <w:rPr>
                <w:sz w:val="18"/>
              </w:rPr>
              <w:t xml:space="preserve"> </w:t>
            </w:r>
            <w:r>
              <w:rPr>
                <w:i/>
                <w:iCs/>
                <w:sz w:val="18"/>
              </w:rPr>
              <w:t xml:space="preserve">nullable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</w:t>
            </w:r>
            <w:r>
              <w:rPr>
                <w:sz w:val="18"/>
              </w:rPr>
              <w:t xml:space="preserve"> </w:t>
            </w:r>
            <w:r>
              <w:rPr>
                <w:i/>
                <w:iCs/>
                <w:sz w:val="18"/>
              </w:rPr>
              <w:t xml:space="preserve">implicit usings</w:t>
            </w:r>
          </w:p>
        </w:tc>
      </w:tr>
      <w:tr>
        <w:trPr>
          <w:cantSplit/>
        </w:trPr>
        <w:tc>
          <w:tcPr>
            <w:tcW w:type="dxa" w:w="2123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API</w:t>
            </w:r>
          </w:p>
        </w:tc>
        <w:tc>
          <w:tcPr>
            <w:tcW w:type="dxa" w:w="7237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ASP.NET Core 10, controladores, OpenAPI (</w:t>
            </w:r>
            <w:r>
              <w:rPr>
                <w:rStyle w:val="VerbatimChar"/>
                <w:sz w:val="18"/>
              </w:rPr>
              <w:t xml:space="preserve">Microsoft.AspNetCore.OpenApi</w:t>
            </w:r>
            <w:r>
              <w:rPr>
                <w:sz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12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Autenticación</w:t>
            </w:r>
          </w:p>
        </w:tc>
        <w:tc>
          <w:tcPr>
            <w:tcW w:type="dxa" w:w="7237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Microsoft.AspNetCore.Authentication.JwtBearer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10.0.x;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Microsoft.IdentityModel.JsonWebTokens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8.14.x</w:t>
            </w:r>
          </w:p>
        </w:tc>
      </w:tr>
      <w:tr>
        <w:trPr>
          <w:cantSplit/>
        </w:trPr>
        <w:tc>
          <w:tcPr>
            <w:tcW w:type="dxa" w:w="2123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Datos</w:t>
            </w:r>
          </w:p>
        </w:tc>
        <w:tc>
          <w:tcPr>
            <w:tcW w:type="dxa" w:w="7237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EF Core 10 ·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Npgsql.EntityFrameworkCore.PostgreSQL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10.0.x ·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Microsoft.EntityFrameworkCore.SqlServer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10.0.x</w:t>
            </w:r>
          </w:p>
        </w:tc>
      </w:tr>
      <w:tr>
        <w:trPr>
          <w:cantSplit/>
        </w:trPr>
        <w:tc>
          <w:tcPr>
            <w:tcW w:type="dxa" w:w="212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Frontend</w:t>
            </w:r>
          </w:p>
        </w:tc>
        <w:tc>
          <w:tcPr>
            <w:tcW w:type="dxa" w:w="723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Blazor WebAssembly (standalone), Bootstrap 5.3 y Bootstrap Icons por CDN</w:t>
            </w:r>
          </w:p>
        </w:tc>
      </w:tr>
      <w:tr>
        <w:trPr>
          <w:cantSplit/>
        </w:trPr>
        <w:tc>
          <w:tcPr>
            <w:tcW w:type="dxa" w:w="2123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Contenedores</w:t>
            </w:r>
          </w:p>
        </w:tc>
        <w:tc>
          <w:tcPr>
            <w:tcW w:type="dxa" w:w="7237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Docker multi-stage (SDK 10.0 → ASP.NET 10.0 / nginx-unprivileged 1.27)</w:t>
            </w:r>
          </w:p>
        </w:tc>
      </w:tr>
      <w:tr>
        <w:trPr>
          <w:cantSplit/>
        </w:trPr>
        <w:tc>
          <w:tcPr>
            <w:tcW w:type="dxa" w:w="212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Plataforma</w:t>
            </w:r>
          </w:p>
        </w:tc>
        <w:tc>
          <w:tcPr>
            <w:tcW w:type="dxa" w:w="723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Docker Compose, OpenShift 4.x</w:t>
            </w:r>
          </w:p>
        </w:tc>
      </w:tr>
    </w:tbl>
    <w:p>
      <w:pPr>
        <w:pStyle w:val="BlockText"/>
      </w:pPr>
      <w:r>
        <w:t xml:space="preserve">Las versiones de paquetes se fijaron según la línea 10.x; si el restore no las encuentra, ajústelas en los</w:t>
      </w:r>
      <w:r>
        <w:t xml:space="preserve"> </w:t>
      </w:r>
      <w:r>
        <w:rPr>
          <w:rStyle w:val="VerbatimChar"/>
        </w:rPr>
        <w:t xml:space="preserve">.csproj</w:t>
      </w:r>
      <w:r>
        <w:t xml:space="preserve">.</w:t>
      </w:r>
    </w:p>
    <w:bookmarkEnd w:id="34"/>
    <w:bookmarkStart w:id="35" w:name="estructura-de-la-solución"/>
    <w:p>
      <w:pPr>
        <w:pStyle w:val="Heading1"/>
      </w:pPr>
      <w:r>
        <w:t xml:space="preserve">4. Estructura de la solución</w:t>
      </w:r>
    </w:p>
    <w:p>
      <w:pPr>
        <w:pStyle w:val="SourceCode"/>
        <w:shd w:val="clear" w:color="auto" w:fill="F2F2F2"/>
        <w:spacing w:after="0"/>
      </w:pPr>
      <w:r>
        <w:rPr>
          <w:rStyle w:val="VerbatimChar"/>
        </w:rPr>
        <w:t xml:space="preserve">.</w:t>
      </w:r>
      <w:r>
        <w:br/>
      </w:r>
      <w:r>
        <w:rPr>
          <w:rStyle w:val="VerbatimChar"/>
        </w:rPr>
        <w:t xml:space="preserve">├── backend/backend.sln</w:t>
      </w:r>
      <w:r>
        <w:br/>
      </w:r>
      <w:r>
        <w:rPr>
          <w:rStyle w:val="VerbatimChar"/>
        </w:rPr>
        <w:t xml:space="preserve">│   └── src/</w:t>
      </w:r>
      <w:r>
        <w:br/>
      </w:r>
      <w:r>
        <w:rPr>
          <w:rStyle w:val="VerbatimChar"/>
        </w:rPr>
        <w:t xml:space="preserve">│       ├── 1.Domain/DecoupledPayments.Domain</w:t>
      </w:r>
      <w:r>
        <w:br/>
      </w:r>
      <w:r>
        <w:rPr>
          <w:rStyle w:val="VerbatimChar"/>
        </w:rPr>
        <w:t xml:space="preserve">│       ├── 2.Application/DecoupledPayments.Application</w:t>
      </w:r>
      <w:r>
        <w:br/>
      </w:r>
      <w:r>
        <w:rPr>
          <w:rStyle w:val="VerbatimChar"/>
        </w:rPr>
        <w:t xml:space="preserve">│       ├── 3.Infrastructure/DecoupledPayments.Infrastructure</w:t>
      </w:r>
      <w:r>
        <w:br/>
      </w:r>
      <w:r>
        <w:rPr>
          <w:rStyle w:val="VerbatimChar"/>
        </w:rPr>
        <w:t xml:space="preserve">│       └── 4.Presentation/DecoupledPayments.WebApi</w:t>
      </w:r>
      <w:r>
        <w:br/>
      </w:r>
      <w:r>
        <w:rPr>
          <w:rStyle w:val="VerbatimChar"/>
        </w:rPr>
        <w:t xml:space="preserve">├── frontend/frontend.sln</w:t>
      </w:r>
      <w:r>
        <w:br/>
      </w:r>
      <w:r>
        <w:rPr>
          <w:rStyle w:val="VerbatimChar"/>
        </w:rPr>
        <w:t xml:space="preserve">│   └── src/DecoupledPayments.Client</w:t>
      </w:r>
      <w:r>
        <w:br/>
      </w:r>
      <w:r>
        <w:rPr>
          <w:rStyle w:val="VerbatimChar"/>
        </w:rPr>
        <w:t xml:space="preserve">├── database/ (postgresql · sqlserver)</w:t>
      </w:r>
      <w:r>
        <w:br/>
      </w:r>
      <w:r>
        <w:rPr>
          <w:rStyle w:val="VerbatimChar"/>
        </w:rPr>
        <w:t xml:space="preserve">├── openshift/ · docker-compose.yml · env/</w:t>
      </w:r>
      <w:r>
        <w:br/>
      </w:r>
      <w:r>
        <w:rPr>
          <w:rStyle w:val="VerbatimChar"/>
        </w:rPr>
        <w:t xml:space="preserve">└── docs/</w:t>
      </w:r>
    </w:p>
    <w:p>
      <w:pPr>
        <w:pStyle w:val="FirstParagraph"/>
      </w:pPr>
      <w:r>
        <w:rPr>
          <w:rStyle w:val="VerbatimChar"/>
        </w:rPr>
        <w:t xml:space="preserve">backend.sln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frontend.sln</w:t>
      </w:r>
      <w:r>
        <w:t xml:space="preserve"> </w:t>
      </w:r>
      <w:r>
        <w:t xml:space="preserve">son independientes; no comparten código.</w:t>
      </w:r>
    </w:p>
    <w:bookmarkEnd w:id="35"/>
    <w:bookmarkStart w:id="39" w:name="backend"/>
    <w:p>
      <w:pPr>
        <w:pStyle w:val="Heading1"/>
      </w:pPr>
      <w:r>
        <w:t xml:space="preserve">5. Backend</w:t>
      </w:r>
    </w:p>
    <w:bookmarkStart w:id="36" w:name="componentes"/>
    <w:p>
      <w:pPr>
        <w:pStyle w:val="Heading2"/>
      </w:pPr>
      <w:r>
        <w:t xml:space="preserve">5.1 Componentes</w:t>
      </w:r>
    </w:p>
    <w:tbl>
      <w:tblPr>
        <w:tblStyle w:val="Table"/>
        <w:tblW w:w="9360" w:type="dxa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1264"/>
        <w:gridCol w:w="4047"/>
        <w:gridCol w:w="4049"/>
      </w:tblGrid>
      <w:tr>
        <w:trPr>
          <w:tblHeader w:val="true"/>
          <w:cantSplit/>
          <w:tblHeader/>
        </w:trPr>
        <w:tc>
          <w:tcPr>
            <w:tcW w:type="dxa" w:w="1264"/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Capa</w:t>
            </w:r>
          </w:p>
        </w:tc>
        <w:tc>
          <w:tcPr>
            <w:tcW w:type="dxa" w:w="4047"/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Clase / archivo</w:t>
            </w:r>
          </w:p>
        </w:tc>
        <w:tc>
          <w:tcPr>
            <w:tcW w:type="dxa" w:w="4049"/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Responsabilidad</w:t>
            </w:r>
          </w:p>
        </w:tc>
      </w:tr>
      <w:tr>
        <w:trPr>
          <w:cantSplit/>
        </w:trPr>
        <w:tc>
          <w:tcPr>
            <w:tcW w:type="dxa" w:w="126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Domain</w:t>
            </w:r>
          </w:p>
        </w:tc>
        <w:tc>
          <w:tcPr>
            <w:tcW w:type="dxa" w:w="4047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TransactionContext</w:t>
            </w:r>
          </w:p>
        </w:tc>
        <w:tc>
          <w:tcPr>
            <w:tcW w:type="dxa" w:w="404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Entidad y reglas: crea la transacción,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Authorize(otp)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MarkAsExecuted()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IsExpired()</w:t>
            </w:r>
            <w:r>
              <w:rPr>
                <w:sz w:val="18"/>
              </w:rPr>
              <w:t xml:space="preserve">. Constructor privado para el ORM</w:t>
            </w:r>
          </w:p>
        </w:tc>
      </w:tr>
      <w:tr>
        <w:trPr>
          <w:cantSplit/>
        </w:trPr>
        <w:tc>
          <w:tcPr>
            <w:tcW w:type="dxa" w:w="1264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Application</w:t>
            </w:r>
          </w:p>
        </w:tc>
        <w:tc>
          <w:tcPr>
            <w:tcW w:type="dxa" w:w="4047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PaymentApplicationService</w:t>
            </w:r>
          </w:p>
        </w:tc>
        <w:tc>
          <w:tcPr>
            <w:tcW w:type="dxa" w:w="4049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Casos de uso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Initiate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VerifyOtp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Execute</w:t>
            </w:r>
            <w:r>
              <w:rPr>
                <w:sz w:val="18"/>
              </w:rPr>
              <w:t xml:space="preserve">; valida entradas</w:t>
            </w:r>
          </w:p>
        </w:tc>
      </w:tr>
      <w:tr>
        <w:trPr>
          <w:cantSplit/>
        </w:trPr>
        <w:tc>
          <w:tcPr>
            <w:tcW w:type="dxa" w:w="126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Application</w:t>
            </w:r>
          </w:p>
        </w:tc>
        <w:tc>
          <w:tcPr>
            <w:tcW w:type="dxa" w:w="4047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ITransactionRepository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IReplayProtectionService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IJwtTokenService</w:t>
            </w:r>
          </w:p>
        </w:tc>
        <w:tc>
          <w:tcPr>
            <w:tcW w:type="dxa" w:w="404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Puertos hacia infraestructura</w:t>
            </w:r>
          </w:p>
        </w:tc>
      </w:tr>
      <w:tr>
        <w:trPr>
          <w:cantSplit/>
        </w:trPr>
        <w:tc>
          <w:tcPr>
            <w:tcW w:type="dxa" w:w="1264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Application</w:t>
            </w:r>
          </w:p>
        </w:tc>
        <w:tc>
          <w:tcPr>
            <w:tcW w:type="dxa" w:w="4047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DTOs/PaymentDtos.cs</w:t>
            </w:r>
          </w:p>
        </w:tc>
        <w:tc>
          <w:tcPr>
            <w:tcW w:type="dxa" w:w="4049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Registros de petición/respuesta</w:t>
            </w:r>
          </w:p>
        </w:tc>
      </w:tr>
      <w:tr>
        <w:trPr>
          <w:cantSplit/>
        </w:trPr>
        <w:tc>
          <w:tcPr>
            <w:tcW w:type="dxa" w:w="126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Infrastructure</w:t>
            </w:r>
          </w:p>
        </w:tc>
        <w:tc>
          <w:tcPr>
            <w:tcW w:type="dxa" w:w="4047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PaymentsDbContext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+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Configurations/*</w:t>
            </w:r>
          </w:p>
        </w:tc>
        <w:tc>
          <w:tcPr>
            <w:tcW w:type="dxa" w:w="404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Modelo EF Core</w:t>
            </w:r>
          </w:p>
        </w:tc>
      </w:tr>
      <w:tr>
        <w:trPr>
          <w:cantSplit/>
        </w:trPr>
        <w:tc>
          <w:tcPr>
            <w:tcW w:type="dxa" w:w="1264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Infrastructure</w:t>
            </w:r>
          </w:p>
        </w:tc>
        <w:tc>
          <w:tcPr>
            <w:tcW w:type="dxa" w:w="4047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EfTransactionRepository</w:t>
            </w:r>
          </w:p>
        </w:tc>
        <w:tc>
          <w:tcPr>
            <w:tcW w:type="dxa" w:w="4049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Persistencia de transacciones</w:t>
            </w:r>
          </w:p>
        </w:tc>
      </w:tr>
      <w:tr>
        <w:trPr>
          <w:cantSplit/>
        </w:trPr>
        <w:tc>
          <w:tcPr>
            <w:tcW w:type="dxa" w:w="126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Infrastructure</w:t>
            </w:r>
          </w:p>
        </w:tc>
        <w:tc>
          <w:tcPr>
            <w:tcW w:type="dxa" w:w="4047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DbReplayProtectionService</w:t>
            </w:r>
          </w:p>
        </w:tc>
        <w:tc>
          <w:tcPr>
            <w:tcW w:type="dxa" w:w="404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Registro atómico del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jti</w:t>
            </w:r>
          </w:p>
        </w:tc>
      </w:tr>
      <w:tr>
        <w:trPr>
          <w:cantSplit/>
        </w:trPr>
        <w:tc>
          <w:tcPr>
            <w:tcW w:type="dxa" w:w="1264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Infrastructure</w:t>
            </w:r>
          </w:p>
        </w:tc>
        <w:tc>
          <w:tcPr>
            <w:tcW w:type="dxa" w:w="4047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JwtTokenService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JwtKeyProvider</w:t>
            </w:r>
          </w:p>
        </w:tc>
        <w:tc>
          <w:tcPr>
            <w:tcW w:type="dxa" w:w="4049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Emisión RS256 y gestión de la clave</w:t>
            </w:r>
          </w:p>
        </w:tc>
      </w:tr>
      <w:tr>
        <w:trPr>
          <w:cantSplit/>
        </w:trPr>
        <w:tc>
          <w:tcPr>
            <w:tcW w:type="dxa" w:w="126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Infrastructure</w:t>
            </w:r>
          </w:p>
        </w:tc>
        <w:tc>
          <w:tcPr>
            <w:tcW w:type="dxa" w:w="4047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ExpiredTokenCleanupService</w:t>
            </w:r>
          </w:p>
        </w:tc>
        <w:tc>
          <w:tcPr>
            <w:tcW w:type="dxa" w:w="404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Purga cada 5 min de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used_tokens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vencidos</w:t>
            </w:r>
          </w:p>
        </w:tc>
      </w:tr>
      <w:tr>
        <w:trPr>
          <w:cantSplit/>
        </w:trPr>
        <w:tc>
          <w:tcPr>
            <w:tcW w:type="dxa" w:w="1264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Infrastructure</w:t>
            </w:r>
          </w:p>
        </w:tc>
        <w:tc>
          <w:tcPr>
            <w:tcW w:type="dxa" w:w="4047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DatabaseInitializer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DependencyInjection</w:t>
            </w:r>
          </w:p>
        </w:tc>
        <w:tc>
          <w:tcPr>
            <w:tcW w:type="dxa" w:w="4049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Inicialización con reintentos; selección del proveedor</w:t>
            </w:r>
          </w:p>
        </w:tc>
      </w:tr>
      <w:tr>
        <w:trPr>
          <w:cantSplit/>
        </w:trPr>
        <w:tc>
          <w:tcPr>
            <w:tcW w:type="dxa" w:w="126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WebApi</w:t>
            </w:r>
          </w:p>
        </w:tc>
        <w:tc>
          <w:tcPr>
            <w:tcW w:type="dxa" w:w="4047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DecoupledPaymentsController</w:t>
            </w:r>
          </w:p>
        </w:tc>
        <w:tc>
          <w:tcPr>
            <w:tcW w:type="dxa" w:w="404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Endpoints</w:t>
            </w:r>
          </w:p>
        </w:tc>
      </w:tr>
      <w:tr>
        <w:trPr>
          <w:cantSplit/>
        </w:trPr>
        <w:tc>
          <w:tcPr>
            <w:tcW w:type="dxa" w:w="1264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WebApi</w:t>
            </w:r>
          </w:p>
        </w:tc>
        <w:tc>
          <w:tcPr>
            <w:tcW w:type="dxa" w:w="4047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SingleUseTokenMiddleware</w:t>
            </w:r>
          </w:p>
        </w:tc>
        <w:tc>
          <w:tcPr>
            <w:tcW w:type="dxa" w:w="4049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Control anti-replay</w:t>
            </w:r>
          </w:p>
        </w:tc>
      </w:tr>
      <w:tr>
        <w:trPr>
          <w:cantSplit/>
        </w:trPr>
        <w:tc>
          <w:tcPr>
            <w:tcW w:type="dxa" w:w="126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WebApi</w:t>
            </w:r>
          </w:p>
        </w:tc>
        <w:tc>
          <w:tcPr>
            <w:tcW w:type="dxa" w:w="4047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ApiExceptionHandler</w:t>
            </w:r>
          </w:p>
        </w:tc>
        <w:tc>
          <w:tcPr>
            <w:tcW w:type="dxa" w:w="404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Traducción de excepciones a respuestas JSON</w:t>
            </w:r>
          </w:p>
        </w:tc>
      </w:tr>
      <w:tr>
        <w:trPr>
          <w:cantSplit/>
        </w:trPr>
        <w:tc>
          <w:tcPr>
            <w:tcW w:type="dxa" w:w="1264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WebApi</w:t>
            </w:r>
          </w:p>
        </w:tc>
        <w:tc>
          <w:tcPr>
            <w:tcW w:type="dxa" w:w="4047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Program.cs</w:t>
            </w:r>
          </w:p>
        </w:tc>
        <w:tc>
          <w:tcPr>
            <w:tcW w:type="dxa" w:w="4049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Composición, autenticación, CORS, health checks</w:t>
            </w:r>
          </w:p>
        </w:tc>
      </w:tr>
    </w:tbl>
    <w:bookmarkEnd w:id="36"/>
    <w:bookmarkStart w:id="37" w:name="orden-del-pipeline-http-program.cs"/>
    <w:p>
      <w:pPr>
        <w:pStyle w:val="Heading2"/>
      </w:pPr>
      <w:r>
        <w:t xml:space="preserve">5.2 Orden del pipeline HTTP (</w:t>
      </w:r>
      <w:r>
        <w:rPr>
          <w:rStyle w:val="VerbatimChar"/>
        </w:rPr>
        <w:t xml:space="preserve">Program.cs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UseExceptionHandler</w:t>
      </w:r>
      <w:r>
        <w:t xml:space="preserve"> </w:t>
      </w:r>
      <w:r>
        <w:t xml:space="preserve">→ 2.</w:t>
      </w:r>
      <w:r>
        <w:t xml:space="preserve"> </w:t>
      </w:r>
      <w:r>
        <w:rPr>
          <w:rStyle w:val="VerbatimChar"/>
        </w:rPr>
        <w:t xml:space="preserve">UseHttpsRedirection</w:t>
      </w:r>
      <w:r>
        <w:t xml:space="preserve"> </w:t>
      </w:r>
      <w:r>
        <w:t xml:space="preserve">→ 3.</w:t>
      </w:r>
      <w:r>
        <w:t xml:space="preserve"> </w:t>
      </w:r>
      <w:r>
        <w:rPr>
          <w:rStyle w:val="VerbatimChar"/>
        </w:rPr>
        <w:t xml:space="preserve">UseCors("Frontend")</w:t>
      </w:r>
      <w:r>
        <w:t xml:space="preserve"> </w:t>
      </w:r>
      <w:r>
        <w:t xml:space="preserve">→ 4.</w:t>
      </w:r>
      <w:r>
        <w:t xml:space="preserve"> </w:t>
      </w:r>
      <w:r>
        <w:rPr>
          <w:rStyle w:val="VerbatimChar"/>
        </w:rPr>
        <w:t xml:space="preserve">UseAuthentication</w:t>
      </w:r>
      <w:r>
        <w:t xml:space="preserve"> </w:t>
      </w:r>
      <w:r>
        <w:t xml:space="preserve">→ 5.</w:t>
      </w:r>
      <w:r>
        <w:t xml:space="preserve"> </w:t>
      </w:r>
      <w:r>
        <w:rPr>
          <w:rStyle w:val="VerbatimChar"/>
        </w:rPr>
        <w:t xml:space="preserve">UseAuthorization</w:t>
      </w:r>
      <w:r>
        <w:t xml:space="preserve"> </w:t>
      </w:r>
      <w:r>
        <w:t xml:space="preserve">→ 6.</w:t>
      </w:r>
      <w:r>
        <w:t xml:space="preserve"> </w:t>
      </w:r>
      <w:r>
        <w:rPr>
          <w:rStyle w:val="VerbatimChar"/>
        </w:rPr>
        <w:t xml:space="preserve">SingleUseTokenMiddleware</w:t>
      </w:r>
      <w:r>
        <w:t xml:space="preserve"> </w:t>
      </w:r>
      <w:r>
        <w:t xml:space="preserve">→ 7. Endpoints (controladores y</w:t>
      </w:r>
      <w:r>
        <w:t xml:space="preserve"> </w:t>
      </w:r>
      <w:r>
        <w:rPr>
          <w:rStyle w:val="VerbatimChar"/>
        </w:rPr>
        <w:t xml:space="preserve">/healthz*</w:t>
      </w:r>
      <w:r>
        <w:t xml:space="preserve">).</w:t>
      </w:r>
    </w:p>
    <w:p>
      <w:pPr>
        <w:pStyle w:val="FirstParagraph"/>
      </w:pPr>
      <w:r>
        <w:t xml:space="preserve">El middleware se ejecuta</w:t>
      </w:r>
      <w:r>
        <w:t xml:space="preserve"> </w:t>
      </w:r>
      <w:r>
        <w:rPr>
          <w:b/>
          <w:bCs/>
        </w:rPr>
        <w:t xml:space="preserve">después</w:t>
      </w:r>
      <w:r>
        <w:t xml:space="preserve"> </w:t>
      </w:r>
      <w:r>
        <w:t xml:space="preserve">de autenticar y autorizar: el token ya tiene validados firma, emisor, audiencia, vigencia y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 </w:t>
      </w:r>
      <w:r>
        <w:t xml:space="preserve">antes de consumir el</w:t>
      </w:r>
      <w:r>
        <w:t xml:space="preserve"> </w:t>
      </w:r>
      <w:r>
        <w:rPr>
          <w:rStyle w:val="VerbatimChar"/>
        </w:rPr>
        <w:t xml:space="preserve">jti</w:t>
      </w:r>
      <w:r>
        <w:t xml:space="preserve">.</w:t>
      </w:r>
    </w:p>
    <w:bookmarkEnd w:id="37"/>
    <w:bookmarkStart w:id="38" w:name="ciclo-de-vida-de-servicios-di"/>
    <w:p>
      <w:pPr>
        <w:pStyle w:val="Heading2"/>
      </w:pPr>
      <w:r>
        <w:t xml:space="preserve">5.3 Ciclo de vida de servicios (DI)</w:t>
      </w:r>
    </w:p>
    <w:tbl>
      <w:tblPr>
        <w:tblStyle w:val="Table"/>
        <w:tblW w:w="9360" w:type="dxa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6494"/>
        <w:gridCol w:w="2866"/>
      </w:tblGrid>
      <w:tr>
        <w:trPr>
          <w:tblHeader w:val="true"/>
          <w:cantSplit/>
          <w:tblHeader/>
        </w:trPr>
        <w:tc>
          <w:tcPr>
            <w:tcW w:type="dxa" w:w="6494"/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Servicio</w:t>
            </w:r>
          </w:p>
        </w:tc>
        <w:tc>
          <w:tcPr>
            <w:tcW w:type="dxa" w:w="2866"/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Vida</w:t>
            </w:r>
          </w:p>
        </w:tc>
      </w:tr>
      <w:tr>
        <w:trPr>
          <w:cantSplit/>
        </w:trPr>
        <w:tc>
          <w:tcPr>
            <w:tcW w:type="dxa" w:w="6494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PaymentsDbContext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EfTransactionRepository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DbReplayProtectionService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PaymentApplicationService</w:t>
            </w:r>
          </w:p>
        </w:tc>
        <w:tc>
          <w:tcPr>
            <w:tcW w:type="dxa" w:w="2866"/>
          </w:tcPr>
          <w:p>
            <w:pPr>
              <w:pStyle w:val="Compact"/>
              <w:jc w:val="left"/>
            </w:pPr>
            <w:r>
              <w:rPr>
                <w:i/>
                <w:iCs/>
                <w:sz w:val="18"/>
              </w:rPr>
              <w:t xml:space="preserve">Scoped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(por petición)</w:t>
            </w:r>
          </w:p>
        </w:tc>
      </w:tr>
      <w:tr>
        <w:trPr>
          <w:cantSplit/>
        </w:trPr>
        <w:tc>
          <w:tcPr>
            <w:tcW w:type="dxa" w:w="6494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JwtKeyProvider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JwtTokenService</w:t>
            </w:r>
          </w:p>
        </w:tc>
        <w:tc>
          <w:tcPr>
            <w:tcW w:type="dxa" w:w="2866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i/>
                <w:iCs/>
                <w:sz w:val="18"/>
              </w:rPr>
              <w:t xml:space="preserve">Singleton</w:t>
            </w:r>
          </w:p>
        </w:tc>
      </w:tr>
      <w:tr>
        <w:trPr>
          <w:cantSplit/>
        </w:trPr>
        <w:tc>
          <w:tcPr>
            <w:tcW w:type="dxa" w:w="6494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ExpiredTokenCleanupService</w:t>
            </w:r>
          </w:p>
        </w:tc>
        <w:tc>
          <w:tcPr>
            <w:tcW w:type="dxa" w:w="2866"/>
          </w:tcPr>
          <w:p>
            <w:pPr>
              <w:pStyle w:val="Compact"/>
              <w:jc w:val="left"/>
            </w:pPr>
            <w:r>
              <w:rPr>
                <w:i/>
                <w:iCs/>
                <w:sz w:val="18"/>
              </w:rPr>
              <w:t xml:space="preserve">Hosted service</w:t>
            </w:r>
          </w:p>
        </w:tc>
      </w:tr>
    </w:tbl>
    <w:bookmarkEnd w:id="38"/>
    <w:bookmarkEnd w:id="39"/>
    <w:bookmarkStart w:id="45" w:name="contrato-de-la-api"/>
    <w:p>
      <w:pPr>
        <w:pStyle w:val="Heading1"/>
      </w:pPr>
      <w:r>
        <w:t xml:space="preserve">6. Contrato de la API</w:t>
      </w:r>
    </w:p>
    <w:p>
      <w:pPr>
        <w:pStyle w:val="FirstParagraph"/>
      </w:pPr>
      <w:r>
        <w:t xml:space="preserve">Base:</w:t>
      </w:r>
      <w:r>
        <w:t xml:space="preserve"> </w:t>
      </w:r>
      <w:r>
        <w:rPr>
          <w:rStyle w:val="VerbatimChar"/>
        </w:rPr>
        <w:t xml:space="preserve">/api/v1/decoupled-payments</w:t>
      </w:r>
      <w:r>
        <w:t xml:space="preserve"> </w:t>
      </w:r>
      <w:r>
        <w:t xml:space="preserve">· JSON en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 </w:t>
      </w:r>
      <w:r>
        <w:t xml:space="preserve">· el contrato OpenAPI se expone en</w:t>
      </w:r>
      <w:r>
        <w:t xml:space="preserve"> </w:t>
      </w:r>
      <w:r>
        <w:rPr>
          <w:rStyle w:val="VerbatimChar"/>
        </w:rPr>
        <w:t xml:space="preserve">/openapi/v1.json</w:t>
      </w:r>
      <w:r>
        <w:t xml:space="preserve"> </w:t>
      </w:r>
      <w:r>
        <w:t xml:space="preserve">solo en</w:t>
      </w:r>
      <w:r>
        <w:t xml:space="preserve"> </w:t>
      </w:r>
      <w:r>
        <w:rPr>
          <w:i/>
          <w:iCs/>
        </w:rPr>
        <w:t xml:space="preserve">Development</w:t>
      </w:r>
      <w:r>
        <w:t xml:space="preserve">.</w:t>
      </w:r>
    </w:p>
    <w:bookmarkStart w:id="40" w:name="post-initiate-201"/>
    <w:p>
      <w:pPr>
        <w:pStyle w:val="Heading2"/>
      </w:pPr>
      <w:r>
        <w:t xml:space="preserve">6.1</w:t>
      </w:r>
      <w:r>
        <w:t xml:space="preserve"> </w:t>
      </w:r>
      <w:r>
        <w:rPr>
          <w:rStyle w:val="VerbatimChar"/>
        </w:rPr>
        <w:t xml:space="preserve">POST /initiate</w:t>
      </w:r>
      <w:r>
        <w:t xml:space="preserve"> </w:t>
      </w:r>
      <w:r>
        <w:t xml:space="preserve">→ 201</w:t>
      </w:r>
    </w:p>
    <w:p>
      <w:pPr>
        <w:pStyle w:val="SourceCode"/>
        <w:shd w:val="clear" w:color="auto" w:fill="F2F2F2"/>
        <w:spacing w:after="0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Petición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"merchant_id"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"MERCHANT_PSE_8892"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"user_document_id"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"1018234567"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"callback_url"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"https://comercio.com/pago/callback"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Respuesta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"transaction_id"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"3f1c…"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"session_token"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"st_live_…"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"PendingOtpVerification"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"expires_in_seconds"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40"/>
    <w:bookmarkStart w:id="41" w:name="post-verify-otp-200"/>
    <w:p>
      <w:pPr>
        <w:pStyle w:val="Heading2"/>
      </w:pPr>
      <w:r>
        <w:t xml:space="preserve">6.2</w:t>
      </w:r>
      <w:r>
        <w:t xml:space="preserve"> </w:t>
      </w:r>
      <w:r>
        <w:rPr>
          <w:rStyle w:val="VerbatimChar"/>
        </w:rPr>
        <w:t xml:space="preserve">POST /verify-otp</w:t>
      </w:r>
      <w:r>
        <w:t xml:space="preserve"> </w:t>
      </w:r>
      <w:r>
        <w:t xml:space="preserve">→ 200</w:t>
      </w:r>
    </w:p>
    <w:p>
      <w:pPr>
        <w:pStyle w:val="SourceCode"/>
        <w:shd w:val="clear" w:color="auto" w:fill="F2F2F2"/>
        <w:spacing w:after="0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"transaction_id"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"3f1c…"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"session_token"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"st_live_…"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"otp_code"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Respuesta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"transaction_id"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"3f1c…"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"transaction_token"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"expires_in_seconds"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41"/>
    <w:bookmarkStart w:id="42" w:name="post-execute-200"/>
    <w:p>
      <w:pPr>
        <w:pStyle w:val="Heading2"/>
      </w:pPr>
      <w:r>
        <w:t xml:space="preserve">6.3</w:t>
      </w:r>
      <w:r>
        <w:t xml:space="preserve"> </w:t>
      </w:r>
      <w:r>
        <w:rPr>
          <w:rStyle w:val="VerbatimChar"/>
        </w:rPr>
        <w:t xml:space="preserve">POST /execute</w:t>
      </w:r>
      <w:r>
        <w:t xml:space="preserve"> </w:t>
      </w:r>
      <w:r>
        <w:t xml:space="preserve">→ 200</w:t>
      </w:r>
    </w:p>
    <w:p>
      <w:pPr>
        <w:pStyle w:val="FirstParagraph"/>
      </w:pPr>
      <w:r>
        <w:t xml:space="preserve">Cabeceras:</w:t>
      </w:r>
      <w:r>
        <w:t xml:space="preserve"> </w:t>
      </w:r>
      <w:r>
        <w:rPr>
          <w:rStyle w:val="VerbatimChar"/>
        </w:rPr>
        <w:t xml:space="preserve">Authorization: Bearer &lt;transaction_token&gt;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X-Idempotency-Key: &lt;uuid&gt;</w:t>
      </w:r>
    </w:p>
    <w:p>
      <w:pPr>
        <w:pStyle w:val="SourceCode"/>
        <w:shd w:val="clear" w:color="auto" w:fill="F2F2F2"/>
        <w:spacing w:after="0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"transaction_id"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"3f1c…"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"source_account_id"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"ACC_SAVINGS_9812"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Respuesta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"transaction_id"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"3f1c…"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"bank_reference"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"CUS_20261003_482915"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"executed_at"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"2026-10-03T15:04:05Z"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42"/>
    <w:bookmarkStart w:id="43" w:name="salud"/>
    <w:p>
      <w:pPr>
        <w:pStyle w:val="Heading2"/>
      </w:pPr>
      <w:r>
        <w:t xml:space="preserve">6.4 Salud</w:t>
      </w:r>
    </w:p>
    <w:tbl>
      <w:tblPr>
        <w:tblStyle w:val="Table"/>
        <w:tblW w:w="9360" w:type="dxa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2392"/>
        <w:gridCol w:w="3483"/>
        <w:gridCol w:w="3485"/>
      </w:tblGrid>
      <w:tr>
        <w:trPr>
          <w:tblHeader w:val="true"/>
          <w:cantSplit/>
          <w:tblHeader/>
        </w:trPr>
        <w:tc>
          <w:tcPr>
            <w:tcW w:type="dxa" w:w="2392"/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Ruta</w:t>
            </w:r>
          </w:p>
        </w:tc>
        <w:tc>
          <w:tcPr>
            <w:tcW w:type="dxa" w:w="3483"/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Uso</w:t>
            </w:r>
          </w:p>
        </w:tc>
        <w:tc>
          <w:tcPr>
            <w:tcW w:type="dxa" w:w="3485"/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Respuesta</w:t>
            </w:r>
          </w:p>
        </w:tc>
      </w:tr>
      <w:tr>
        <w:trPr>
          <w:cantSplit/>
        </w:trPr>
        <w:tc>
          <w:tcPr>
            <w:tcW w:type="dxa" w:w="2392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GET /healthz</w:t>
            </w:r>
          </w:p>
        </w:tc>
        <w:tc>
          <w:tcPr>
            <w:tcW w:type="dxa" w:w="348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Liveness (no consulta la BD)</w:t>
            </w:r>
          </w:p>
        </w:tc>
        <w:tc>
          <w:tcPr>
            <w:tcW w:type="dxa" w:w="3485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200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{"status":"ok"}</w:t>
            </w:r>
          </w:p>
        </w:tc>
      </w:tr>
      <w:tr>
        <w:trPr>
          <w:cantSplit/>
        </w:trPr>
        <w:tc>
          <w:tcPr>
            <w:tcW w:type="dxa" w:w="2392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GET /healthz/ready</w:t>
            </w:r>
          </w:p>
        </w:tc>
        <w:tc>
          <w:tcPr>
            <w:tcW w:type="dxa" w:w="3483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Readiness (verifica la BD)</w:t>
            </w:r>
          </w:p>
        </w:tc>
        <w:tc>
          <w:tcPr>
            <w:tcW w:type="dxa" w:w="3485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200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{"status":"ready"}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 503</w:t>
            </w:r>
          </w:p>
        </w:tc>
      </w:tr>
    </w:tbl>
    <w:bookmarkEnd w:id="43"/>
    <w:bookmarkStart w:id="44" w:name="errores"/>
    <w:p>
      <w:pPr>
        <w:pStyle w:val="Heading2"/>
      </w:pPr>
      <w:r>
        <w:t xml:space="preserve">6.5 Errores</w:t>
      </w:r>
    </w:p>
    <w:p>
      <w:pPr>
        <w:pStyle w:val="FirstParagraph"/>
      </w:pPr>
      <w:r>
        <w:t xml:space="preserve">Formato:</w:t>
      </w:r>
      <w:r>
        <w:t xml:space="preserve"> </w:t>
      </w:r>
      <w:r>
        <w:rPr>
          <w:rStyle w:val="VerbatimChar"/>
        </w:rPr>
        <w:t xml:space="preserve">{ "error": "&lt;CÓDIGO&gt;", "message": "&lt;detalle&gt;" }</w:t>
      </w:r>
      <w:r>
        <w:t xml:space="preserve">.</w:t>
      </w:r>
    </w:p>
    <w:tbl>
      <w:tblPr>
        <w:tblStyle w:val="Table"/>
        <w:tblW w:w="9360" w:type="dxa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920"/>
        <w:gridCol w:w="4286"/>
        <w:gridCol w:w="4154"/>
      </w:tblGrid>
      <w:tr>
        <w:trPr>
          <w:tblHeader w:val="true"/>
          <w:cantSplit/>
          <w:tblHeader/>
        </w:trPr>
        <w:tc>
          <w:tcPr>
            <w:tcW w:type="dxa" w:w="920"/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HTTP</w:t>
            </w:r>
          </w:p>
        </w:tc>
        <w:tc>
          <w:tcPr>
            <w:tcW w:type="dxa" w:w="4286"/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Código</w:t>
            </w:r>
          </w:p>
        </w:tc>
        <w:tc>
          <w:tcPr>
            <w:tcW w:type="dxa" w:w="4154"/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Origen</w:t>
            </w:r>
          </w:p>
        </w:tc>
      </w:tr>
      <w:tr>
        <w:trPr>
          <w:cantSplit/>
        </w:trPr>
        <w:tc>
          <w:tcPr>
            <w:tcW w:type="dxa" w:w="92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400</w:t>
            </w:r>
          </w:p>
        </w:tc>
        <w:tc>
          <w:tcPr>
            <w:tcW w:type="dxa" w:w="4286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INVALID_REQUEST</w:t>
            </w:r>
          </w:p>
        </w:tc>
        <w:tc>
          <w:tcPr>
            <w:tcW w:type="dxa" w:w="4154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ArgumentException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(validación, OTP incorrecto)</w:t>
            </w:r>
          </w:p>
        </w:tc>
      </w:tr>
      <w:tr>
        <w:trPr>
          <w:cantSplit/>
        </w:trPr>
        <w:tc>
          <w:tcPr>
            <w:tcW w:type="dxa" w:w="920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400</w:t>
            </w:r>
          </w:p>
        </w:tc>
        <w:tc>
          <w:tcPr>
            <w:tcW w:type="dxa" w:w="4286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MISSING_IDEMPOTENCY_KEY</w:t>
            </w:r>
          </w:p>
        </w:tc>
        <w:tc>
          <w:tcPr>
            <w:tcW w:type="dxa" w:w="4154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Falta o es vacío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X-Idempotency-Key</w:t>
            </w:r>
          </w:p>
        </w:tc>
      </w:tr>
      <w:tr>
        <w:trPr>
          <w:cantSplit/>
        </w:trPr>
        <w:tc>
          <w:tcPr>
            <w:tcW w:type="dxa" w:w="92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401</w:t>
            </w:r>
          </w:p>
        </w:tc>
        <w:tc>
          <w:tcPr>
            <w:tcW w:type="dxa" w:w="4286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MISSING_BEARER_TOKEN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INVALID_TOKEN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EXPIRED_TOKEN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 sin cuerpo</w:t>
            </w:r>
          </w:p>
        </w:tc>
        <w:tc>
          <w:tcPr>
            <w:tcW w:type="dxa" w:w="415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Autenticación JWT / middleware</w:t>
            </w:r>
          </w:p>
        </w:tc>
      </w:tr>
      <w:tr>
        <w:trPr>
          <w:cantSplit/>
        </w:trPr>
        <w:tc>
          <w:tcPr>
            <w:tcW w:type="dxa" w:w="920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403</w:t>
            </w:r>
          </w:p>
        </w:tc>
        <w:tc>
          <w:tcPr>
            <w:tcW w:type="dxa" w:w="4286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TOKEN_TRANSACTION_MISMATCH</w:t>
            </w:r>
          </w:p>
        </w:tc>
        <w:tc>
          <w:tcPr>
            <w:tcW w:type="dxa" w:w="4154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transaction_id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del token ≠ el del cuerpo</w:t>
            </w:r>
          </w:p>
        </w:tc>
      </w:tr>
      <w:tr>
        <w:trPr>
          <w:cantSplit/>
        </w:trPr>
        <w:tc>
          <w:tcPr>
            <w:tcW w:type="dxa" w:w="92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404</w:t>
            </w:r>
          </w:p>
        </w:tc>
        <w:tc>
          <w:tcPr>
            <w:tcW w:type="dxa" w:w="4286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TRANSACTION_NOT_FOUND</w:t>
            </w:r>
          </w:p>
        </w:tc>
        <w:tc>
          <w:tcPr>
            <w:tcW w:type="dxa" w:w="4154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KeyNotFoundException</w:t>
            </w:r>
          </w:p>
        </w:tc>
      </w:tr>
      <w:tr>
        <w:trPr>
          <w:cantSplit/>
        </w:trPr>
        <w:tc>
          <w:tcPr>
            <w:tcW w:type="dxa" w:w="920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409</w:t>
            </w:r>
          </w:p>
        </w:tc>
        <w:tc>
          <w:tcPr>
            <w:tcW w:type="dxa" w:w="4286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TOKEN_ALREADY_USED</w:t>
            </w:r>
          </w:p>
        </w:tc>
        <w:tc>
          <w:tcPr>
            <w:tcW w:type="dxa" w:w="4154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Middleware anti-replay</w:t>
            </w:r>
          </w:p>
        </w:tc>
      </w:tr>
      <w:tr>
        <w:trPr>
          <w:cantSplit/>
        </w:trPr>
        <w:tc>
          <w:tcPr>
            <w:tcW w:type="dxa" w:w="92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409</w:t>
            </w:r>
          </w:p>
        </w:tc>
        <w:tc>
          <w:tcPr>
            <w:tcW w:type="dxa" w:w="4286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INVALID_TRANSACTION_STATE</w:t>
            </w:r>
          </w:p>
        </w:tc>
        <w:tc>
          <w:tcPr>
            <w:tcW w:type="dxa" w:w="4154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InvalidOperationException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(vencida o estado inválido)</w:t>
            </w:r>
          </w:p>
        </w:tc>
      </w:tr>
      <w:tr>
        <w:trPr>
          <w:cantSplit/>
        </w:trPr>
        <w:tc>
          <w:tcPr>
            <w:tcW w:type="dxa" w:w="920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409</w:t>
            </w:r>
          </w:p>
        </w:tc>
        <w:tc>
          <w:tcPr>
            <w:tcW w:type="dxa" w:w="4286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CONCURRENT_UPDATE</w:t>
            </w:r>
          </w:p>
        </w:tc>
        <w:tc>
          <w:tcPr>
            <w:tcW w:type="dxa" w:w="4154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DbUpdateConcurrencyException</w:t>
            </w:r>
          </w:p>
        </w:tc>
      </w:tr>
      <w:tr>
        <w:trPr>
          <w:cantSplit/>
        </w:trPr>
        <w:tc>
          <w:tcPr>
            <w:tcW w:type="dxa" w:w="92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500</w:t>
            </w:r>
          </w:p>
        </w:tc>
        <w:tc>
          <w:tcPr>
            <w:tcW w:type="dxa" w:w="4286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INTERNAL_ERROR</w:t>
            </w:r>
          </w:p>
        </w:tc>
        <w:tc>
          <w:tcPr>
            <w:tcW w:type="dxa" w:w="415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Error no controlado (se registra en el log)</w:t>
            </w:r>
          </w:p>
        </w:tc>
      </w:tr>
    </w:tbl>
    <w:bookmarkEnd w:id="44"/>
    <w:bookmarkEnd w:id="45"/>
    <w:bookmarkStart w:id="50" w:name="seguridad"/>
    <w:p>
      <w:pPr>
        <w:pStyle w:val="Heading1"/>
      </w:pPr>
      <w:r>
        <w:t xml:space="preserve">7. Seguridad</w:t>
      </w:r>
    </w:p>
    <w:bookmarkStart w:id="46" w:name="transaction-token-jwt"/>
    <w:p>
      <w:pPr>
        <w:pStyle w:val="Heading2"/>
      </w:pPr>
      <w:r>
        <w:t xml:space="preserve">7.1 Transaction token (JWT)</w:t>
      </w:r>
    </w:p>
    <w:p>
      <w:pPr>
        <w:pStyle w:val="Compact"/>
        <w:numPr>
          <w:ilvl w:val="0"/>
          <w:numId w:val="1002"/>
        </w:numPr>
      </w:pPr>
      <w:r>
        <w:t xml:space="preserve">Algoritmo</w:t>
      </w:r>
      <w:r>
        <w:t xml:space="preserve"> </w:t>
      </w:r>
      <w:r>
        <w:rPr>
          <w:b/>
          <w:bCs/>
        </w:rPr>
        <w:t xml:space="preserve">RS256</w:t>
      </w:r>
      <w:r>
        <w:t xml:space="preserve"> </w:t>
      </w:r>
      <w:r>
        <w:t xml:space="preserve">(RSA 2048). Solo se aceptan tokens con ese algoritmo (</w:t>
      </w:r>
      <w:r>
        <w:rPr>
          <w:rStyle w:val="VerbatimChar"/>
        </w:rPr>
        <w:t xml:space="preserve">ValidAlgorithms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Validaciones: firma,</w:t>
      </w:r>
      <w:r>
        <w:t xml:space="preserve"> </w:t>
      </w:r>
      <w:r>
        <w:rPr>
          <w:rStyle w:val="VerbatimChar"/>
        </w:rPr>
        <w:t xml:space="preserve">iss</w:t>
      </w:r>
      <w:r>
        <w:t xml:space="preserve">,</w:t>
      </w:r>
      <w:r>
        <w:t xml:space="preserve"> </w:t>
      </w:r>
      <w:r>
        <w:rPr>
          <w:rStyle w:val="VerbatimChar"/>
        </w:rPr>
        <w:t xml:space="preserve">aud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</w:t>
      </w:r>
      <w:r>
        <w:t xml:space="preserve">/</w:t>
      </w:r>
      <w:r>
        <w:rPr>
          <w:rStyle w:val="VerbatimChar"/>
        </w:rPr>
        <w:t xml:space="preserve">nbf</w:t>
      </w:r>
      <w:r>
        <w:t xml:space="preserve"> </w:t>
      </w:r>
      <w:r>
        <w:t xml:space="preserve">(sin tolerancia de reloj), y política</w:t>
      </w:r>
      <w:r>
        <w:t xml:space="preserve"> </w:t>
      </w:r>
      <w:r>
        <w:rPr>
          <w:rStyle w:val="VerbatimChar"/>
        </w:rPr>
        <w:t xml:space="preserve">ExecutePayment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scope = execute_payment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Claims: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(documento),</w:t>
      </w:r>
      <w:r>
        <w:t xml:space="preserve"> </w:t>
      </w:r>
      <w:r>
        <w:rPr>
          <w:rStyle w:val="VerbatimChar"/>
        </w:rPr>
        <w:t xml:space="preserve">jti</w:t>
      </w:r>
      <w:r>
        <w:t xml:space="preserve">,</w:t>
      </w:r>
      <w:r>
        <w:t xml:space="preserve"> </w:t>
      </w:r>
      <w:r>
        <w:rPr>
          <w:rStyle w:val="VerbatimChar"/>
        </w:rPr>
        <w:t xml:space="preserve">iat</w:t>
      </w:r>
      <w:r>
        <w:t xml:space="preserve">,</w:t>
      </w:r>
      <w:r>
        <w:t xml:space="preserve"> </w:t>
      </w:r>
      <w:r>
        <w:rPr>
          <w:rStyle w:val="VerbatimChar"/>
        </w:rPr>
        <w:t xml:space="preserve">nbf</w:t>
      </w:r>
      <w:r>
        <w:t xml:space="preserve">,</w:t>
      </w:r>
      <w:r>
        <w:t xml:space="preserve"> </w:t>
      </w:r>
      <w:r>
        <w:rPr>
          <w:rStyle w:val="VerbatimChar"/>
        </w:rPr>
        <w:t xml:space="preserve">exp</w:t>
      </w:r>
      <w:r>
        <w:t xml:space="preserve">,</w:t>
      </w:r>
      <w:r>
        <w:t xml:space="preserve"> </w:t>
      </w:r>
      <w:r>
        <w:rPr>
          <w:rStyle w:val="VerbatimChar"/>
        </w:rPr>
        <w:t xml:space="preserve">iss</w:t>
      </w:r>
      <w:r>
        <w:t xml:space="preserve">,</w:t>
      </w:r>
      <w:r>
        <w:t xml:space="preserve"> </w:t>
      </w:r>
      <w:r>
        <w:rPr>
          <w:rStyle w:val="VerbatimChar"/>
        </w:rPr>
        <w:t xml:space="preserve">aud</w:t>
      </w:r>
      <w:r>
        <w:t xml:space="preserve">,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transaction_id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currency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Vida:</w:t>
      </w:r>
      <w:r>
        <w:t xml:space="preserve"> </w:t>
      </w:r>
      <w:r>
        <w:rPr>
          <w:rStyle w:val="VerbatimChar"/>
        </w:rPr>
        <w:t xml:space="preserve">Jwt:TransactionTokenTtlSeconds</w:t>
      </w:r>
      <w:r>
        <w:t xml:space="preserve"> </w:t>
      </w:r>
      <w:r>
        <w:t xml:space="preserve">(60 s).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MapInboundClaims = false</w:t>
      </w:r>
      <w:r>
        <w:t xml:space="preserve">: los nombres de claim se conservan tal cual (</w:t>
      </w:r>
      <w:r>
        <w:rPr>
          <w:rStyle w:val="VerbatimChar"/>
        </w:rPr>
        <w:t xml:space="preserve">jti</w:t>
      </w:r>
      <w:r>
        <w:t xml:space="preserve">,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…).</w:t>
      </w:r>
    </w:p>
    <w:bookmarkEnd w:id="46"/>
    <w:bookmarkStart w:id="47" w:name="anti-replay"/>
    <w:p>
      <w:pPr>
        <w:pStyle w:val="Heading2"/>
      </w:pPr>
      <w:r>
        <w:t xml:space="preserve">7.2 Anti-replay</w:t>
      </w:r>
    </w:p>
    <w:p>
      <w:pPr>
        <w:pStyle w:val="FirstParagraph"/>
      </w:pPr>
      <w:r>
        <w:rPr>
          <w:rStyle w:val="VerbatimChar"/>
        </w:rPr>
        <w:t xml:space="preserve">SingleUseTokenMiddleware</w:t>
      </w:r>
      <w:r>
        <w:t xml:space="preserve"> </w:t>
      </w:r>
      <w:r>
        <w:t xml:space="preserve">toma</w:t>
      </w:r>
      <w:r>
        <w:t xml:space="preserve"> </w:t>
      </w:r>
      <w:r>
        <w:rPr>
          <w:rStyle w:val="VerbatimChar"/>
        </w:rPr>
        <w:t xml:space="preserve">jti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exp</w:t>
      </w:r>
      <w:r>
        <w:t xml:space="preserve"> </w:t>
      </w:r>
      <w:r>
        <w:t xml:space="preserve">de las claims ya validadas y llama a</w:t>
      </w:r>
      <w:r>
        <w:t xml:space="preserve"> </w:t>
      </w:r>
      <w:r>
        <w:rPr>
          <w:rStyle w:val="VerbatimChar"/>
        </w:rPr>
        <w:t xml:space="preserve">IReplayProtectionService.TryRegisterJtiAsync</w:t>
      </w:r>
      <w:r>
        <w:t xml:space="preserve">. La implementación inserta el</w:t>
      </w:r>
      <w:r>
        <w:t xml:space="preserve"> </w:t>
      </w:r>
      <w:r>
        <w:rPr>
          <w:rStyle w:val="VerbatimChar"/>
        </w:rPr>
        <w:t xml:space="preserve">jti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payments.used_tokens</w:t>
      </w:r>
      <w:r>
        <w:t xml:space="preserve"> </w:t>
      </w:r>
      <w:r>
        <w:t xml:space="preserve">(PK única). Si ya existía →</w:t>
      </w:r>
      <w:r>
        <w:t xml:space="preserve"> </w:t>
      </w:r>
      <w:r>
        <w:rPr>
          <w:rStyle w:val="VerbatimChar"/>
        </w:rPr>
        <w:t xml:space="preserve">409 TOKEN_ALREADY_USED</w:t>
      </w:r>
      <w:r>
        <w:t xml:space="preserve">. Es atómico entre réplicas y entre motores (ver</w:t>
      </w:r>
      <w:r>
        <w:t xml:space="preserve"> </w:t>
      </w:r>
      <w:r>
        <w:rPr>
          <w:rStyle w:val="VerbatimChar"/>
        </w:rPr>
        <w:t xml:space="preserve">docs/07</w:t>
      </w:r>
      <w:r>
        <w:t xml:space="preserve">).</w:t>
      </w:r>
    </w:p>
    <w:bookmarkEnd w:id="47"/>
    <w:bookmarkStart w:id="48" w:name="otras-defensas"/>
    <w:p>
      <w:pPr>
        <w:pStyle w:val="Heading2"/>
      </w:pPr>
      <w:r>
        <w:t xml:space="preserve">7.3 Otras defensas</w:t>
      </w:r>
    </w:p>
    <w:tbl>
      <w:tblPr>
        <w:tblStyle w:val="Table"/>
        <w:tblW w:w="9360" w:type="dxa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3437"/>
        <w:gridCol w:w="5923"/>
      </w:tblGrid>
      <w:tr>
        <w:trPr>
          <w:tblHeader w:val="true"/>
          <w:cantSplit/>
          <w:tblHeader/>
        </w:trPr>
        <w:tc>
          <w:tcPr>
            <w:tcW w:type="dxa" w:w="3437"/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Control</w:t>
            </w:r>
          </w:p>
        </w:tc>
        <w:tc>
          <w:tcPr>
            <w:tcW w:type="dxa" w:w="5923"/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343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Vinculación token↔transacción</w:t>
            </w:r>
          </w:p>
        </w:tc>
        <w:tc>
          <w:tcPr>
            <w:tcW w:type="dxa" w:w="592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controlador compara el claim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transaction_id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con el del cuerpo (403 si difiere)</w:t>
            </w:r>
          </w:p>
        </w:tc>
      </w:tr>
      <w:tr>
        <w:trPr>
          <w:cantSplit/>
        </w:trPr>
        <w:tc>
          <w:tcPr>
            <w:tcW w:type="dxa" w:w="3437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Concurrencia optimista</w:t>
            </w:r>
          </w:p>
        </w:tc>
        <w:tc>
          <w:tcPr>
            <w:tcW w:type="dxa" w:w="5923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status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como</w:t>
            </w:r>
            <w:r>
              <w:rPr>
                <w:sz w:val="18"/>
              </w:rPr>
              <w:t xml:space="preserve"> </w:t>
            </w:r>
            <w:r>
              <w:rPr>
                <w:i/>
                <w:iCs/>
                <w:sz w:val="18"/>
              </w:rPr>
              <w:t xml:space="preserve">concurrency token</w:t>
            </w:r>
            <w:r>
              <w:rPr>
                <w:sz w:val="18"/>
              </w:rPr>
              <w:t xml:space="preserve">; evita doble ejecución simultánea</w:t>
            </w:r>
          </w:p>
        </w:tc>
      </w:tr>
      <w:tr>
        <w:trPr>
          <w:cantSplit/>
        </w:trPr>
        <w:tc>
          <w:tcPr>
            <w:tcW w:type="dxa" w:w="343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CORS</w:t>
            </w:r>
          </w:p>
        </w:tc>
        <w:tc>
          <w:tcPr>
            <w:tcW w:type="dxa" w:w="592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Política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Frontend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con orígenes explícitos (</w:t>
            </w:r>
            <w:r>
              <w:rPr>
                <w:rStyle w:val="VerbatimChar"/>
                <w:sz w:val="18"/>
              </w:rPr>
              <w:t xml:space="preserve">Cors:AllowedOrigins</w:t>
            </w:r>
            <w:r>
              <w:rPr>
                <w:sz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437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Validación de entradas</w:t>
            </w:r>
          </w:p>
        </w:tc>
        <w:tc>
          <w:tcPr>
            <w:tcW w:type="dxa" w:w="5923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Longitudes, moneda de 3 letras, monto &gt; 0 con 2 decimales</w:t>
            </w:r>
          </w:p>
        </w:tc>
      </w:tr>
      <w:tr>
        <w:trPr>
          <w:cantSplit/>
        </w:trPr>
        <w:tc>
          <w:tcPr>
            <w:tcW w:type="dxa" w:w="343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Contenedores</w:t>
            </w:r>
          </w:p>
        </w:tc>
        <w:tc>
          <w:tcPr>
            <w:tcW w:type="dxa" w:w="592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Sin root,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allowPrivilegeEscalation: false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capabilities: drop ALL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seccompProfile: RuntimeDefault</w:t>
            </w:r>
          </w:p>
        </w:tc>
      </w:tr>
      <w:tr>
        <w:trPr>
          <w:cantSplit/>
        </w:trPr>
        <w:tc>
          <w:tcPr>
            <w:tcW w:type="dxa" w:w="3437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TLS</w:t>
            </w:r>
          </w:p>
        </w:tc>
        <w:tc>
          <w:tcPr>
            <w:tcW w:type="dxa" w:w="5923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Terminado por la Route de OpenShift / proxy inverso; HTTP→HTTPS forzado</w:t>
            </w:r>
          </w:p>
        </w:tc>
      </w:tr>
      <w:tr>
        <w:trPr>
          <w:cantSplit/>
        </w:trPr>
        <w:tc>
          <w:tcPr>
            <w:tcW w:type="dxa" w:w="343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Secretos</w:t>
            </w:r>
          </w:p>
        </w:tc>
        <w:tc>
          <w:tcPr>
            <w:tcW w:type="dxa" w:w="592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Cadena de conexión y clave RSA por variables/Secrets, nunca en la imagen</w:t>
            </w:r>
          </w:p>
        </w:tc>
      </w:tr>
    </w:tbl>
    <w:bookmarkEnd w:id="48"/>
    <w:bookmarkStart w:id="49" w:name="análisis-de-amenazas-resumen"/>
    <w:p>
      <w:pPr>
        <w:pStyle w:val="Heading2"/>
      </w:pPr>
      <w:r>
        <w:t xml:space="preserve">7.4 Análisis de amenazas (resumen)</w:t>
      </w:r>
    </w:p>
    <w:tbl>
      <w:tblPr>
        <w:tblStyle w:val="Table"/>
        <w:tblW w:w="9360" w:type="dxa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2831"/>
        <w:gridCol w:w="3521"/>
        <w:gridCol w:w="3008"/>
      </w:tblGrid>
      <w:tr>
        <w:trPr>
          <w:tblHeader w:val="true"/>
          <w:cantSplit/>
          <w:tblHeader/>
        </w:trPr>
        <w:tc>
          <w:tcPr>
            <w:tcW w:type="dxa" w:w="2831"/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Amenaza</w:t>
            </w:r>
          </w:p>
        </w:tc>
        <w:tc>
          <w:tcPr>
            <w:tcW w:type="dxa" w:w="3521"/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Mitigación en la APOC</w:t>
            </w:r>
          </w:p>
        </w:tc>
        <w:tc>
          <w:tcPr>
            <w:tcW w:type="dxa" w:w="3008"/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Pendiente para producción</w:t>
            </w:r>
          </w:p>
        </w:tc>
      </w:tr>
      <w:tr>
        <w:trPr>
          <w:cantSplit/>
        </w:trPr>
        <w:tc>
          <w:tcPr>
            <w:tcW w:type="dxa" w:w="283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Repetición del débito con token capturado</w:t>
            </w:r>
          </w:p>
        </w:tc>
        <w:tc>
          <w:tcPr>
            <w:tcW w:type="dxa" w:w="352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Un solo uso + TTL 60 s + vinculación a la transacción</w:t>
            </w:r>
          </w:p>
        </w:tc>
        <w:tc>
          <w:tcPr>
            <w:tcW w:type="dxa" w:w="300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2831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Falsificación de token</w:t>
            </w:r>
          </w:p>
        </w:tc>
        <w:tc>
          <w:tcPr>
            <w:tcW w:type="dxa" w:w="3521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Firma RS256 + validación de emisor/audiencia</w:t>
            </w:r>
          </w:p>
        </w:tc>
        <w:tc>
          <w:tcPr>
            <w:tcW w:type="dxa" w:w="3008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Clave en KMS/HSM + rotación (JWKS)</w:t>
            </w:r>
          </w:p>
        </w:tc>
      </w:tr>
      <w:tr>
        <w:trPr>
          <w:cantSplit/>
        </w:trPr>
        <w:tc>
          <w:tcPr>
            <w:tcW w:type="dxa" w:w="283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Fuerza bruta del OTP</w:t>
            </w:r>
          </w:p>
        </w:tc>
        <w:tc>
          <w:tcPr>
            <w:tcW w:type="dxa" w:w="352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– (sin límite)</w:t>
            </w:r>
          </w:p>
        </w:tc>
        <w:tc>
          <w:tcPr>
            <w:tcW w:type="dxa" w:w="300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Límite de intentos y bloqueo temporal</w:t>
            </w:r>
          </w:p>
        </w:tc>
      </w:tr>
      <w:tr>
        <w:trPr>
          <w:cantSplit/>
        </w:trPr>
        <w:tc>
          <w:tcPr>
            <w:tcW w:type="dxa" w:w="2831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Robo de OTP almacenado</w:t>
            </w:r>
          </w:p>
        </w:tc>
        <w:tc>
          <w:tcPr>
            <w:tcW w:type="dxa" w:w="3521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OTP simulado</w:t>
            </w:r>
          </w:p>
        </w:tc>
        <w:tc>
          <w:tcPr>
            <w:tcW w:type="dxa" w:w="3008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 persistirlo / hash + canal externo</w:t>
            </w:r>
          </w:p>
        </w:tc>
      </w:tr>
      <w:tr>
        <w:trPr>
          <w:cantSplit/>
        </w:trPr>
        <w:tc>
          <w:tcPr>
            <w:tcW w:type="dxa" w:w="283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Inyección SQL</w:t>
            </w:r>
          </w:p>
        </w:tc>
        <w:tc>
          <w:tcPr>
            <w:tcW w:type="dxa" w:w="352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EF Core parametriza todas las consultas</w:t>
            </w:r>
          </w:p>
        </w:tc>
        <w:tc>
          <w:tcPr>
            <w:tcW w:type="dxa" w:w="300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2831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Acceso no autorizado a la BD</w:t>
            </w:r>
          </w:p>
        </w:tc>
        <w:tc>
          <w:tcPr>
            <w:tcW w:type="dxa" w:w="3521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Credenciales por secreto</w:t>
            </w:r>
          </w:p>
        </w:tc>
        <w:tc>
          <w:tcPr>
            <w:tcW w:type="dxa" w:w="3008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Mínimo privilegio, TLS y red restringida</w:t>
            </w:r>
          </w:p>
        </w:tc>
      </w:tr>
      <w:tr>
        <w:trPr>
          <w:cantSplit/>
        </w:trPr>
        <w:tc>
          <w:tcPr>
            <w:tcW w:type="dxa" w:w="283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Suplantación del comercio</w:t>
            </w:r>
          </w:p>
        </w:tc>
        <w:tc>
          <w:tcPr>
            <w:tcW w:type="dxa" w:w="352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–</w:t>
            </w:r>
          </w:p>
        </w:tc>
        <w:tc>
          <w:tcPr>
            <w:tcW w:type="dxa" w:w="300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Autenticación del comercio (OAuth2/API keys)</w:t>
            </w:r>
          </w:p>
        </w:tc>
      </w:tr>
    </w:tbl>
    <w:bookmarkEnd w:id="49"/>
    <w:bookmarkEnd w:id="50"/>
    <w:bookmarkStart w:id="51" w:name="capa-de-datos"/>
    <w:p>
      <w:pPr>
        <w:pStyle w:val="Heading1"/>
      </w:pPr>
      <w:r>
        <w:t xml:space="preserve">8. Capa de datos</w:t>
      </w:r>
    </w:p>
    <w:p>
      <w:pPr>
        <w:pStyle w:val="FirstParagraph"/>
      </w:pPr>
      <w:r>
        <w:t xml:space="preserve">Resumen (detalle completo en</w:t>
      </w:r>
      <w:r>
        <w:t xml:space="preserve"> </w:t>
      </w:r>
      <w:r>
        <w:rPr>
          <w:rStyle w:val="VerbatimChar"/>
        </w:rPr>
        <w:t xml:space="preserve">docs/07-capa-de-datos.md</w:t>
      </w:r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t xml:space="preserve">Motor por configuración:</w:t>
      </w:r>
      <w:r>
        <w:t xml:space="preserve"> </w:t>
      </w:r>
      <w:r>
        <w:rPr>
          <w:rStyle w:val="VerbatimChar"/>
        </w:rPr>
        <w:t xml:space="preserve">Database__Provider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PostgreSql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SqlServer</w:t>
      </w:r>
      <w:r>
        <w:t xml:space="preserve">; cadena en</w:t>
      </w:r>
      <w:r>
        <w:t xml:space="preserve"> </w:t>
      </w:r>
      <w:r>
        <w:rPr>
          <w:rStyle w:val="VerbatimChar"/>
        </w:rPr>
        <w:t xml:space="preserve">ConnectionStrings__Default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Tablas</w:t>
      </w:r>
      <w:r>
        <w:t xml:space="preserve"> </w:t>
      </w:r>
      <w:r>
        <w:rPr>
          <w:rStyle w:val="VerbatimChar"/>
        </w:rPr>
        <w:t xml:space="preserve">payments.transactions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payments.used_tokens</w:t>
      </w:r>
      <w:r>
        <w:t xml:space="preserve">; mismos nombres y tipos equivalentes en ambos motores.</w:t>
      </w:r>
    </w:p>
    <w:p>
      <w:pPr>
        <w:pStyle w:val="Compact"/>
        <w:numPr>
          <w:ilvl w:val="0"/>
          <w:numId w:val="1003"/>
        </w:numPr>
      </w:pPr>
      <w:r>
        <w:t xml:space="preserve">Creación del esquema:</w:t>
      </w:r>
      <w:r>
        <w:t xml:space="preserve"> </w:t>
      </w:r>
      <w:r>
        <w:rPr>
          <w:rStyle w:val="VerbatimChar"/>
        </w:rPr>
        <w:t xml:space="preserve">EnsureCreated</w:t>
      </w:r>
      <w:r>
        <w:t xml:space="preserve"> </w:t>
      </w:r>
      <w:r>
        <w:t xml:space="preserve">(por defecto, con reintentos) o scripts en</w:t>
      </w:r>
      <w:r>
        <w:t xml:space="preserve"> </w:t>
      </w:r>
      <w:r>
        <w:rPr>
          <w:rStyle w:val="VerbatimChar"/>
        </w:rPr>
        <w:t xml:space="preserve">database/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Fechas en UTC; estado como texto;</w:t>
      </w:r>
      <w:r>
        <w:t xml:space="preserve"> </w:t>
      </w:r>
      <w:r>
        <w:rPr>
          <w:rStyle w:val="VerbatimChar"/>
        </w:rPr>
        <w:t xml:space="preserve">EnableRetryOnFailure</w:t>
      </w:r>
      <w:r>
        <w:t xml:space="preserve"> </w:t>
      </w:r>
      <w:r>
        <w:t xml:space="preserve">para fallos transitorios.</w:t>
      </w:r>
    </w:p>
    <w:bookmarkEnd w:id="51"/>
    <w:bookmarkStart w:id="52" w:name="frontend"/>
    <w:p>
      <w:pPr>
        <w:pStyle w:val="Heading1"/>
      </w:pPr>
      <w:r>
        <w:t xml:space="preserve">9. Frontend</w:t>
      </w:r>
    </w:p>
    <w:tbl>
      <w:tblPr>
        <w:tblStyle w:val="Table"/>
        <w:tblW w:w="9360" w:type="dxa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3372"/>
        <w:gridCol w:w="5988"/>
      </w:tblGrid>
      <w:tr>
        <w:trPr>
          <w:tblHeader w:val="true"/>
          <w:cantSplit/>
          <w:tblHeader/>
        </w:trPr>
        <w:tc>
          <w:tcPr>
            <w:tcW w:type="dxa" w:w="3372"/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Elemento</w:t>
            </w:r>
          </w:p>
        </w:tc>
        <w:tc>
          <w:tcPr>
            <w:tcW w:type="dxa" w:w="5988"/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337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Tecnología</w:t>
            </w:r>
          </w:p>
        </w:tc>
        <w:tc>
          <w:tcPr>
            <w:tcW w:type="dxa" w:w="59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Blazor WebAssembly standalone; servido como archivos estáticos por nginx</w:t>
            </w:r>
          </w:p>
        </w:tc>
      </w:tr>
      <w:tr>
        <w:trPr>
          <w:cantSplit/>
        </w:trPr>
        <w:tc>
          <w:tcPr>
            <w:tcW w:type="dxa" w:w="3372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Pages/PaymentGateway.razor</w:t>
            </w:r>
          </w:p>
        </w:tc>
        <w:tc>
          <w:tcPr>
            <w:tcW w:type="dxa" w:w="5988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Asistente de 3 pasos (</w:t>
            </w:r>
            <w:r>
              <w:rPr>
                <w:rStyle w:val="VerbatimChar"/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/payment-gateway</w:t>
            </w:r>
            <w:r>
              <w:rPr>
                <w:sz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372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Services/PaymentApiClient.cs</w:t>
            </w:r>
          </w:p>
        </w:tc>
        <w:tc>
          <w:tcPr>
            <w:tcW w:type="dxa" w:w="59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Cliente HTTP; JSON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snake_case</w:t>
            </w:r>
            <w:r>
              <w:rPr>
                <w:sz w:val="18"/>
              </w:rPr>
              <w:t xml:space="preserve">; envía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Authorization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X-Idempotency-Key</w:t>
            </w:r>
          </w:p>
        </w:tc>
      </w:tr>
      <w:tr>
        <w:trPr>
          <w:cantSplit/>
        </w:trPr>
        <w:tc>
          <w:tcPr>
            <w:tcW w:type="dxa" w:w="3372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Models/PaymentModels.cs</w:t>
            </w:r>
          </w:p>
        </w:tc>
        <w:tc>
          <w:tcPr>
            <w:tcW w:type="dxa" w:w="5988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Modelos de petición/respuesta</w:t>
            </w:r>
          </w:p>
        </w:tc>
      </w:tr>
      <w:tr>
        <w:trPr>
          <w:cantSplit/>
        </w:trPr>
        <w:tc>
          <w:tcPr>
            <w:tcW w:type="dxa" w:w="337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Configuración</w:t>
            </w:r>
          </w:p>
        </w:tc>
        <w:tc>
          <w:tcPr>
            <w:tcW w:type="dxa" w:w="5988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wwwroot/appsettings.json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→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ApiBaseUrl</w:t>
            </w:r>
            <w:r>
              <w:rPr>
                <w:sz w:val="18"/>
              </w:rPr>
              <w:t xml:space="preserve">; en contenedor se regenera al arrancar desde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API_BASE_URL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</w:t>
            </w:r>
            <w:r>
              <w:rPr>
                <w:rStyle w:val="VerbatimChar"/>
                <w:sz w:val="18"/>
              </w:rPr>
              <w:t xml:space="preserve">40-appsettings.sh</w:t>
            </w:r>
            <w:r>
              <w:rPr>
                <w:sz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372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nginx</w:t>
            </w:r>
          </w:p>
        </w:tc>
        <w:tc>
          <w:tcPr>
            <w:tcW w:type="dxa" w:w="5988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try_files … /index.html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(rutas SPA);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appsettings.json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sin caché</w:t>
            </w:r>
          </w:p>
        </w:tc>
      </w:tr>
    </w:tbl>
    <w:bookmarkEnd w:id="52"/>
    <w:bookmarkStart w:id="53" w:name="configuración"/>
    <w:p>
      <w:pPr>
        <w:pStyle w:val="Heading1"/>
      </w:pPr>
      <w:r>
        <w:t xml:space="preserve">10. Configuración</w:t>
      </w:r>
    </w:p>
    <w:tbl>
      <w:tblPr>
        <w:tblStyle w:val="Table"/>
        <w:tblW w:w="9360" w:type="dxa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3174"/>
        <w:gridCol w:w="3065"/>
        <w:gridCol w:w="3121"/>
      </w:tblGrid>
      <w:tr>
        <w:trPr>
          <w:tblHeader w:val="true"/>
          <w:cantSplit/>
          <w:tblHeader/>
        </w:trPr>
        <w:tc>
          <w:tcPr>
            <w:tcW w:type="dxa" w:w="3174"/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Variable</w:t>
            </w:r>
          </w:p>
        </w:tc>
        <w:tc>
          <w:tcPr>
            <w:tcW w:type="dxa" w:w="3065"/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Por defecto</w:t>
            </w:r>
          </w:p>
        </w:tc>
        <w:tc>
          <w:tcPr>
            <w:tcW w:type="dxa" w:w="3121"/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3174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Database__Provider</w:t>
            </w:r>
          </w:p>
        </w:tc>
        <w:tc>
          <w:tcPr>
            <w:tcW w:type="dxa" w:w="3065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PostgreSql</w:t>
            </w:r>
          </w:p>
        </w:tc>
        <w:tc>
          <w:tcPr>
            <w:tcW w:type="dxa" w:w="312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Motor</w:t>
            </w:r>
          </w:p>
        </w:tc>
      </w:tr>
      <w:tr>
        <w:trPr>
          <w:cantSplit/>
        </w:trPr>
        <w:tc>
          <w:tcPr>
            <w:tcW w:type="dxa" w:w="3174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ConnectionStrings__Default</w:t>
            </w:r>
          </w:p>
        </w:tc>
        <w:tc>
          <w:tcPr>
            <w:tcW w:type="dxa" w:w="3065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localhost PostgreSQL</w:t>
            </w:r>
          </w:p>
        </w:tc>
        <w:tc>
          <w:tcPr>
            <w:tcW w:type="dxa" w:w="3121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Cadena de conexión</w:t>
            </w:r>
          </w:p>
        </w:tc>
      </w:tr>
      <w:tr>
        <w:trPr>
          <w:cantSplit/>
        </w:trPr>
        <w:tc>
          <w:tcPr>
            <w:tcW w:type="dxa" w:w="3174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Database__Initialization</w:t>
            </w:r>
          </w:p>
        </w:tc>
        <w:tc>
          <w:tcPr>
            <w:tcW w:type="dxa" w:w="3065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EnsureCreated</w:t>
            </w:r>
          </w:p>
        </w:tc>
        <w:tc>
          <w:tcPr>
            <w:tcW w:type="dxa" w:w="3121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EnsureCreated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3174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Database__MaxRetries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Database__RetryDelaySeconds</w:t>
            </w:r>
          </w:p>
        </w:tc>
        <w:tc>
          <w:tcPr>
            <w:tcW w:type="dxa" w:w="3065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10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3</w:t>
            </w:r>
          </w:p>
        </w:tc>
        <w:tc>
          <w:tcPr>
            <w:tcW w:type="dxa" w:w="3121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Reintentos de inicialización</w:t>
            </w:r>
          </w:p>
        </w:tc>
      </w:tr>
      <w:tr>
        <w:trPr>
          <w:cantSplit/>
        </w:trPr>
        <w:tc>
          <w:tcPr>
            <w:tcW w:type="dxa" w:w="3174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Jwt__Issuer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Jwt__Audience</w:t>
            </w:r>
          </w:p>
        </w:tc>
        <w:tc>
          <w:tcPr>
            <w:tcW w:type="dxa" w:w="3065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decoupled-payments-auth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decoupled-payments-api</w:t>
            </w:r>
          </w:p>
        </w:tc>
        <w:tc>
          <w:tcPr>
            <w:tcW w:type="dxa" w:w="312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Validación del token</w:t>
            </w:r>
          </w:p>
        </w:tc>
      </w:tr>
      <w:tr>
        <w:trPr>
          <w:cantSplit/>
        </w:trPr>
        <w:tc>
          <w:tcPr>
            <w:tcW w:type="dxa" w:w="3174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Jwt__TransactionTokenTtlSeconds</w:t>
            </w:r>
          </w:p>
        </w:tc>
        <w:tc>
          <w:tcPr>
            <w:tcW w:type="dxa" w:w="3065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60</w:t>
            </w:r>
          </w:p>
        </w:tc>
        <w:tc>
          <w:tcPr>
            <w:tcW w:type="dxa" w:w="3121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Vida del token</w:t>
            </w:r>
          </w:p>
        </w:tc>
      </w:tr>
      <w:tr>
        <w:trPr>
          <w:cantSplit/>
        </w:trPr>
        <w:tc>
          <w:tcPr>
            <w:tcW w:type="dxa" w:w="3174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Jwt__KeyId</w:t>
            </w:r>
          </w:p>
        </w:tc>
        <w:tc>
          <w:tcPr>
            <w:tcW w:type="dxa" w:w="3065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apoc-key-1</w:t>
            </w:r>
          </w:p>
        </w:tc>
        <w:tc>
          <w:tcPr>
            <w:tcW w:type="dxa" w:w="3121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kid</w:t>
            </w:r>
          </w:p>
        </w:tc>
      </w:tr>
      <w:tr>
        <w:trPr>
          <w:cantSplit/>
        </w:trPr>
        <w:tc>
          <w:tcPr>
            <w:tcW w:type="dxa" w:w="3174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Jwt__PrivateKeyPem</w:t>
            </w:r>
          </w:p>
        </w:tc>
        <w:tc>
          <w:tcPr>
            <w:tcW w:type="dxa" w:w="3065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vacío</w:t>
            </w:r>
          </w:p>
        </w:tc>
        <w:tc>
          <w:tcPr>
            <w:tcW w:type="dxa" w:w="3121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Clave RSA compartida (obligatoria con &gt;1 réplica)</w:t>
            </w:r>
          </w:p>
        </w:tc>
      </w:tr>
      <w:tr>
        <w:trPr>
          <w:cantSplit/>
        </w:trPr>
        <w:tc>
          <w:tcPr>
            <w:tcW w:type="dxa" w:w="3174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Cors__AllowedOrigins__N</w:t>
            </w:r>
          </w:p>
        </w:tc>
        <w:tc>
          <w:tcPr>
            <w:tcW w:type="dxa" w:w="3065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https://localhost:7200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http://localhost:5200</w:t>
            </w:r>
          </w:p>
        </w:tc>
        <w:tc>
          <w:tcPr>
            <w:tcW w:type="dxa" w:w="312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Orígenes permitidos</w:t>
            </w:r>
          </w:p>
        </w:tc>
      </w:tr>
      <w:tr>
        <w:trPr>
          <w:cantSplit/>
        </w:trPr>
        <w:tc>
          <w:tcPr>
            <w:tcW w:type="dxa" w:w="3174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ASPNETCORE_ENVIRONMENT</w:t>
            </w:r>
          </w:p>
        </w:tc>
        <w:tc>
          <w:tcPr>
            <w:tcW w:type="dxa" w:w="3065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Production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(contenedor)</w:t>
            </w:r>
          </w:p>
        </w:tc>
        <w:tc>
          <w:tcPr>
            <w:tcW w:type="dxa" w:w="3121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En Production no se expone OpenAPI</w:t>
            </w:r>
          </w:p>
        </w:tc>
      </w:tr>
      <w:tr>
        <w:trPr>
          <w:cantSplit/>
        </w:trPr>
        <w:tc>
          <w:tcPr>
            <w:tcW w:type="dxa" w:w="3174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API_BASE_URL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(frontend)</w:t>
            </w:r>
          </w:p>
        </w:tc>
        <w:tc>
          <w:tcPr>
            <w:tcW w:type="dxa" w:w="3065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http://localhost:5100/</w:t>
            </w:r>
          </w:p>
        </w:tc>
        <w:tc>
          <w:tcPr>
            <w:tcW w:type="dxa" w:w="312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URL del backend para el navegador</w:t>
            </w:r>
          </w:p>
        </w:tc>
      </w:tr>
    </w:tbl>
    <w:bookmarkEnd w:id="53"/>
    <w:bookmarkStart w:id="54" w:name="despliegue"/>
    <w:p>
      <w:pPr>
        <w:pStyle w:val="Heading1"/>
      </w:pPr>
      <w:r>
        <w:t xml:space="preserve">11. Despliegue</w:t>
      </w:r>
    </w:p>
    <w:tbl>
      <w:tblPr>
        <w:tblStyle w:val="Table"/>
        <w:tblW w:w="9360" w:type="dxa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2374"/>
        <w:gridCol w:w="1811"/>
        <w:gridCol w:w="5175"/>
      </w:tblGrid>
      <w:tr>
        <w:trPr>
          <w:tblHeader w:val="true"/>
          <w:cantSplit/>
          <w:tblHeader/>
        </w:trPr>
        <w:tc>
          <w:tcPr>
            <w:tcW w:type="dxa" w:w="2374"/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Escenario</w:t>
            </w:r>
          </w:p>
        </w:tc>
        <w:tc>
          <w:tcPr>
            <w:tcW w:type="dxa" w:w="1811"/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Documento</w:t>
            </w:r>
          </w:p>
        </w:tc>
        <w:tc>
          <w:tcPr>
            <w:tcW w:type="dxa" w:w="5175"/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Comando clave</w:t>
            </w:r>
          </w:p>
        </w:tc>
      </w:tr>
      <w:tr>
        <w:trPr>
          <w:cantSplit/>
        </w:trPr>
        <w:tc>
          <w:tcPr>
            <w:tcW w:type="dxa" w:w="237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Local sin contenedores</w:t>
            </w:r>
          </w:p>
        </w:tc>
        <w:tc>
          <w:tcPr>
            <w:tcW w:type="dxa" w:w="1811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docs/02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docs/03</w:t>
            </w:r>
          </w:p>
        </w:tc>
        <w:tc>
          <w:tcPr>
            <w:tcW w:type="dxa" w:w="5175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dotnet run</w:t>
            </w:r>
          </w:p>
        </w:tc>
      </w:tr>
      <w:tr>
        <w:trPr>
          <w:cantSplit/>
        </w:trPr>
        <w:tc>
          <w:tcPr>
            <w:tcW w:type="dxa" w:w="2374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Docker Compose</w:t>
            </w:r>
          </w:p>
        </w:tc>
        <w:tc>
          <w:tcPr>
            <w:tcW w:type="dxa" w:w="1811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docs/04</w:t>
            </w:r>
          </w:p>
        </w:tc>
        <w:tc>
          <w:tcPr>
            <w:tcW w:type="dxa" w:w="5175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docker compose --env-file env/postgres.env --profile postgres up -d --build</w:t>
            </w:r>
          </w:p>
        </w:tc>
      </w:tr>
      <w:tr>
        <w:trPr>
          <w:cantSplit/>
        </w:trPr>
        <w:tc>
          <w:tcPr>
            <w:tcW w:type="dxa" w:w="237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OpenShift</w:t>
            </w:r>
          </w:p>
        </w:tc>
        <w:tc>
          <w:tcPr>
            <w:tcW w:type="dxa" w:w="1811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docs/06</w:t>
            </w:r>
          </w:p>
        </w:tc>
        <w:tc>
          <w:tcPr>
            <w:tcW w:type="dxa" w:w="5175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./openshift/build.sh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./openshift/deploy.sh</w:t>
            </w:r>
          </w:p>
        </w:tc>
      </w:tr>
    </w:tbl>
    <w:p>
      <w:pPr>
        <w:pStyle w:val="BodyText"/>
      </w:pPr>
      <w:r>
        <w:t xml:space="preserve">Puertos: backend y frontend escuchan en</w:t>
      </w:r>
      <w:r>
        <w:t xml:space="preserve"> </w:t>
      </w:r>
      <w:r>
        <w:rPr>
          <w:b/>
          <w:bCs/>
        </w:rPr>
        <w:t xml:space="preserve">8080</w:t>
      </w:r>
      <w:r>
        <w:t xml:space="preserve"> </w:t>
      </w:r>
      <w:r>
        <w:t xml:space="preserve">dentro del contenedor.</w:t>
      </w:r>
    </w:p>
    <w:bookmarkEnd w:id="54"/>
    <w:bookmarkStart w:id="55" w:name="observabilidad-y-operación"/>
    <w:p>
      <w:pPr>
        <w:pStyle w:val="Heading1"/>
      </w:pPr>
      <w:r>
        <w:t xml:space="preserve">12. Observabilidad y operación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Logs:</w:t>
      </w:r>
      <w:r>
        <w:t xml:space="preserve"> </w:t>
      </w:r>
      <w:r>
        <w:t xml:space="preserve">a consola (</w:t>
      </w:r>
      <w:r>
        <w:rPr>
          <w:rStyle w:val="VerbatimChar"/>
        </w:rPr>
        <w:t xml:space="preserve">oc logs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 compose logs</w:t>
      </w:r>
      <w:r>
        <w:t xml:space="preserve">). El inicializador registra</w:t>
      </w:r>
      <w:r>
        <w:t xml:space="preserve"> </w:t>
      </w:r>
      <w:r>
        <w:rPr>
          <w:rStyle w:val="VerbatimChar"/>
        </w:rPr>
        <w:t xml:space="preserve">Base de datos lista (&lt;motor&gt;)</w:t>
      </w:r>
      <w:r>
        <w:t xml:space="preserve">; el proveedor de claves advierte si usa clave efímera.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Salud: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 </w:t>
      </w:r>
      <w:r>
        <w:t xml:space="preserve">(liveness) y</w:t>
      </w:r>
      <w:r>
        <w:t xml:space="preserve"> </w:t>
      </w:r>
      <w:r>
        <w:rPr>
          <w:rStyle w:val="VerbatimChar"/>
        </w:rPr>
        <w:t xml:space="preserve">/healthz/ready</w:t>
      </w:r>
      <w:r>
        <w:t xml:space="preserve"> </w:t>
      </w:r>
      <w:r>
        <w:t xml:space="preserve">(readiness con BD), usados por las</w:t>
      </w:r>
      <w:r>
        <w:t xml:space="preserve"> </w:t>
      </w:r>
      <w:r>
        <w:rPr>
          <w:i/>
          <w:iCs/>
        </w:rPr>
        <w:t xml:space="preserve">probes</w:t>
      </w:r>
      <w:r>
        <w:t xml:space="preserve"> </w:t>
      </w:r>
      <w:r>
        <w:t xml:space="preserve">de OpenShift.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Mantenimiento automático:</w:t>
      </w:r>
      <w:r>
        <w:t xml:space="preserve"> </w:t>
      </w:r>
      <w:r>
        <w:t xml:space="preserve">purga de</w:t>
      </w:r>
      <w:r>
        <w:t xml:space="preserve"> </w:t>
      </w:r>
      <w:r>
        <w:rPr>
          <w:rStyle w:val="VerbatimChar"/>
        </w:rPr>
        <w:t xml:space="preserve">used_tokens</w:t>
      </w:r>
      <w:r>
        <w:t xml:space="preserve"> </w:t>
      </w:r>
      <w:r>
        <w:t xml:space="preserve">vencidos cada 5 minutos.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Respaldo:</w:t>
      </w:r>
      <w:r>
        <w:t xml:space="preserve"> </w:t>
      </w:r>
      <w:r>
        <w:t xml:space="preserve">a cargo del motor de base de datos.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Escalado:</w:t>
      </w:r>
      <w:r>
        <w:t xml:space="preserve"> </w:t>
      </w:r>
      <w:r>
        <w:t xml:space="preserve">backend con varias réplicas requiere la misma</w:t>
      </w:r>
      <w:r>
        <w:t xml:space="preserve"> </w:t>
      </w:r>
      <w:r>
        <w:rPr>
          <w:rStyle w:val="VerbatimChar"/>
        </w:rPr>
        <w:t xml:space="preserve">Jwt__PrivateKeyPem</w:t>
      </w:r>
      <w:r>
        <w:t xml:space="preserve"> </w:t>
      </w:r>
      <w:r>
        <w:t xml:space="preserve">y el esquema creado de antemano.</w:t>
      </w:r>
    </w:p>
    <w:bookmarkEnd w:id="55"/>
    <w:bookmarkStart w:id="56" w:name="pruebas"/>
    <w:p>
      <w:pPr>
        <w:pStyle w:val="Heading1"/>
      </w:pPr>
      <w:r>
        <w:t xml:space="preserve">13. Pruebas</w:t>
      </w:r>
    </w:p>
    <w:p>
      <w:pPr>
        <w:pStyle w:val="FirstParagraph"/>
      </w:pPr>
      <w:r>
        <w:rPr>
          <w:b/>
          <w:bCs/>
        </w:rPr>
        <w:t xml:space="preserve">Manuales (disponibles):</w:t>
      </w:r>
      <w:r>
        <w:t xml:space="preserve"> </w:t>
      </w:r>
      <w:r>
        <w:t xml:space="preserve">recorrido por el portal; secuencia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docs/02</w:t>
      </w:r>
      <w:r>
        <w:t xml:space="preserve"> </w:t>
      </w:r>
      <w:r>
        <w:t xml:space="preserve">sección 2.5; casos CP-01…CP-11 del manual funcional.</w:t>
      </w:r>
      <w:r>
        <w:t xml:space="preserve"> </w:t>
      </w:r>
      <w:r>
        <w:rPr>
          <w:b/>
          <w:bCs/>
        </w:rPr>
        <w:t xml:space="preserve">Automatizadas (recomendadas, no incluidas):</w:t>
      </w:r>
    </w:p>
    <w:p>
      <w:pPr>
        <w:pStyle w:val="Compact"/>
        <w:numPr>
          <w:ilvl w:val="0"/>
          <w:numId w:val="1005"/>
        </w:numPr>
      </w:pPr>
      <w:r>
        <w:t xml:space="preserve">Unitarias de</w:t>
      </w:r>
      <w:r>
        <w:t xml:space="preserve"> </w:t>
      </w:r>
      <w:r>
        <w:rPr>
          <w:rStyle w:val="VerbatimChar"/>
        </w:rPr>
        <w:t xml:space="preserve">TransactionContext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PaymentApplicationService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De integración con</w:t>
      </w:r>
      <w:r>
        <w:t xml:space="preserve"> </w:t>
      </w:r>
      <w:r>
        <w:rPr>
          <w:b/>
          <w:bCs/>
        </w:rPr>
        <w:t xml:space="preserve">Testcontainers</w:t>
      </w:r>
      <w:r>
        <w:t xml:space="preserve"> </w:t>
      </w:r>
      <w:r>
        <w:t xml:space="preserve">(PostgreSQL y SQL Server) para validar ambos proveedores, incluido el anti-replay concurrente y</w:t>
      </w:r>
      <w:r>
        <w:t xml:space="preserve"> </w:t>
      </w:r>
      <w:r>
        <w:rPr>
          <w:rStyle w:val="VerbatimChar"/>
        </w:rPr>
        <w:t xml:space="preserve">CONCURRENT_UPDATE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Contrato OpenAPI contra el cliente del frontend.</w:t>
      </w:r>
    </w:p>
    <w:bookmarkEnd w:id="56"/>
    <w:bookmarkStart w:id="57" w:name="decisiones-de-diseño"/>
    <w:p>
      <w:pPr>
        <w:pStyle w:val="Heading1"/>
      </w:pPr>
      <w:r>
        <w:t xml:space="preserve">14. Decisiones de diseño</w:t>
      </w:r>
    </w:p>
    <w:tbl>
      <w:tblPr>
        <w:tblStyle w:val="Table"/>
        <w:tblW w:w="9360" w:type="dxa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999"/>
        <w:gridCol w:w="3703"/>
        <w:gridCol w:w="4658"/>
      </w:tblGrid>
      <w:tr>
        <w:trPr>
          <w:tblHeader w:val="true"/>
          <w:cantSplit/>
          <w:tblHeader/>
        </w:trPr>
        <w:tc>
          <w:tcPr>
            <w:tcW w:type="dxa" w:w="999"/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#</w:t>
            </w:r>
          </w:p>
        </w:tc>
        <w:tc>
          <w:tcPr>
            <w:tcW w:type="dxa" w:w="3703"/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Decisión</w:t>
            </w:r>
          </w:p>
        </w:tc>
        <w:tc>
          <w:tcPr>
            <w:tcW w:type="dxa" w:w="4658"/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Motivo</w:t>
            </w:r>
          </w:p>
        </w:tc>
      </w:tr>
      <w:tr>
        <w:trPr>
          <w:cantSplit/>
        </w:trPr>
        <w:tc>
          <w:tcPr>
            <w:tcW w:type="dxa" w:w="99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D1</w:t>
            </w:r>
          </w:p>
        </w:tc>
        <w:tc>
          <w:tcPr>
            <w:tcW w:type="dxa" w:w="370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Arquitectura cebolla</w:t>
            </w:r>
          </w:p>
        </w:tc>
        <w:tc>
          <w:tcPr>
            <w:tcW w:type="dxa" w:w="465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Aislar dominio y casos de uso del framework y de la BD</w:t>
            </w:r>
          </w:p>
        </w:tc>
      </w:tr>
      <w:tr>
        <w:trPr>
          <w:cantSplit/>
        </w:trPr>
        <w:tc>
          <w:tcPr>
            <w:tcW w:type="dxa" w:w="999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D2</w:t>
            </w:r>
          </w:p>
        </w:tc>
        <w:tc>
          <w:tcPr>
            <w:tcW w:type="dxa" w:w="3703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EF Core con proveedor por configuración</w:t>
            </w:r>
          </w:p>
        </w:tc>
        <w:tc>
          <w:tcPr>
            <w:tcW w:type="dxa" w:w="4658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Un único binario para PostgreSQL y SQL Server</w:t>
            </w:r>
          </w:p>
        </w:tc>
      </w:tr>
      <w:tr>
        <w:trPr>
          <w:cantSplit/>
        </w:trPr>
        <w:tc>
          <w:tcPr>
            <w:tcW w:type="dxa" w:w="99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D3</w:t>
            </w:r>
          </w:p>
        </w:tc>
        <w:tc>
          <w:tcPr>
            <w:tcW w:type="dxa" w:w="370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Anti-replay con PK única en BD</w:t>
            </w:r>
          </w:p>
        </w:tc>
        <w:tc>
          <w:tcPr>
            <w:tcW w:type="dxa" w:w="465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Atomicidad entre réplicas sin infraestructura adicional (Redis)</w:t>
            </w:r>
          </w:p>
        </w:tc>
      </w:tr>
      <w:tr>
        <w:trPr>
          <w:cantSplit/>
        </w:trPr>
        <w:tc>
          <w:tcPr>
            <w:tcW w:type="dxa" w:w="999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D4</w:t>
            </w:r>
          </w:p>
        </w:tc>
        <w:tc>
          <w:tcPr>
            <w:tcW w:type="dxa" w:w="3703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Middleware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después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de autenticar/autorizar</w:t>
            </w:r>
          </w:p>
        </w:tc>
        <w:tc>
          <w:tcPr>
            <w:tcW w:type="dxa" w:w="4658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 consumir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jti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de tokens inválidos ni sin permiso</w:t>
            </w:r>
          </w:p>
        </w:tc>
      </w:tr>
      <w:tr>
        <w:trPr>
          <w:cantSplit/>
        </w:trPr>
        <w:tc>
          <w:tcPr>
            <w:tcW w:type="dxa" w:w="99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D5</w:t>
            </w:r>
          </w:p>
        </w:tc>
        <w:tc>
          <w:tcPr>
            <w:tcW w:type="dxa" w:w="370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Concurrencia optimista sobre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status</w:t>
            </w:r>
          </w:p>
        </w:tc>
        <w:tc>
          <w:tcPr>
            <w:tcW w:type="dxa" w:w="465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Evitar doble ejecución sin bloqueos pesimistas</w:t>
            </w:r>
          </w:p>
        </w:tc>
      </w:tr>
      <w:tr>
        <w:trPr>
          <w:cantSplit/>
        </w:trPr>
        <w:tc>
          <w:tcPr>
            <w:tcW w:type="dxa" w:w="999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D6</w:t>
            </w:r>
          </w:p>
        </w:tc>
        <w:tc>
          <w:tcPr>
            <w:tcW w:type="dxa" w:w="3703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Fechas UTC con conversión explícita</w:t>
            </w:r>
          </w:p>
        </w:tc>
        <w:tc>
          <w:tcPr>
            <w:tcW w:type="dxa" w:w="4658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Resultados idénticos en ambos motores</w:t>
            </w:r>
          </w:p>
        </w:tc>
      </w:tr>
      <w:tr>
        <w:trPr>
          <w:cantSplit/>
        </w:trPr>
        <w:tc>
          <w:tcPr>
            <w:tcW w:type="dxa" w:w="99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D7</w:t>
            </w:r>
          </w:p>
        </w:tc>
        <w:tc>
          <w:tcPr>
            <w:tcW w:type="dxa" w:w="3703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EnsureCreated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+ scripts</w:t>
            </w:r>
          </w:p>
        </w:tc>
        <w:tc>
          <w:tcPr>
            <w:tcW w:type="dxa" w:w="465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Arranque simple en APOC y control de DBA en entornos reales</w:t>
            </w:r>
          </w:p>
        </w:tc>
      </w:tr>
      <w:tr>
        <w:trPr>
          <w:cantSplit/>
        </w:trPr>
        <w:tc>
          <w:tcPr>
            <w:tcW w:type="dxa" w:w="999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D8</w:t>
            </w:r>
          </w:p>
        </w:tc>
        <w:tc>
          <w:tcPr>
            <w:tcW w:type="dxa" w:w="3703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Clave RSA configurable</w:t>
            </w:r>
          </w:p>
        </w:tc>
        <w:tc>
          <w:tcPr>
            <w:tcW w:type="dxa" w:w="4658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Permite varias réplicas con la misma firma</w:t>
            </w:r>
          </w:p>
        </w:tc>
      </w:tr>
      <w:tr>
        <w:trPr>
          <w:cantSplit/>
        </w:trPr>
        <w:tc>
          <w:tcPr>
            <w:tcW w:type="dxa" w:w="99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D9</w:t>
            </w:r>
          </w:p>
        </w:tc>
        <w:tc>
          <w:tcPr>
            <w:tcW w:type="dxa" w:w="370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Frontend estático + backend por CORS</w:t>
            </w:r>
          </w:p>
        </w:tc>
        <w:tc>
          <w:tcPr>
            <w:tcW w:type="dxa" w:w="465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Despliegue simple e independiente de cada parte</w:t>
            </w:r>
          </w:p>
        </w:tc>
      </w:tr>
      <w:tr>
        <w:trPr>
          <w:cantSplit/>
        </w:trPr>
        <w:tc>
          <w:tcPr>
            <w:tcW w:type="dxa" w:w="999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D10</w:t>
            </w:r>
          </w:p>
        </w:tc>
        <w:tc>
          <w:tcPr>
            <w:tcW w:type="dxa" w:w="3703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Imágenes sin root en 8080</w:t>
            </w:r>
          </w:p>
        </w:tc>
        <w:tc>
          <w:tcPr>
            <w:tcW w:type="dxa" w:w="4658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Compatibilidad con OpenShift (SCC restricted)</w:t>
            </w:r>
          </w:p>
        </w:tc>
      </w:tr>
    </w:tbl>
    <w:bookmarkEnd w:id="57"/>
    <w:bookmarkStart w:id="58" w:name="limitaciones-conocidas-y-hoja-de-ruta"/>
    <w:p>
      <w:pPr>
        <w:pStyle w:val="Heading1"/>
      </w:pPr>
      <w:r>
        <w:t xml:space="preserve">15. Limitaciones conocidas y hoja de ruta</w:t>
      </w:r>
    </w:p>
    <w:p>
      <w:pPr>
        <w:pStyle w:val="FirstParagraph"/>
      </w:pPr>
      <w:r>
        <w:rPr>
          <w:b/>
          <w:bCs/>
        </w:rPr>
        <w:t xml:space="preserve">Limitaciones de la APOC</w:t>
      </w:r>
    </w:p>
    <w:p>
      <w:pPr>
        <w:pStyle w:val="Compact"/>
        <w:numPr>
          <w:ilvl w:val="0"/>
          <w:numId w:val="1006"/>
        </w:numPr>
      </w:pPr>
      <w:r>
        <w:t xml:space="preserve">OTP simulado y almacenado en claro; sin límite de intentos.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session_token</w:t>
      </w:r>
      <w:r>
        <w:t xml:space="preserve"> </w:t>
      </w:r>
      <w:r>
        <w:t xml:space="preserve">se genera pero no se almacena ni valida.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callback_url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source_account_id</w:t>
      </w:r>
      <w:r>
        <w:t xml:space="preserve"> </w:t>
      </w:r>
      <w:r>
        <w:t xml:space="preserve">se reciben pero no se usan ni persisten.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X-Idempotency-Key</w:t>
      </w:r>
      <w:r>
        <w:t xml:space="preserve"> </w:t>
      </w:r>
      <w:r>
        <w:t xml:space="preserve">es obligatorio pero no se deduplica ni se guarda la respuesta.</w:t>
      </w:r>
    </w:p>
    <w:p>
      <w:pPr>
        <w:pStyle w:val="Compact"/>
        <w:numPr>
          <w:ilvl w:val="0"/>
          <w:numId w:val="1006"/>
        </w:numPr>
      </w:pPr>
      <w:r>
        <w:t xml:space="preserve">La ejecución no comprueba la vigencia de la transacción (5 min), solo su estado</w:t>
      </w:r>
      <w:r>
        <w:t xml:space="preserve"> </w:t>
      </w:r>
      <w:r>
        <w:rPr>
          <w:rStyle w:val="VerbatimChar"/>
        </w:rPr>
        <w:t xml:space="preserve">Authorized</w:t>
      </w:r>
      <w:r>
        <w:t xml:space="preserve"> </w:t>
      </w:r>
      <w:r>
        <w:t xml:space="preserve">y la del token (60 s).</w:t>
      </w:r>
    </w:p>
    <w:p>
      <w:pPr>
        <w:pStyle w:val="Compact"/>
        <w:numPr>
          <w:ilvl w:val="0"/>
          <w:numId w:val="1006"/>
        </w:numPr>
      </w:pPr>
      <w:r>
        <w:t xml:space="preserve">El estado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existe en el modelo pero no se asigna.</w:t>
      </w:r>
    </w:p>
    <w:p>
      <w:pPr>
        <w:pStyle w:val="Compact"/>
        <w:numPr>
          <w:ilvl w:val="0"/>
          <w:numId w:val="1006"/>
        </w:numPr>
      </w:pPr>
      <w:r>
        <w:t xml:space="preserve">El débito bancario es simulado.</w:t>
      </w:r>
    </w:p>
    <w:p>
      <w:pPr>
        <w:pStyle w:val="Compact"/>
        <w:numPr>
          <w:ilvl w:val="0"/>
          <w:numId w:val="1006"/>
        </w:numPr>
      </w:pPr>
      <w:r>
        <w:t xml:space="preserve">Sin autenticación del comercio ni auditoría.</w:t>
      </w:r>
    </w:p>
    <w:p>
      <w:pPr>
        <w:pStyle w:val="Compact"/>
        <w:numPr>
          <w:ilvl w:val="0"/>
          <w:numId w:val="1006"/>
        </w:numPr>
      </w:pPr>
      <w:r>
        <w:t xml:space="preserve">Sin migraciones EF Core ni pruebas automatizadas incluidas.</w:t>
      </w:r>
    </w:p>
    <w:p>
      <w:pPr>
        <w:pStyle w:val="Compact"/>
        <w:numPr>
          <w:ilvl w:val="0"/>
          <w:numId w:val="1006"/>
        </w:numPr>
      </w:pPr>
      <w:r>
        <w:t xml:space="preserve">Con</w:t>
      </w:r>
      <w:r>
        <w:t xml:space="preserve"> </w:t>
      </w:r>
      <w:r>
        <w:rPr>
          <w:rStyle w:val="VerbatimChar"/>
        </w:rPr>
        <w:t xml:space="preserve">EnsureCreated</w:t>
      </w:r>
      <w:r>
        <w:t xml:space="preserve"> </w:t>
      </w:r>
      <w:r>
        <w:t xml:space="preserve">y varias réplicas en el primer arranque puede haber carrera de creación.</w:t>
      </w:r>
    </w:p>
    <w:p>
      <w:pPr>
        <w:pStyle w:val="Compact"/>
        <w:numPr>
          <w:ilvl w:val="0"/>
          <w:numId w:val="1006"/>
        </w:numPr>
      </w:pPr>
      <w:r>
        <w:t xml:space="preserve">El PostgreSQL de apoyo de OpenShift es de una sola instancia.</w:t>
      </w:r>
    </w:p>
    <w:p>
      <w:pPr>
        <w:pStyle w:val="FirstParagraph"/>
      </w:pPr>
      <w:r>
        <w:rPr>
          <w:b/>
          <w:bCs/>
        </w:rPr>
        <w:t xml:space="preserve">Hoja de ruta sugerida:</w:t>
      </w:r>
      <w:r>
        <w:t xml:space="preserve"> </w:t>
      </w:r>
      <w:r>
        <w:t xml:space="preserve">OTP real con límite de intentos → integración bancaria → idempotencia con almacenamiento de respuestas → autenticación del comercio → clave en KMS con JWKS y rotación → migraciones EF por proveedor → pruebas con Testcontainers → métricas y trazas (OpenTelemetry) → auditoría.</w:t>
      </w:r>
    </w:p>
    <w:bookmarkEnd w:id="58"/>
    <w:bookmarkStart w:id="59" w:name="referencias-internas"/>
    <w:p>
      <w:pPr>
        <w:pStyle w:val="Heading1"/>
      </w:pPr>
      <w:r>
        <w:t xml:space="preserve">16. Referencias internas</w:t>
      </w:r>
    </w:p>
    <w:p>
      <w:pPr>
        <w:pStyle w:val="FirstParagraph"/>
      </w:pPr>
      <w:r>
        <w:rPr>
          <w:rStyle w:val="VerbatimChar"/>
        </w:rPr>
        <w:t xml:space="preserve">docs/01-requisitos-e-instalacion.md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02-backend-paso-a-paso.md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03-frontend-paso-a-paso.md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04-docker-publicacion.md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05-solucion-de-problemas.md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06-openshift.md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07-capa-de-datos.md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manuales/manual-funcional.md</w:t>
      </w:r>
    </w:p>
    <w:bookmarkEnd w:id="59"/>
    <w:sectPr>
      <w:footerReference w:type="default" r:id="rId9"/>
      <w:pgSz w:h="15840" w:w="12240"/>
      <w:pgMar w:bottom="1440" w:left="1440" w:right="1440" w:top="1440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APOC Pago Desacoplado – Manual Técnico  ·  Página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95959"/>
        <w:sz w:val="18"/>
      </w:rPr>
      <w:t xml:space="preserve"> de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defaultTabStop w:val="720"/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CO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20" w:before="180" w:line="269" w:lineRule="auto"/>
    </w:pPr>
    <w:rPr>
      <w:rFonts w:ascii="Calibri" w:cs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line="269" w:lineRule="auto"/>
    </w:pPr>
    <w:rPr>
      <w:rFonts w:ascii="Calibri" w:cs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40" w:before="36" w:line="269" w:lineRule="auto"/>
    </w:pPr>
    <w:rPr>
      <w:rFonts w:ascii="Calibri" w:cs="Calibri" w:eastAsia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="Calibri" w:cstheme="majorBidi" w:eastAsia="Calibri" w:eastAsiaTheme="majorEastAsia" w:hAnsi="Calibri" w:hAnsiTheme="majorHAnsi"/>
      <w:b/>
      <w:bCs/>
      <w:color w:val="1F3864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cs="Calibri" w:eastAsia="Calibri" w:hAnsi="Calibri"/>
      <w:b w:val="0"/>
      <w:color w:val="595959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320"/>
      <w:outlineLvl w:val="0"/>
    </w:pPr>
    <w:rPr>
      <w:rFonts w:ascii="Calibri" w:asciiTheme="majorHAnsi" w:cs="Calibri" w:cstheme="majorBidi" w:eastAsia="Calibri" w:eastAsiaTheme="majorEastAsia" w:hAnsi="Calibri" w:hAnsiTheme="majorHAnsi"/>
      <w:b/>
      <w:bCs/>
      <w:color w:val="1F386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00"/>
      <w:outlineLvl w:val="1"/>
    </w:pPr>
    <w:rPr>
      <w:rFonts w:ascii="Calibri" w:asciiTheme="majorHAnsi" w:cs="Calibri" w:cstheme="majorBidi" w:eastAsia="Calibri" w:eastAsiaTheme="majorEastAsia" w:hAnsi="Calibri" w:hAnsiTheme="majorHAnsi"/>
      <w:b/>
      <w:bCs/>
      <w:color w:val="1F3864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00"/>
      <w:outlineLvl w:val="2"/>
    </w:pPr>
    <w:rPr>
      <w:rFonts w:ascii="Calibri" w:asciiTheme="majorHAnsi" w:cs="Calibri" w:cstheme="majorBidi" w:eastAsia="Calibri" w:eastAsiaTheme="majorEastAsia" w:hAnsi="Calibri" w:hAnsiTheme="majorHAnsi"/>
      <w:b/>
      <w:bCs/>
      <w:color w:val="1F3864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  <w:rPr>
      <w:rFonts w:ascii="Calibri" w:cs="Calibri" w:eastAsia="Calibri" w:hAnsi="Calibri"/>
      <w:b w:val="0"/>
      <w:color w:val="595959"/>
      <w:sz w:val="18"/>
    </w:rPr>
  </w:style>
  <w:style w:customStyle="1" w:styleId="ImageCaption" w:type="paragraph">
    <w:name w:val="Image Caption"/>
    <w:basedOn w:val="Caption"/>
    <w:rPr>
      <w:rFonts w:ascii="Calibri" w:cs="Calibri" w:eastAsia="Calibri" w:hAnsi="Calibri"/>
      <w:b w:val="0"/>
      <w:color w:val="595959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1E1E1E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cs="Consolas" w:eastAsia="Consolas"/>
      <w:color w:val="1E1E1E"/>
      <w:sz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5" Type="http://schemas.openxmlformats.org/officeDocument/2006/relationships/image" Target="media/rId25.png"/><Relationship Id="rId21" Type="http://schemas.openxmlformats.org/officeDocument/2006/relationships/image" Target="media/rId21.png"/><Relationship Id="rId29" Type="http://schemas.openxmlformats.org/officeDocument/2006/relationships/image" Target="media/rId29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– APOC Pago Desacoplado</dc:title>
  <dc:creator/>
  <dc:language>es-CO</dc:language>
  <cp:keywords/>
  <dcterms:created xsi:type="dcterms:W3CDTF">2026-10-07T23:09:46Z</dcterms:created>
  <dcterms:modified xsi:type="dcterms:W3CDTF">2026-10-07T23:09:46Z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APOC de pago desacoplado · .NET 10 · v1.1 · Octubre 2026</vt:lpwstr>
  </property>
  <property fmtid="{D5CDD505-2E9C-101B-9397-08002B2CF9AE}" pid="3" name="toc-title">
    <vt:lpwstr>Contenido</vt:lpwstr>
  </property>
</Properties>
</file>