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30F" w:rsidRPr="00450031" w:rsidRDefault="00450031" w:rsidP="003B430F">
      <w:pPr>
        <w:jc w:val="both"/>
        <w:rPr>
          <w:rFonts w:ascii="Arial" w:hAnsi="Arial" w:cs="Arial"/>
          <w:sz w:val="28"/>
        </w:rPr>
      </w:pPr>
      <w:r w:rsidRPr="00450031">
        <w:rPr>
          <w:rFonts w:ascii="Arial" w:hAnsi="Arial" w:cs="Arial"/>
          <w:b/>
          <w:sz w:val="28"/>
        </w:rPr>
        <w:t>Nombre:</w:t>
      </w:r>
      <w:r>
        <w:rPr>
          <w:rFonts w:ascii="Arial" w:hAnsi="Arial" w:cs="Arial"/>
          <w:sz w:val="28"/>
        </w:rPr>
        <w:t xml:space="preserve"> José Manuel Vargas Poma</w:t>
      </w:r>
    </w:p>
    <w:p w:rsidR="003B430F" w:rsidRPr="00450031" w:rsidRDefault="003B430F" w:rsidP="003B430F">
      <w:pPr>
        <w:jc w:val="both"/>
        <w:rPr>
          <w:rFonts w:ascii="Arial" w:hAnsi="Arial" w:cs="Arial"/>
          <w:sz w:val="28"/>
        </w:rPr>
      </w:pPr>
    </w:p>
    <w:p w:rsidR="003B430F" w:rsidRPr="00450031" w:rsidRDefault="003B430F" w:rsidP="003B430F">
      <w:pPr>
        <w:jc w:val="both"/>
        <w:rPr>
          <w:rFonts w:ascii="Arial" w:hAnsi="Arial" w:cs="Arial"/>
          <w:sz w:val="24"/>
        </w:rPr>
      </w:pPr>
      <w:r w:rsidRPr="00450031">
        <w:rPr>
          <w:rFonts w:ascii="Arial" w:hAnsi="Arial" w:cs="Arial"/>
          <w:sz w:val="24"/>
        </w:rPr>
        <w:t>Analizando los artículos 52, 53 y 54 del Reglamento de la Responsabilidad por la Función Pública (Decreto Supremo Nº 23318-A), como también los artículos 39 y 40 del Reglamento para el Ejercicio de las Atribuciones de la Contraloría General de la Republica (Decreto Supremo Nº 23215).</w:t>
      </w:r>
    </w:p>
    <w:p w:rsidR="003B430F" w:rsidRPr="00450031" w:rsidRDefault="003B430F" w:rsidP="003B430F">
      <w:pPr>
        <w:jc w:val="both"/>
        <w:rPr>
          <w:rFonts w:ascii="Arial" w:hAnsi="Arial" w:cs="Arial"/>
          <w:sz w:val="24"/>
        </w:rPr>
      </w:pPr>
      <w:r w:rsidRPr="00450031">
        <w:rPr>
          <w:rFonts w:ascii="Arial" w:hAnsi="Arial" w:cs="Arial"/>
          <w:sz w:val="24"/>
        </w:rPr>
        <w:t>Si corresponderá que los descargos presentados por Ernesto Arancibia Flores sean evaluados en relación al Dictamen de Responsabilidad Civil CGE/DRC-073/2016, ya que esta persona en ese momento puede presentar su versión de los hechos y argumentos que pueden desvirtuar los indicios de responsabilidad civil por daño económico al Estado por Bs 85000 que se establece en el dictamen que se menciona.</w:t>
      </w:r>
    </w:p>
    <w:p w:rsidR="003B430F" w:rsidRPr="00450031" w:rsidRDefault="003B430F" w:rsidP="003B430F">
      <w:pPr>
        <w:jc w:val="both"/>
        <w:rPr>
          <w:rFonts w:ascii="Arial" w:hAnsi="Arial" w:cs="Arial"/>
          <w:sz w:val="24"/>
        </w:rPr>
      </w:pPr>
      <w:r w:rsidRPr="00450031">
        <w:rPr>
          <w:rFonts w:ascii="Arial" w:hAnsi="Arial" w:cs="Arial"/>
          <w:sz w:val="24"/>
        </w:rPr>
        <w:t xml:space="preserve">En relación al artículo 39 y 40 </w:t>
      </w:r>
      <w:r w:rsidRPr="00450031">
        <w:rPr>
          <w:rFonts w:ascii="Arial" w:hAnsi="Arial" w:cs="Arial"/>
          <w:sz w:val="24"/>
        </w:rPr>
        <w:t>del Reglamento para el Ejercicio de las Atribuciones de la Contraloría General de la Repub</w:t>
      </w:r>
      <w:r w:rsidR="00450031" w:rsidRPr="00450031">
        <w:rPr>
          <w:rFonts w:ascii="Arial" w:hAnsi="Arial" w:cs="Arial"/>
          <w:sz w:val="24"/>
        </w:rPr>
        <w:t>lica (Decreto Supremo Nº 23215) debe presentar sus aclaraciones y justificaciones anexando la documentación sostenida.</w:t>
      </w:r>
    </w:p>
    <w:p w:rsidR="00450031" w:rsidRPr="00450031" w:rsidRDefault="00450031" w:rsidP="003B430F">
      <w:pPr>
        <w:jc w:val="both"/>
        <w:rPr>
          <w:rFonts w:ascii="Arial" w:hAnsi="Arial" w:cs="Arial"/>
          <w:sz w:val="24"/>
        </w:rPr>
      </w:pPr>
      <w:r w:rsidRPr="00450031">
        <w:rPr>
          <w:rFonts w:ascii="Arial" w:hAnsi="Arial" w:cs="Arial"/>
          <w:sz w:val="24"/>
        </w:rPr>
        <w:t>Ernesto Arancibia Flores</w:t>
      </w:r>
      <w:r w:rsidRPr="00450031">
        <w:rPr>
          <w:rFonts w:ascii="Arial" w:hAnsi="Arial" w:cs="Arial"/>
          <w:sz w:val="24"/>
        </w:rPr>
        <w:t xml:space="preserve"> tendrá 10 días hábiles según su caso para para presentar sus aclaraciones y justificativos con la documentación sustentatoria los cuales serán anexadas, concluido el plazo se realizara un informe complementario para ver si el caso se ratifica o modifica según el documento original.</w:t>
      </w:r>
    </w:p>
    <w:p w:rsidR="003B430F" w:rsidRPr="00450031" w:rsidRDefault="003B430F" w:rsidP="003B430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B430F" w:rsidRPr="00450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30F"/>
    <w:rsid w:val="003B430F"/>
    <w:rsid w:val="00450031"/>
    <w:rsid w:val="008D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B430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B43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2023-05-16T02:29:00Z</dcterms:created>
  <dcterms:modified xsi:type="dcterms:W3CDTF">2023-05-16T02:45:00Z</dcterms:modified>
</cp:coreProperties>
</file>