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70"/>
        <w:gridCol w:w="5270"/>
        <w:tblGridChange w:id="0">
          <w:tblGrid>
            <w:gridCol w:w="5270"/>
            <w:gridCol w:w="52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ff" w:space="0" w:sz="18" w:val="single"/>
              <w:left w:color="000000" w:space="0" w:sz="0" w:val="nil"/>
              <w:bottom w:color="0000ff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0" w:line="276" w:lineRule="auto"/>
              <w:jc w:val="left"/>
              <w:rPr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b5394"/>
                <w:sz w:val="28"/>
                <w:szCs w:val="28"/>
                <w:rtl w:val="0"/>
              </w:rPr>
              <w:t xml:space="preserve">Rúbrica específica: 2P - Actividad 1 - 10%</w:t>
              <w:tab/>
            </w:r>
          </w:p>
        </w:tc>
      </w:tr>
    </w:tbl>
    <w:p w:rsidR="00000000" w:rsidDel="00000000" w:rsidP="00000000" w:rsidRDefault="00000000" w:rsidRPr="00000000" w14:paraId="00000004">
      <w:pPr>
        <w:spacing w:after="120" w:line="276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Esta actividad se desarrollará en el cuaderno, con letra clara y legible, no usar un solo color de pluma y cuidar la ortografía.</w:t>
      </w:r>
      <w:r w:rsidDel="00000000" w:rsidR="00000000" w:rsidRPr="00000000">
        <w:rPr>
          <w:i w:val="1"/>
          <w:color w:val="0b5394"/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color w:val="0b5394"/>
          <w:rtl w:val="0"/>
        </w:rPr>
        <w:t xml:space="preserve">Se debe iniciar la actividad con el encabezado que consta de la siguiente información: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line="276" w:lineRule="auto"/>
        <w:ind w:left="283.46456692913375" w:hanging="283.46456692913375"/>
      </w:pPr>
      <w:r w:rsidDel="00000000" w:rsidR="00000000" w:rsidRPr="00000000">
        <w:rPr>
          <w:rtl w:val="0"/>
        </w:rPr>
        <w:t xml:space="preserve">Título de Actividad: </w:t>
        <w:tab/>
      </w:r>
      <w:r w:rsidDel="00000000" w:rsidR="00000000" w:rsidRPr="00000000">
        <w:rPr>
          <w:b w:val="1"/>
          <w:color w:val="0000ff"/>
          <w:rtl w:val="0"/>
        </w:rPr>
        <w:t xml:space="preserve">FDR - M17 - 2P</w:t>
      </w:r>
      <w:r w:rsidDel="00000000" w:rsidR="00000000" w:rsidRPr="00000000">
        <w:rPr>
          <w:color w:val="0000ff"/>
          <w:rtl w:val="0"/>
        </w:rPr>
        <w:t xml:space="preserve"> - </w:t>
      </w:r>
      <w:r w:rsidDel="00000000" w:rsidR="00000000" w:rsidRPr="00000000">
        <w:rPr>
          <w:b w:val="1"/>
          <w:color w:val="0000ff"/>
          <w:rtl w:val="0"/>
        </w:rPr>
        <w:t xml:space="preserve">Actividad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3.46456692913375" w:right="0" w:hanging="283.46456692913375"/>
        <w:jc w:val="both"/>
      </w:pPr>
      <w:r w:rsidDel="00000000" w:rsidR="00000000" w:rsidRPr="00000000">
        <w:rPr>
          <w:rtl w:val="0"/>
        </w:rPr>
        <w:t xml:space="preserve">Fecha de asignación:</w:t>
        <w:tab/>
      </w:r>
      <w:r w:rsidDel="00000000" w:rsidR="00000000" w:rsidRPr="00000000">
        <w:rPr>
          <w:color w:val="0000ff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3.46456692913375" w:right="0" w:hanging="283.46456692913375"/>
        <w:jc w:val="both"/>
      </w:pPr>
      <w:r w:rsidDel="00000000" w:rsidR="00000000" w:rsidRPr="00000000">
        <w:rPr>
          <w:rtl w:val="0"/>
        </w:rPr>
        <w:t xml:space="preserve">Nombre del alumno:</w:t>
        <w:tab/>
      </w:r>
      <w:r w:rsidDel="00000000" w:rsidR="00000000" w:rsidRPr="00000000">
        <w:rPr>
          <w:color w:val="0000ff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</w:pPr>
      <w:r w:rsidDel="00000000" w:rsidR="00000000" w:rsidRPr="00000000">
        <w:rPr>
          <w:rtl w:val="0"/>
        </w:rPr>
        <w:t xml:space="preserve">Modalidad: </w:t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12.° Grado BTPI -  Sección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Desarrollar resumen referente a las camaras de seguridad con conexión WIFI, debe aplacar las siguientes interrogantes: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Características o funciones de las cámaras WIFI que se comercializan en la actualidad.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Desde qué dispositivos se puede realizar conexión a la cámaras WIFI y realizar monitoreo.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Describa el término (definición del acrónimo, uso en aplicaciones de seguridad) PTZ.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Son las diferencias de las cámaras WIFI para exteriores e interiores.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Explique el término “Audio de 2 vías” en cámaras de seguridad WIFI.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Es el estándar de cantidad de usuarios para compartir acceso que admiten las actuales cámaras de seguridad WIFI.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Explique el funcionamiento del servicio de alojamiento en la nube para cámaras de seguridad.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Describa el proceso para conectar la cámara wifi al dispositivo para el monitoreo.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120" w:line="276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Describa las siguientes características de las cámaras de seguridad WIFI: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76" w:lineRule="auto"/>
        <w:ind w:left="850.3937007874016" w:hanging="425.19685039370074"/>
        <w:rPr>
          <w:u w:val="none"/>
        </w:rPr>
      </w:pPr>
      <w:r w:rsidDel="00000000" w:rsidR="00000000" w:rsidRPr="00000000">
        <w:rPr>
          <w:rtl w:val="0"/>
        </w:rPr>
        <w:t xml:space="preserve">Modo nocturno.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beforeAutospacing="0" w:line="276" w:lineRule="auto"/>
        <w:ind w:left="850.3937007874016" w:hanging="425.19685039370074"/>
        <w:rPr>
          <w:u w:val="none"/>
        </w:rPr>
      </w:pPr>
      <w:r w:rsidDel="00000000" w:rsidR="00000000" w:rsidRPr="00000000">
        <w:rPr>
          <w:rtl w:val="0"/>
        </w:rPr>
        <w:t xml:space="preserve">Luz inteligente.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0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00"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65.0" w:type="dxa"/>
        <w:jc w:val="left"/>
        <w:tblInd w:w="2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1455"/>
        <w:tblGridChange w:id="0">
          <w:tblGrid>
            <w:gridCol w:w="441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Criterio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6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6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Encabezado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6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6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6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40" w:lineRule="auto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283.46456692913387" w:left="850.3937007874016" w:right="850.3937007874016" w:header="1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center"/>
      <w:rPr>
        <w:b w:val="1"/>
        <w:color w:val="ffffff"/>
      </w:rPr>
    </w:pPr>
    <w:r w:rsidDel="00000000" w:rsidR="00000000" w:rsidRPr="00000000">
      <w:rPr>
        <w:b w:val="1"/>
        <w:color w:val="fffff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ageBreakBefore w:val="0"/>
      <w:spacing w:before="0" w:line="240" w:lineRule="auto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spacing w:before="0" w:line="240" w:lineRule="auto"/>
      <w:rPr>
        <w:sz w:val="10"/>
        <w:szCs w:val="10"/>
      </w:rPr>
    </w:pPr>
    <w:r w:rsidDel="00000000" w:rsidR="00000000" w:rsidRPr="00000000">
      <w:rPr>
        <w:sz w:val="10"/>
        <w:szCs w:val="10"/>
      </w:rPr>
      <w:drawing>
        <wp:inline distB="114300" distT="114300" distL="114300" distR="114300">
          <wp:extent cx="6692400" cy="7874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3" r="3" t="0"/>
                  <a:stretch>
                    <a:fillRect/>
                  </a:stretch>
                </pic:blipFill>
                <pic:spPr>
                  <a:xfrm>
                    <a:off x="0" y="0"/>
                    <a:ext cx="6692400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Publisher>Luis Miguel Cruz Castillo</b:Publisher>
    <b:Title>Análisis y diseño de sistemas</b:Title>
    <b:Year>2011</b:Year>
    <b:Gdcea>{"AccessedType":"Print"}</b:Gdcea>
    <b:Author>
      <b:Author>
        <b:NameList>
          <b:Person>
            <b:First>Kenneth</b:First>
            <b:Middle>E.</b:Middle>
            <b:Last>Kendall</b:Last>
          </b:Person>
          <b:Person>
            <b:First>Julie</b:First>
            <b:Middle>E.</b:Middle>
            <b:Last>Kendall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