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35CD" w14:textId="0081F615" w:rsidR="005D21DC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Home and host countries’ interest rates play a significant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role in exchange rate determination. The interest rates are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adjusted quarterly by the central bank as part economic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management. If inflationary pressure prevails in the country,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the central bank will increase base lending rate to curtail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money supply among the people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companies to make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borrowings expensive. Assuming the host country does not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adjust the interest rate, this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increase in one country creates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Cs w:val="20"/>
        </w:rPr>
        <w:t>inequilibrium</w:t>
      </w:r>
      <w:proofErr w:type="spellEnd"/>
      <w:r>
        <w:rPr>
          <w:rFonts w:ascii="Times New Roman" w:hAnsi="Times New Roman" w:cs="Times New Roman"/>
          <w:kern w:val="0"/>
          <w:szCs w:val="20"/>
        </w:rPr>
        <w:t xml:space="preserve"> in demand and supply for money and in turn it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causes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exchange rate to move to equilibrium. If not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arbitrage profits are possible in borrowing and investing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between countries. If both home and host countries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simultaneously increase or decrease the interest rates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matching, then there will be no effect on exchange rate due to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interest rate. The relative interest rate is an important factor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which influences XRs.</w:t>
      </w:r>
    </w:p>
    <w:p w14:paraId="0B753B26" w14:textId="48B21003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This increase in the general price level of goods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services in an economy is inflation, measured by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 xml:space="preserve">the Consumer Price Index. In other </w:t>
      </w:r>
      <w:proofErr w:type="gramStart"/>
      <w:r>
        <w:rPr>
          <w:rFonts w:ascii="Times New Roman" w:hAnsi="Times New Roman" w:cs="Times New Roman"/>
          <w:kern w:val="0"/>
          <w:szCs w:val="20"/>
        </w:rPr>
        <w:t>words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price raise is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inflation and the same is depreciation of home currency in</w:t>
      </w:r>
    </w:p>
    <w:p w14:paraId="7F94B88B" w14:textId="38E1DD68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international parlance. When the home inflation rate is high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the home currency will lose value and vice versa. Inflation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and exchange rate are negatively correlated. A country with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lower inflation exhibits a rising currency value and vice versa.</w:t>
      </w:r>
    </w:p>
    <w:p w14:paraId="0778A270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Exchange rate hike indicates the loss of home currency value.</w:t>
      </w:r>
    </w:p>
    <w:p w14:paraId="16B35B1A" w14:textId="632D8698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balance of payments (BOP) is a net indicator of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outflow and inflow of foreign currencies. Outflows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inflows are caused by international trade and services [7].</w:t>
      </w:r>
    </w:p>
    <w:p w14:paraId="7E964F39" w14:textId="77777777" w:rsidR="00F7188D" w:rsidRDefault="00F7188D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79BAB0AF" w14:textId="0769BD78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BOP comprises current account and financial account.</w:t>
      </w:r>
    </w:p>
    <w:p w14:paraId="4BA8943A" w14:textId="77777777" w:rsidR="00F7188D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The </w:t>
      </w:r>
      <w:r w:rsidRPr="00F7188D">
        <w:rPr>
          <w:rFonts w:ascii="Times New Roman" w:hAnsi="Times New Roman" w:cs="Times New Roman"/>
          <w:kern w:val="0"/>
          <w:szCs w:val="20"/>
          <w:highlight w:val="yellow"/>
        </w:rPr>
        <w:t>current account</w:t>
      </w:r>
      <w:r>
        <w:rPr>
          <w:rFonts w:ascii="Times New Roman" w:hAnsi="Times New Roman" w:cs="Times New Roman"/>
          <w:kern w:val="0"/>
          <w:szCs w:val="20"/>
        </w:rPr>
        <w:t xml:space="preserve"> includes merchandise, services, interest,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dividends, unilateral transfers and errors and omissions.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inflows are credited and outflows are debited to this current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account and finally the resulting net balance indicates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 xml:space="preserve">surplus or deficit generated in a year. </w:t>
      </w:r>
    </w:p>
    <w:p w14:paraId="00CE18A9" w14:textId="14318ADA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The </w:t>
      </w:r>
      <w:r w:rsidRPr="00F7188D">
        <w:rPr>
          <w:rFonts w:ascii="Times New Roman" w:hAnsi="Times New Roman" w:cs="Times New Roman"/>
          <w:kern w:val="0"/>
          <w:szCs w:val="20"/>
          <w:highlight w:val="yellow"/>
        </w:rPr>
        <w:t>financial account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records the FDIs and the portfolio investments’ inflows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 xml:space="preserve">outflows. Both these accounts jointly determine the </w:t>
      </w:r>
      <w:r w:rsidRPr="00F7188D">
        <w:rPr>
          <w:rFonts w:ascii="Times New Roman" w:hAnsi="Times New Roman" w:cs="Times New Roman"/>
          <w:color w:val="FF0000"/>
          <w:kern w:val="0"/>
          <w:szCs w:val="20"/>
          <w:highlight w:val="yellow"/>
        </w:rPr>
        <w:t>foreign</w:t>
      </w:r>
      <w:r w:rsidRPr="00F7188D">
        <w:rPr>
          <w:rFonts w:ascii="Times New Roman" w:hAnsi="Times New Roman" w:cs="Times New Roman"/>
          <w:color w:val="FF0000"/>
          <w:kern w:val="0"/>
          <w:szCs w:val="20"/>
          <w:highlight w:val="yellow"/>
        </w:rPr>
        <w:t xml:space="preserve"> </w:t>
      </w:r>
      <w:r w:rsidRPr="00F7188D">
        <w:rPr>
          <w:rFonts w:ascii="Times New Roman" w:hAnsi="Times New Roman" w:cs="Times New Roman"/>
          <w:color w:val="FF0000"/>
          <w:kern w:val="0"/>
          <w:szCs w:val="20"/>
          <w:highlight w:val="yellow"/>
        </w:rPr>
        <w:t>exchange reserves</w:t>
      </w:r>
      <w:r w:rsidRPr="00F7188D">
        <w:rPr>
          <w:rFonts w:ascii="Times New Roman" w:hAnsi="Times New Roman" w:cs="Times New Roman"/>
          <w:color w:val="FF0000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available in a country [8]. The floating rate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regime countries will not use these reserves at the times of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crisis in exchange rate while countries which follow managed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float will use this to regulate the exchange rate by suitably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releasing foreign currencies required from this reserve [9].</w:t>
      </w:r>
    </w:p>
    <w:p w14:paraId="38329AA9" w14:textId="4B3B12AA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Relationship between the employment rate and exchange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rate is unclear because the employment rate can be quantified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 several ways. Underemployment issue is a challenge that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could not be quantified with accuracy. The service sector is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another problem area which uses manpower. The services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cannot be stored and idle time quantification is problematic.</w:t>
      </w:r>
    </w:p>
    <w:p w14:paraId="53574014" w14:textId="180ECF35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If the home currency depreciates there will be an increased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demand for home country’s goods in foreign countries which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leads to more production in home country and thus leads to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more employment and vice versa [10].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The national governments should spend within the national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income by collecting tax. If expenditure exceeds the revenue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the governments will finance the gap by borrowing or by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printing currency notes. These actions erode the confidence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of the external parties who have financial dealings with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home country. If the governments fail to raise finance by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taxes they go in for foreign debt. Foreign debts and budget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deficit create financial imbalance which leads to exchange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rate fluctuation [11].</w:t>
      </w:r>
    </w:p>
    <w:p w14:paraId="0B2FE4FF" w14:textId="4770BBB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4ADE3458" w14:textId="6087C7E3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Corruption surfaces at lower rungs of society due to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poverty, poor standard of living prevailing in a country. In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contrast the rich indulge in corrupt practices to accumulate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wealth as it satisfies their ego and increases the political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muscle power in a society. The ineffective legal system,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lenient or lack of punishment for corrupt practices also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increases corruption. Due to corruption the economic system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of a country is severely impaired and cost of doing business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 that country increases. The first blow is received by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infrastructure of that country. Substandard materials, lengthy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operating procedures, bureaucratic delay by government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officials, lengthy legal battles are the consequences of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corruption. There is a positive relationship between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corruption and exchange rate which leads to depreciation of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home currency. Corruption also results in insecurity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fixed costs for the international trade in the form of extortion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and bribes which ultimately affects the exchange rates.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Multinational companies establish subsidiary companies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 other countries to reduce their cost of production as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input costs are cheaper in the host countries. These produce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goods in large volume and export. This results in massive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cash flows which affect XRs</w:t>
      </w:r>
    </w:p>
    <w:p w14:paraId="540C27F4" w14:textId="76284721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023DAF09" w14:textId="47C692AA" w:rsidR="00027108" w:rsidRDefault="00027108" w:rsidP="0002710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III. M</w:t>
      </w:r>
      <w:r>
        <w:rPr>
          <w:rFonts w:ascii="Times New Roman" w:hAnsi="Times New Roman" w:cs="Times New Roman"/>
          <w:kern w:val="0"/>
          <w:sz w:val="16"/>
          <w:szCs w:val="16"/>
        </w:rPr>
        <w:t>ETHODOLOGY</w:t>
      </w:r>
    </w:p>
    <w:p w14:paraId="5F93D7C1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</w:p>
    <w:p w14:paraId="641E1F15" w14:textId="41690D19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This study investigates nine important macroeconomic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variables’ relationship and their influence on exchange rates.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Regression modeling technique is widely applied to estimate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coefficients for independent variables, to test hypotheses and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to evaluate the importance of each independent variable in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the model. Following the same path this article also uses the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following theoretical model to assess the importance</w:t>
      </w:r>
      <w:r>
        <w:rPr>
          <w:rFonts w:ascii="Times New Roman" w:hAnsi="Times New Roman" w:cs="Times New Roman"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macroeconomic variables.</w:t>
      </w:r>
    </w:p>
    <w:p w14:paraId="4C54249B" w14:textId="530D2FF0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0C63AC58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kern w:val="0"/>
          <w:szCs w:val="20"/>
        </w:rPr>
      </w:pPr>
      <w:r>
        <w:rPr>
          <w:rFonts w:ascii="Cambria Math" w:hAnsi="Cambria Math" w:cs="Cambria Math"/>
          <w:kern w:val="0"/>
          <w:szCs w:val="20"/>
        </w:rPr>
        <w:t>𝑦 = 𝑎 + 𝛽</w:t>
      </w:r>
      <w:r>
        <w:rPr>
          <w:rFonts w:ascii="Cambria Math" w:hAnsi="Cambria Math" w:cs="Cambria Math"/>
          <w:kern w:val="0"/>
          <w:sz w:val="14"/>
          <w:szCs w:val="14"/>
        </w:rPr>
        <w:t xml:space="preserve">𝑖 </w:t>
      </w:r>
      <w:r>
        <w:rPr>
          <w:rFonts w:ascii="Cambria Math" w:hAnsi="Cambria Math" w:cs="Cambria Math"/>
          <w:kern w:val="0"/>
          <w:szCs w:val="20"/>
        </w:rPr>
        <w:t>𝑥</w:t>
      </w:r>
      <w:r>
        <w:rPr>
          <w:rFonts w:ascii="Cambria Math" w:hAnsi="Cambria Math" w:cs="Cambria Math"/>
          <w:kern w:val="0"/>
          <w:sz w:val="14"/>
          <w:szCs w:val="14"/>
        </w:rPr>
        <w:t xml:space="preserve">𝑖 </w:t>
      </w:r>
      <w:r>
        <w:rPr>
          <w:rFonts w:ascii="Cambria Math" w:hAnsi="Cambria Math" w:cs="Cambria Math"/>
          <w:kern w:val="0"/>
          <w:szCs w:val="20"/>
        </w:rPr>
        <w:t>+ … + 𝛽</w:t>
      </w:r>
      <w:r>
        <w:rPr>
          <w:rFonts w:ascii="Cambria Math" w:hAnsi="Cambria Math" w:cs="Cambria Math"/>
          <w:kern w:val="0"/>
          <w:sz w:val="14"/>
          <w:szCs w:val="14"/>
        </w:rPr>
        <w:t xml:space="preserve">𝑛 </w:t>
      </w:r>
      <w:r>
        <w:rPr>
          <w:rFonts w:ascii="Cambria Math" w:hAnsi="Cambria Math" w:cs="Cambria Math"/>
          <w:kern w:val="0"/>
          <w:szCs w:val="20"/>
        </w:rPr>
        <w:t>𝑥</w:t>
      </w:r>
      <w:r>
        <w:rPr>
          <w:rFonts w:ascii="Cambria Math" w:hAnsi="Cambria Math" w:cs="Cambria Math"/>
          <w:kern w:val="0"/>
          <w:sz w:val="14"/>
          <w:szCs w:val="14"/>
        </w:rPr>
        <w:t xml:space="preserve">𝑛 </w:t>
      </w:r>
      <w:r>
        <w:rPr>
          <w:rFonts w:ascii="Cambria Math" w:hAnsi="Cambria Math" w:cs="Cambria Math"/>
          <w:kern w:val="0"/>
          <w:szCs w:val="20"/>
        </w:rPr>
        <w:t xml:space="preserve">+ </w:t>
      </w:r>
      <w:proofErr w:type="gramStart"/>
      <w:r>
        <w:rPr>
          <w:rFonts w:ascii="Cambria Math" w:hAnsi="Cambria Math" w:cs="Cambria Math"/>
          <w:kern w:val="0"/>
          <w:szCs w:val="20"/>
        </w:rPr>
        <w:t>𝜀 ,</w:t>
      </w:r>
      <w:proofErr w:type="gramEnd"/>
      <w:r>
        <w:rPr>
          <w:rFonts w:ascii="Cambria Math" w:hAnsi="Cambria Math" w:cs="Cambria Math"/>
          <w:kern w:val="0"/>
          <w:szCs w:val="20"/>
        </w:rPr>
        <w:t xml:space="preserve"> 𝑖 = 1, … , 𝑛.</w:t>
      </w:r>
    </w:p>
    <w:p w14:paraId="66D76C2E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lastRenderedPageBreak/>
        <w:t>where</w:t>
      </w:r>
      <w:proofErr w:type="gramEnd"/>
    </w:p>
    <w:p w14:paraId="715E1419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 xml:space="preserve">y </w:t>
      </w:r>
      <w:r>
        <w:rPr>
          <w:rFonts w:ascii="Times New Roman" w:hAnsi="Times New Roman" w:cs="Times New Roman"/>
          <w:kern w:val="0"/>
          <w:szCs w:val="20"/>
        </w:rPr>
        <w:t>= Exchange rate</w:t>
      </w:r>
    </w:p>
    <w:p w14:paraId="4135F8CB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 xml:space="preserve">a </w:t>
      </w:r>
      <w:r>
        <w:rPr>
          <w:rFonts w:ascii="Times New Roman" w:hAnsi="Times New Roman" w:cs="Times New Roman"/>
          <w:kern w:val="0"/>
          <w:szCs w:val="20"/>
        </w:rPr>
        <w:t>= Intercept</w:t>
      </w:r>
    </w:p>
    <w:p w14:paraId="4E966B5F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Cambria" w:eastAsia="Times New Roman,Italic" w:hAnsi="Cambria" w:cs="Cambria"/>
          <w:i/>
          <w:iCs/>
          <w:kern w:val="0"/>
          <w:szCs w:val="20"/>
        </w:rPr>
        <w:t>β</w:t>
      </w:r>
      <w:r>
        <w:rPr>
          <w:rFonts w:ascii="Times New Roman,Italic" w:eastAsia="Times New Roman,Italic" w:hAnsi="Cambria Math" w:cs="Times New Roman,Italic"/>
          <w:i/>
          <w:iCs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= Regression coefficient to be estimated</w:t>
      </w:r>
    </w:p>
    <w:p w14:paraId="7BA1FD5D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 xml:space="preserve">x </w:t>
      </w:r>
      <w:r>
        <w:rPr>
          <w:rFonts w:ascii="Times New Roman" w:hAnsi="Times New Roman" w:cs="Times New Roman"/>
          <w:kern w:val="0"/>
          <w:szCs w:val="20"/>
        </w:rPr>
        <w:t>= Independent variable</w:t>
      </w:r>
    </w:p>
    <w:p w14:paraId="1081E188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kern w:val="0"/>
          <w:szCs w:val="20"/>
        </w:rPr>
        <w:t xml:space="preserve"> </w:t>
      </w:r>
      <w:r>
        <w:rPr>
          <w:rFonts w:ascii="Times New Roman" w:hAnsi="Times New Roman" w:cs="Times New Roman"/>
          <w:kern w:val="0"/>
          <w:szCs w:val="20"/>
        </w:rPr>
        <w:t>= List of independent variables</w:t>
      </w:r>
    </w:p>
    <w:p w14:paraId="61B5E4E9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1</w:t>
      </w:r>
      <w:r>
        <w:rPr>
          <w:rFonts w:ascii="Times New Roman" w:hAnsi="Times New Roman" w:cs="Times New Roman"/>
          <w:kern w:val="0"/>
          <w:szCs w:val="20"/>
        </w:rPr>
        <w:t>=Relative interest rates</w:t>
      </w:r>
    </w:p>
    <w:p w14:paraId="1A1BBBED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2</w:t>
      </w:r>
      <w:r>
        <w:rPr>
          <w:rFonts w:ascii="Times New Roman" w:hAnsi="Times New Roman" w:cs="Times New Roman"/>
          <w:kern w:val="0"/>
          <w:szCs w:val="20"/>
        </w:rPr>
        <w:t>=Relative inflation rate</w:t>
      </w:r>
    </w:p>
    <w:p w14:paraId="3505418C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3</w:t>
      </w:r>
      <w:r>
        <w:rPr>
          <w:rFonts w:ascii="Times New Roman" w:hAnsi="Times New Roman" w:cs="Times New Roman"/>
          <w:kern w:val="0"/>
          <w:szCs w:val="20"/>
        </w:rPr>
        <w:t>=Relative balance of payments</w:t>
      </w:r>
    </w:p>
    <w:p w14:paraId="25B07885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4</w:t>
      </w:r>
      <w:r>
        <w:rPr>
          <w:rFonts w:ascii="Times New Roman" w:hAnsi="Times New Roman" w:cs="Times New Roman"/>
          <w:kern w:val="0"/>
          <w:szCs w:val="20"/>
        </w:rPr>
        <w:t>=Relative employment rate</w:t>
      </w:r>
    </w:p>
    <w:p w14:paraId="7E0C45ED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5</w:t>
      </w:r>
      <w:r>
        <w:rPr>
          <w:rFonts w:ascii="Times New Roman" w:hAnsi="Times New Roman" w:cs="Times New Roman"/>
          <w:kern w:val="0"/>
          <w:szCs w:val="20"/>
        </w:rPr>
        <w:t>=Relative corruption index</w:t>
      </w:r>
    </w:p>
    <w:p w14:paraId="37E39D78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6</w:t>
      </w:r>
      <w:r>
        <w:rPr>
          <w:rFonts w:ascii="Times New Roman" w:hAnsi="Times New Roman" w:cs="Times New Roman"/>
          <w:kern w:val="0"/>
          <w:szCs w:val="20"/>
        </w:rPr>
        <w:t>=Relative gross domestic product</w:t>
      </w:r>
    </w:p>
    <w:p w14:paraId="321CCE8D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7</w:t>
      </w:r>
      <w:r>
        <w:rPr>
          <w:rFonts w:ascii="Times New Roman" w:hAnsi="Times New Roman" w:cs="Times New Roman"/>
          <w:kern w:val="0"/>
          <w:szCs w:val="20"/>
        </w:rPr>
        <w:t>=Relative deficit/surplus rate</w:t>
      </w:r>
    </w:p>
    <w:p w14:paraId="162CB56B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8</w:t>
      </w:r>
      <w:r>
        <w:rPr>
          <w:rFonts w:ascii="Times New Roman" w:hAnsi="Times New Roman" w:cs="Times New Roman"/>
          <w:kern w:val="0"/>
          <w:szCs w:val="20"/>
        </w:rPr>
        <w:t>=Relative tax rate</w:t>
      </w:r>
    </w:p>
    <w:p w14:paraId="3BF4FE07" w14:textId="4C387435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i/>
          <w:iCs/>
          <w:kern w:val="0"/>
          <w:szCs w:val="20"/>
        </w:rPr>
        <w:t>x</w:t>
      </w:r>
      <w:r>
        <w:rPr>
          <w:rFonts w:ascii="Times New Roman" w:hAnsi="Times New Roman" w:cs="Times New Roman"/>
          <w:kern w:val="0"/>
          <w:sz w:val="13"/>
          <w:szCs w:val="13"/>
        </w:rPr>
        <w:t>9</w:t>
      </w:r>
      <w:r>
        <w:rPr>
          <w:rFonts w:ascii="Times New Roman" w:hAnsi="Times New Roman" w:cs="Times New Roman"/>
          <w:kern w:val="0"/>
          <w:szCs w:val="20"/>
        </w:rPr>
        <w:t>=Relative borrowing rate</w:t>
      </w:r>
    </w:p>
    <w:p w14:paraId="731F496D" w14:textId="1250DE1A" w:rsidR="00027108" w:rsidRDefault="00027108" w:rsidP="0002710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765A0CA0" w14:textId="77777777" w:rsidR="008F7E25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국내와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개최국의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금리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결정에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중요한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역할을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금리는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중앙은행이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운용의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일환으로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분기별로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조정한다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인플레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압력이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국내에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만연하면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한은은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국민과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기업의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자금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공급을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줄여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대출을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비싸게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기준금리를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인상할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것이다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개최국이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금리를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조정하지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않는다고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가정하면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나라의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이러한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화폐에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수요와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공급의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불균형을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초래하고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결과적으로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평형으로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이동하게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만약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그렇지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않다면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차입과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투자에서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차익이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가능하다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본국과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개최국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모두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동시에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금리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proofErr w:type="spellStart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매칭을</w:t>
      </w:r>
      <w:proofErr w:type="spellEnd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증감하면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금리에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따른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영향은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없다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상대이자율은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XR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영향을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미치는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중요한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요소이다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경제에서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상품과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서비스의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일반적인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가격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수준의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소비자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물가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지수가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측정한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인플레이션이다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말해서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물가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상승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인플레이션이며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동일한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것이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통화의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하락이다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국제어법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주택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인플레이션율이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높으면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주택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통화는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가치가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하락하고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반대도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마찬가지이다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인플레이션과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환율은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부정적인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상관관계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있다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인플레이션이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낮은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통화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가치가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상승하고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반대도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마찬가지이다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상승은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원화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하락을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의미한다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국제수지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(BOP)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는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외화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유출입의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순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지표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유출과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유입은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무역과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서비스에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의해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발생한다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[7].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BOP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는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경상수지와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금융수지로</w:t>
      </w:r>
      <w:r w:rsidRPr="00F7188D">
        <w:rPr>
          <w:rFonts w:ascii="Helvetica" w:hAnsi="Helvetica" w:cs="Helvetica"/>
          <w:color w:val="FF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구성된다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경상수지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에는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상품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서비스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이자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배당금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일방적인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이전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,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오류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및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누락이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F7188D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포함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유입은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대변되고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유출은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경상수지에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차감되며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마지막으로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결과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순잔액은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1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년에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발생한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흑자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적자를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나타낸다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="00F7188D" w:rsidRPr="00F7188D">
        <w:rPr>
          <w:rFonts w:ascii="Helvetica" w:hAnsi="Helvetica" w:cs="Helvetica" w:hint="eastAsia"/>
          <w:color w:val="000000"/>
          <w:sz w:val="18"/>
          <w:szCs w:val="18"/>
          <w:highlight w:val="yellow"/>
          <w:shd w:val="clear" w:color="auto" w:fill="FDFDFD"/>
        </w:rPr>
        <w:t>금융수지</w:t>
      </w:r>
      <w:r w:rsidR="00F7188D">
        <w:rPr>
          <w:rFonts w:ascii="Helvetica" w:hAnsi="Helvetica" w:cs="Helvetica" w:hint="eastAsia"/>
          <w:color w:val="000000"/>
          <w:sz w:val="18"/>
          <w:szCs w:val="18"/>
          <w:shd w:val="clear" w:color="auto" w:fill="FDFDFD"/>
        </w:rPr>
        <w:t>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FDI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포트폴리오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투자의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유입과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유출을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기록한다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회계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모두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있는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외환보유액을</w:t>
      </w:r>
      <w:r w:rsidRPr="008F7E25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공동으로</w:t>
      </w:r>
      <w:r w:rsidRPr="008F7E25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결정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[8].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변동금리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체제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이러한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적립금을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사용하지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않을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것이며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변동에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따르는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사용하여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적립금에서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필요한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외화를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적절히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방출함으로써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규제할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것이다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[9].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F7188D">
        <w:rPr>
          <w:rFonts w:ascii="Helvetica" w:hAnsi="Helvetica" w:cs="Helvetica"/>
          <w:color w:val="FF0000"/>
          <w:sz w:val="18"/>
          <w:szCs w:val="18"/>
          <w:highlight w:val="yellow"/>
          <w:shd w:val="clear" w:color="auto" w:fill="FDFDFD"/>
        </w:rPr>
        <w:t>고용률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여러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방법으로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계량화할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있기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때문에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고용률과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관계는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불분명하다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고용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부족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문제는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정확하게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proofErr w:type="spellStart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정량화할</w:t>
      </w:r>
      <w:proofErr w:type="spellEnd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없는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과제입니다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서비스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부문은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문제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분야이다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서비스를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저장할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없으며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유휴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시간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정량화에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문제가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있습니다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자국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통화가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절하되면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외국에서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자국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상품에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수요가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증가하여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자국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생산량이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증가하게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따라서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고용이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증가하게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[10].</w:t>
      </w:r>
    </w:p>
    <w:p w14:paraId="6F5BAF76" w14:textId="6A8719D0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  <w:r w:rsidRPr="00027108">
        <w:rPr>
          <w:rFonts w:ascii="Helvetica" w:hAnsi="Helvetica" w:cs="Helvetica"/>
          <w:color w:val="000000"/>
          <w:sz w:val="18"/>
          <w:szCs w:val="18"/>
        </w:rPr>
        <w:br/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sz w:val="18"/>
          <w:szCs w:val="18"/>
          <w:highlight w:val="yellow"/>
          <w:shd w:val="clear" w:color="auto" w:fill="FDFDFD"/>
        </w:rPr>
        <w:t>세금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거두어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소득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내에서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지출해야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지출이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수입을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초과할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차용하거나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화폐를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발행하여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격차를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해소할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것이다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이러한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조치는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본국과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금융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거래를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외부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당사자들의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신뢰를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저하시킨다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정부가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세금으로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재정을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조달하지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못하면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그들은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외채를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받기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들어간다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외채와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재정적자는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금융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불균형을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초래하여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환율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변동을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초래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</w:p>
    <w:p w14:paraId="5BF62903" w14:textId="77777777" w:rsidR="008F7E25" w:rsidRDefault="008F7E25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</w:p>
    <w:p w14:paraId="751EC636" w14:textId="065BED8E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빈곤으로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하층부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열악한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생활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이와는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대조적으로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부자들은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축적하기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lastRenderedPageBreak/>
        <w:t>부패한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관행에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빠져든다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그것이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그들의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자아를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충족시키고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사회의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정치력과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근력을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증가시키기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때문이다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proofErr w:type="spellStart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비효과적인</w:t>
      </w:r>
      <w:proofErr w:type="spellEnd"/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법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체계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행위에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관대한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처벌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처벌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부족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증가시킨다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나라의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시스템이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심각하게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손상되고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나라의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사업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비용이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증가한다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첫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번째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타격은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나라의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기반시설에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의해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접수된다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표준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이하의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자료들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운영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절차들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정부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관리들의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관료적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지연들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법정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다툼들이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결과들이다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부패와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환율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사이에는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긍정적인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 xml:space="preserve"> </w:t>
      </w:r>
      <w:r w:rsidRPr="008F7E25">
        <w:rPr>
          <w:rFonts w:ascii="Helvetica" w:hAnsi="Helvetica" w:cs="Helvetica"/>
          <w:color w:val="000000"/>
          <w:sz w:val="18"/>
          <w:szCs w:val="18"/>
          <w:highlight w:val="yellow"/>
          <w:shd w:val="clear" w:color="auto" w:fill="FDFDFD"/>
        </w:rPr>
        <w:t>관계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있으며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자국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통화의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하락으로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이어진다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부패는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궁극적으로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영향을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미치는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강탈과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뇌물의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형태로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국제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무역에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불안과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고정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비용을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초래한다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다국적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기업은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개최국의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투입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비용이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저렴하기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때문에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생산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비용을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줄이기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나라에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자회사를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설립한다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이것들은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대량으로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상품을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생산하고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수출한다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인해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XR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영향을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미치는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대규모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현금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흐름이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발생합니다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</w:p>
    <w:p w14:paraId="30469133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2"/>
          <w:shd w:val="clear" w:color="auto" w:fill="FDFDFD"/>
        </w:rPr>
      </w:pPr>
    </w:p>
    <w:p w14:paraId="0FB50694" w14:textId="49C89D47" w:rsidR="00027108" w:rsidRPr="00027108" w:rsidRDefault="00027108" w:rsidP="00027108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4"/>
          <w:szCs w:val="4"/>
          <w:shd w:val="clear" w:color="auto" w:fill="FDFDFD"/>
        </w:rPr>
      </w:pPr>
      <w:r w:rsidRPr="00027108">
        <w:rPr>
          <w:rFonts w:ascii="Helvetica" w:hAnsi="Helvetica" w:cs="Helvetica"/>
          <w:color w:val="000000"/>
          <w:sz w:val="22"/>
          <w:shd w:val="clear" w:color="auto" w:fill="FDFDFD"/>
        </w:rPr>
        <w:t xml:space="preserve">III. </w:t>
      </w:r>
      <w:r w:rsidRPr="00027108">
        <w:rPr>
          <w:rFonts w:ascii="Helvetica" w:hAnsi="Helvetica" w:cs="Helvetica"/>
          <w:color w:val="000000"/>
          <w:sz w:val="22"/>
          <w:shd w:val="clear" w:color="auto" w:fill="FDFDFD"/>
        </w:rPr>
        <w:t>방법론</w:t>
      </w:r>
    </w:p>
    <w:p w14:paraId="3DCF0391" w14:textId="77777777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</w:p>
    <w:p w14:paraId="193EA91F" w14:textId="2CCEE0C8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연구는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9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중요한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거시경제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변수들의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관계와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환율에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미치는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영향을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조사한다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회귀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모형화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기법은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독립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변수에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대한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계수를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추정하고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가설을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검정하고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,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모형에서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각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독립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변수의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중요성을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평가하기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널리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.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동일한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경로를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따라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본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논문은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또한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중요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거시경제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변수를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평가하기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위해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다음과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같은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이론적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모델을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사용한다</w:t>
      </w:r>
      <w:r w:rsidRPr="00027108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.</w:t>
      </w:r>
    </w:p>
    <w:p w14:paraId="17923618" w14:textId="5F31FD99" w:rsidR="00027108" w:rsidRDefault="00027108" w:rsidP="00027108">
      <w:pPr>
        <w:wordWrap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</w:pPr>
    </w:p>
    <w:p w14:paraId="6DE9455B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𝑦 = 𝑎 + 𝛽𝑖 𝑥𝑖 + … + 𝛽𝑛 𝑥𝑛 + </w:t>
      </w:r>
      <w:proofErr w:type="gramStart"/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𝜀 ,</w:t>
      </w:r>
      <w:proofErr w:type="gramEnd"/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 𝑖 = 1, … , 𝑛.</w:t>
      </w:r>
    </w:p>
    <w:p w14:paraId="2916A474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proofErr w:type="gramStart"/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where</w:t>
      </w:r>
      <w:proofErr w:type="gramEnd"/>
    </w:p>
    <w:p w14:paraId="64AFBB4C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y = Exchange rate</w:t>
      </w:r>
    </w:p>
    <w:p w14:paraId="44B1458D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a = Intercept</w:t>
      </w:r>
    </w:p>
    <w:p w14:paraId="5FC5FE20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 w:hint="eastAsia"/>
          <w:color w:val="000000"/>
          <w:sz w:val="27"/>
          <w:szCs w:val="27"/>
          <w:shd w:val="clear" w:color="auto" w:fill="FDFDFD"/>
        </w:rPr>
        <w:t>β</w:t>
      </w: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 = Regression coefficient to be estimated</w:t>
      </w:r>
    </w:p>
    <w:p w14:paraId="49B2EB8A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x = Independent variable</w:t>
      </w:r>
    </w:p>
    <w:p w14:paraId="7002E5C5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proofErr w:type="spellStart"/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i</w:t>
      </w:r>
      <w:proofErr w:type="spellEnd"/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 = List of independent variables</w:t>
      </w:r>
    </w:p>
    <w:p w14:paraId="3A35B233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x1=Relative </w:t>
      </w:r>
      <w:r w:rsidRPr="008F7E25"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  <w:t>interest rates</w:t>
      </w:r>
    </w:p>
    <w:p w14:paraId="39021D47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x2=Relative </w:t>
      </w:r>
      <w:r w:rsidRPr="008F7E25"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  <w:t>inflation rate</w:t>
      </w:r>
    </w:p>
    <w:p w14:paraId="212A02F6" w14:textId="1AD53274" w:rsidR="00027108" w:rsidRPr="008F7E25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x3=Relative </w:t>
      </w:r>
      <w:r w:rsidRPr="008F7E25"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  <w:t>balance of payments</w:t>
      </w:r>
      <w:r w:rsidR="008F7E25" w:rsidRPr="008F7E25"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  <w:t xml:space="preserve"> (=current / financial account)</w:t>
      </w:r>
    </w:p>
    <w:p w14:paraId="63C06CDC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>x4=Relative employment rate</w:t>
      </w:r>
    </w:p>
    <w:p w14:paraId="681D176D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x5=Relative </w:t>
      </w:r>
      <w:r w:rsidRPr="00027108">
        <w:rPr>
          <w:rFonts w:ascii="Cambria Math" w:hAnsi="Cambria Math" w:cs="Cambria Math"/>
          <w:color w:val="000000"/>
          <w:sz w:val="27"/>
          <w:szCs w:val="27"/>
          <w:highlight w:val="yellow"/>
          <w:shd w:val="clear" w:color="auto" w:fill="FDFDFD"/>
        </w:rPr>
        <w:t>corruption index</w:t>
      </w:r>
    </w:p>
    <w:p w14:paraId="3F1892D4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x6=Relative </w:t>
      </w:r>
      <w:r w:rsidRPr="00027108">
        <w:rPr>
          <w:rFonts w:ascii="Cambria Math" w:hAnsi="Cambria Math" w:cs="Cambria Math"/>
          <w:color w:val="FF0000"/>
          <w:sz w:val="27"/>
          <w:szCs w:val="27"/>
          <w:shd w:val="clear" w:color="auto" w:fill="FDFDFD"/>
        </w:rPr>
        <w:t>gross domestic product</w:t>
      </w:r>
    </w:p>
    <w:p w14:paraId="2CC5ADE0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x7=Relative </w:t>
      </w:r>
      <w:r w:rsidRPr="00027108">
        <w:rPr>
          <w:rFonts w:ascii="Cambria Math" w:hAnsi="Cambria Math" w:cs="Cambria Math"/>
          <w:color w:val="000000"/>
          <w:sz w:val="27"/>
          <w:szCs w:val="27"/>
          <w:highlight w:val="yellow"/>
          <w:shd w:val="clear" w:color="auto" w:fill="FDFDFD"/>
        </w:rPr>
        <w:t>deficit/surplus rate</w:t>
      </w:r>
    </w:p>
    <w:p w14:paraId="36AC4291" w14:textId="77777777" w:rsidR="00027108" w:rsidRP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x8=Relative </w:t>
      </w:r>
      <w:r w:rsidRPr="008F7E25">
        <w:rPr>
          <w:rFonts w:ascii="Cambria Math" w:hAnsi="Cambria Math" w:cs="Cambria Math"/>
          <w:color w:val="000000"/>
          <w:sz w:val="27"/>
          <w:szCs w:val="27"/>
          <w:highlight w:val="yellow"/>
          <w:shd w:val="clear" w:color="auto" w:fill="FDFDFD"/>
        </w:rPr>
        <w:t>tax rate</w:t>
      </w:r>
    </w:p>
    <w:p w14:paraId="1BDAD058" w14:textId="51B1CFD1" w:rsidR="00027108" w:rsidRDefault="00027108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x9=Relative </w:t>
      </w:r>
      <w:r w:rsidRPr="008F7E25">
        <w:rPr>
          <w:rFonts w:ascii="Cambria Math" w:hAnsi="Cambria Math" w:cs="Cambria Math"/>
          <w:color w:val="000000"/>
          <w:sz w:val="27"/>
          <w:szCs w:val="27"/>
          <w:highlight w:val="yellow"/>
          <w:shd w:val="clear" w:color="auto" w:fill="FDFDFD"/>
        </w:rPr>
        <w:t>borrowing</w:t>
      </w:r>
      <w:r w:rsidRPr="00027108"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  <w:t xml:space="preserve"> rate</w:t>
      </w:r>
    </w:p>
    <w:p w14:paraId="2D7E5972" w14:textId="633A400E" w:rsidR="006E2B2B" w:rsidRDefault="006E2B2B" w:rsidP="00027108">
      <w:pPr>
        <w:wordWrap/>
        <w:adjustRightInd w:val="0"/>
        <w:spacing w:after="0" w:line="240" w:lineRule="auto"/>
        <w:jc w:val="left"/>
        <w:rPr>
          <w:rFonts w:ascii="Cambria Math" w:hAnsi="Cambria Math" w:cs="Cambria Math"/>
          <w:color w:val="000000"/>
          <w:sz w:val="27"/>
          <w:szCs w:val="27"/>
          <w:shd w:val="clear" w:color="auto" w:fill="FDFDFD"/>
        </w:rPr>
      </w:pPr>
    </w:p>
    <w:p w14:paraId="106DAA0E" w14:textId="50EF0EDC" w:rsidR="006E2B2B" w:rsidRPr="00027108" w:rsidRDefault="006E2B2B" w:rsidP="00027108">
      <w:pPr>
        <w:wordWrap/>
        <w:adjustRightInd w:val="0"/>
        <w:spacing w:after="0" w:line="240" w:lineRule="auto"/>
        <w:jc w:val="left"/>
        <w:rPr>
          <w:rFonts w:hint="eastAsia"/>
          <w:sz w:val="2"/>
          <w:szCs w:val="2"/>
        </w:rPr>
      </w:pPr>
    </w:p>
    <w:sectPr w:rsidR="006E2B2B" w:rsidRPr="000271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Italic">
    <w:altName w:val="HanS Call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8"/>
    <w:rsid w:val="00027108"/>
    <w:rsid w:val="005748CC"/>
    <w:rsid w:val="0057797B"/>
    <w:rsid w:val="005D21DC"/>
    <w:rsid w:val="006E2B2B"/>
    <w:rsid w:val="008F7E25"/>
    <w:rsid w:val="00F7188D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2C0E"/>
  <w15:chartTrackingRefBased/>
  <w15:docId w15:val="{7C81F83A-D866-4E67-B17A-2F11490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jose84gm@gmail.com</dc:creator>
  <cp:keywords/>
  <dc:description/>
  <cp:lastModifiedBy>jose84gm@gmail.com</cp:lastModifiedBy>
  <cp:revision>1</cp:revision>
  <dcterms:created xsi:type="dcterms:W3CDTF">2021-06-08T10:09:00Z</dcterms:created>
  <dcterms:modified xsi:type="dcterms:W3CDTF">2021-06-08T18:48:00Z</dcterms:modified>
</cp:coreProperties>
</file>