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20DBD" w14:textId="77777777" w:rsidR="00740B0F" w:rsidRDefault="00042105" w:rsidP="00042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Building a Strategic Portfolio: Investment Analysis Report</w:t>
      </w:r>
    </w:p>
    <w:p w14:paraId="75081BB9" w14:textId="7F2DF021" w:rsidR="00042105" w:rsidRPr="00042105" w:rsidRDefault="00042105" w:rsidP="00042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1. Introduction</w:t>
      </w:r>
    </w:p>
    <w:p w14:paraId="531C7274" w14:textId="77777777" w:rsidR="00042105" w:rsidRPr="00042105" w:rsidRDefault="00042105" w:rsidP="00042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¿Es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posible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construir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un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portafolio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que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funcione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tanto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épocas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bonanza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momentos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crisis? Esa es la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pregunta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que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impulsó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desarrollar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estrategia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que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presentamos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este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informe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partir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combinación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cuidadosamente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seleccionada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seis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activos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—MSFT (Microsoft), DE (Deere &amp; Co.), COST (Costco), BYDDY (BYD Company), AMD (Advanced Micro Devices) y GLD (Gold ETF)—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buscamos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capturar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diversidad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sectores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económicos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y al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mismo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tiempo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probar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qué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tan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robusto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puede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ser un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portafolio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ante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eventos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extremos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14:paraId="055FBBB6" w14:textId="77777777" w:rsidR="00042105" w:rsidRPr="00042105" w:rsidRDefault="00042105" w:rsidP="00042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¿Por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qué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seis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acciones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?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Porque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estudios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clásicos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muestran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que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mayores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beneficios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diversificación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logran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entre 6 y 10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activos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Más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allá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eso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la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reducción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adicional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del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riesgo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marginal se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vuelve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prácticamente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insignificante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ver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Figura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1). Seis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activos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tanto, no solo son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suficientes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: son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eficientes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14:paraId="44B0FA5A" w14:textId="7368375C" w:rsidR="00042105" w:rsidRPr="00042105" w:rsidRDefault="00042105" w:rsidP="00042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Además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análisis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cubre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un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periodo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crítico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: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desde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1 de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enero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2018 hasta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15 de mayo de 2025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</w:t>
      </w:r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Esta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ventana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permite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capturar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tanto la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normalidad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pre-COVID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caos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durante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la pandemia, y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efectos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posteriores de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recuperación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En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otras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palabras,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interesa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ver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no solo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si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portafolio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funciona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sino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si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resiste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14:paraId="5CBCDB53" w14:textId="77777777" w:rsidR="00740B0F" w:rsidRDefault="00740B0F" w:rsidP="00740B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5BBA1EEB" w14:textId="27C21C1A" w:rsidR="00042105" w:rsidRPr="00042105" w:rsidRDefault="00042105" w:rsidP="00740B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2. A</w:t>
      </w:r>
      <w:proofErr w:type="spellStart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nálisis</w:t>
      </w:r>
      <w:proofErr w:type="spellEnd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los</w:t>
      </w:r>
      <w:proofErr w:type="spellEnd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Datos: </w:t>
      </w:r>
      <w:proofErr w:type="spellStart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Normalidad</w:t>
      </w:r>
      <w:proofErr w:type="spellEnd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y </w:t>
      </w:r>
      <w:proofErr w:type="spellStart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Diversificación</w:t>
      </w:r>
      <w:proofErr w:type="spellEnd"/>
    </w:p>
    <w:p w14:paraId="0E410C45" w14:textId="77777777" w:rsidR="00042105" w:rsidRPr="00042105" w:rsidRDefault="00042105" w:rsidP="00042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Comenzamos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nuestro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análisis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explorando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dos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propiedades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fundamentales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retornos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: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su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comportamiento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estadístico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y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su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grado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dependencia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entre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activos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14:paraId="70805FF2" w14:textId="77777777" w:rsidR="00042105" w:rsidRPr="00042105" w:rsidRDefault="00042105" w:rsidP="00042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proofErr w:type="spellStart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Normalidad</w:t>
      </w:r>
      <w:proofErr w:type="spellEnd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: ¿</w:t>
      </w:r>
      <w:proofErr w:type="spellStart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Qué</w:t>
      </w:r>
      <w:proofErr w:type="spellEnd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tan </w:t>
      </w:r>
      <w:proofErr w:type="spellStart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normales</w:t>
      </w:r>
      <w:proofErr w:type="spellEnd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son </w:t>
      </w:r>
      <w:proofErr w:type="spellStart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nuestros</w:t>
      </w:r>
      <w:proofErr w:type="spellEnd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retornos</w:t>
      </w:r>
      <w:proofErr w:type="spellEnd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?</w:t>
      </w:r>
    </w:p>
    <w:p w14:paraId="07EDBF8D" w14:textId="77777777" w:rsidR="00042105" w:rsidRPr="00042105" w:rsidRDefault="00042105" w:rsidP="00042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En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teoría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si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retornos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financieros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fueran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perfectamente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normales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mundo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sería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mucho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más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predecible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Pero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mercados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tienen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memoria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emociones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eventos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inesperados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y,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sobre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todo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sorpresas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Para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comprobar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si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nuestros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activos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comportan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dicta la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teoría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clásica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aplicamos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test de </w:t>
      </w:r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Jarque-Bera</w:t>
      </w:r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herramienta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que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detecta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si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datos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desvían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la campana de Gauss.</w:t>
      </w:r>
    </w:p>
    <w:p w14:paraId="46DA48A2" w14:textId="77777777" w:rsidR="00042105" w:rsidRPr="00042105" w:rsidRDefault="00042105" w:rsidP="00042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Este test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combina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dos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ingredientes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: </w:t>
      </w:r>
      <w:proofErr w:type="spellStart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asimetría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 (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qué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tan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sesgada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está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distribución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) y </w:t>
      </w:r>
      <w:proofErr w:type="spellStart"/>
      <w:r w:rsidRPr="00042105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curtosis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 (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qué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tan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pesadas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son sus colas). Si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distribución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tiene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asimetría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muy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pronunciada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o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propensión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</w:t>
      </w:r>
      <w:proofErr w:type="gram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eventos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extremos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estadístico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JB se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dispara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14:paraId="3F214279" w14:textId="77777777" w:rsidR="00042105" w:rsidRPr="00042105" w:rsidRDefault="00042105" w:rsidP="00042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La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fórmula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del test es:</w:t>
      </w:r>
    </w:p>
    <w:p w14:paraId="79FFEAB4" w14:textId="77777777" w:rsidR="00042105" w:rsidRPr="00042105" w:rsidRDefault="00042105" w:rsidP="00042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Donde es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número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observaciones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, 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coeficiente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skewness y la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curtosis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En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distribución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normal, </w:t>
      </w:r>
      <w:proofErr w:type="gram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y ,</w:t>
      </w:r>
      <w:proofErr w:type="gram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lo tanto JB = 0.</w:t>
      </w:r>
    </w:p>
    <w:p w14:paraId="69DBF7EB" w14:textId="77777777" w:rsidR="00042105" w:rsidRPr="00042105" w:rsidRDefault="00042105" w:rsidP="00042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¿Y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qué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dicen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nuestros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datos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? </w:t>
      </w:r>
      <w:proofErr w:type="gram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Pues</w:t>
      </w:r>
      <w:proofErr w:type="gram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que la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teoría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queda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bastante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lejos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: COST,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ejemplo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tiene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 JB</w:t>
      </w:r>
      <w:proofErr w:type="gram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superior a 5,000. Todos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activos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muestran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colas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gruesas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y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algunas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distribuciones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lastRenderedPageBreak/>
        <w:t>claramente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sesgadas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El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mensaje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es claro: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retornos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no son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normales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y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cualquier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modelo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que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asuma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lo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contrario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subestima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riesgo</w:t>
      </w:r>
      <w:proofErr w:type="spellEnd"/>
      <w:r w:rsidRPr="00042105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14:paraId="36C2EE3A" w14:textId="77777777" w:rsidR="00042105" w:rsidRPr="00042105" w:rsidRDefault="00042105" w:rsidP="000421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proofErr w:type="spellStart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Figura</w:t>
      </w:r>
      <w:proofErr w:type="spellEnd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2: </w:t>
      </w:r>
      <w:proofErr w:type="spellStart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Histogramas</w:t>
      </w:r>
      <w:proofErr w:type="spellEnd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los</w:t>
      </w:r>
      <w:proofErr w:type="spellEnd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retornos</w:t>
      </w:r>
      <w:proofErr w:type="spellEnd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mensuales</w:t>
      </w:r>
      <w:proofErr w:type="spellEnd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para </w:t>
      </w:r>
      <w:proofErr w:type="spellStart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los</w:t>
      </w:r>
      <w:proofErr w:type="spellEnd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seis </w:t>
      </w:r>
      <w:proofErr w:type="spellStart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activos</w:t>
      </w:r>
      <w:proofErr w:type="spellEnd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seleccionados</w:t>
      </w:r>
      <w:proofErr w:type="spellEnd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, con </w:t>
      </w:r>
      <w:proofErr w:type="spellStart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indicadores</w:t>
      </w:r>
      <w:proofErr w:type="spellEnd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de skewness, kurtosis y valor del </w:t>
      </w:r>
      <w:proofErr w:type="spellStart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estadístico</w:t>
      </w:r>
      <w:proofErr w:type="spellEnd"/>
      <w:r w:rsidRPr="00042105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JB.</w:t>
      </w:r>
    </w:p>
    <w:p w14:paraId="13F2C043" w14:textId="77777777" w:rsidR="008A2F3A" w:rsidRPr="008A2F3A" w:rsidRDefault="008A2F3A" w:rsidP="008A2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proofErr w:type="spellStart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Correlación</w:t>
      </w:r>
      <w:proofErr w:type="spellEnd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: </w:t>
      </w:r>
      <w:proofErr w:type="spellStart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el</w:t>
      </w:r>
      <w:proofErr w:type="spellEnd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arte</w:t>
      </w:r>
      <w:proofErr w:type="spellEnd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combinar</w:t>
      </w:r>
      <w:proofErr w:type="spellEnd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sin que se </w:t>
      </w:r>
      <w:proofErr w:type="spellStart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copien</w:t>
      </w:r>
      <w:proofErr w:type="spellEnd"/>
    </w:p>
    <w:p w14:paraId="62C682E9" w14:textId="77777777" w:rsidR="008A2F3A" w:rsidRPr="008A2F3A" w:rsidRDefault="008A2F3A" w:rsidP="008A2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La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diversificación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es a las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finanzas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lo que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buena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receta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es a la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cocina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: no se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trata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solo de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mezclar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ingredientes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sino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saber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cómo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interactúan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En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portafolios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esa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interacción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mide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con la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correlación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Y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mientras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más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diferentes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comporten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entre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sí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activos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mejor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cocina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riesgo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14:paraId="749903CD" w14:textId="77777777" w:rsidR="008A2F3A" w:rsidRPr="008A2F3A" w:rsidRDefault="008A2F3A" w:rsidP="008A2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En la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Figura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3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ilustramos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cómo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a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medida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que la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correlación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 entre dos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activos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disminuye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se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amplía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la curva de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oportunidad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: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portafolio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combinado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puede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alcanzar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un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mejor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perfil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riesgo-retorno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De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hecho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correlación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cercana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 cero —o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incluso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negativa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—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permite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construir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portafolios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que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dominen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cualquier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inversión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individual.</w:t>
      </w:r>
    </w:p>
    <w:p w14:paraId="2D33C38A" w14:textId="77777777" w:rsidR="008A2F3A" w:rsidRPr="008A2F3A" w:rsidRDefault="008A2F3A" w:rsidP="008A2F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Figura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3: Curvas de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oportunidad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inversión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para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diferentes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niveles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correlación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 entre dos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activos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. El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portafolio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mínima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varianza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(MVP)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representa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la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mejor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combinación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posible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en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cuanto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 xml:space="preserve"> a control del </w:t>
      </w:r>
      <w:proofErr w:type="spellStart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riesgo</w:t>
      </w:r>
      <w:proofErr w:type="spellEnd"/>
      <w:r w:rsidRPr="008A2F3A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.</w:t>
      </w:r>
    </w:p>
    <w:p w14:paraId="35E1468C" w14:textId="77777777" w:rsidR="008A2F3A" w:rsidRPr="008A2F3A" w:rsidRDefault="008A2F3A" w:rsidP="008A2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En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nuestro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caso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activos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fueron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seleccionados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con ese principio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mente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: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buscamos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diversidad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sectorial,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geográfica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y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estructural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Esto se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refleja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la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siguiente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matriz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correlación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634"/>
        <w:gridCol w:w="914"/>
        <w:gridCol w:w="714"/>
        <w:gridCol w:w="480"/>
        <w:gridCol w:w="581"/>
        <w:gridCol w:w="742"/>
      </w:tblGrid>
      <w:tr w:rsidR="008A2F3A" w:rsidRPr="008A2F3A" w14:paraId="1E2DF4EF" w14:textId="77777777" w:rsidTr="008A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324B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021B05" w14:textId="77777777" w:rsidR="008A2F3A" w:rsidRPr="008A2F3A" w:rsidRDefault="008A2F3A" w:rsidP="008A2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AMD</w:t>
            </w:r>
          </w:p>
        </w:tc>
        <w:tc>
          <w:tcPr>
            <w:tcW w:w="0" w:type="auto"/>
            <w:vAlign w:val="center"/>
            <w:hideMark/>
          </w:tcPr>
          <w:p w14:paraId="35D37C5D" w14:textId="77777777" w:rsidR="008A2F3A" w:rsidRPr="008A2F3A" w:rsidRDefault="008A2F3A" w:rsidP="008A2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BYDDY</w:t>
            </w:r>
          </w:p>
        </w:tc>
        <w:tc>
          <w:tcPr>
            <w:tcW w:w="0" w:type="auto"/>
            <w:vAlign w:val="center"/>
            <w:hideMark/>
          </w:tcPr>
          <w:p w14:paraId="0D56C4B2" w14:textId="77777777" w:rsidR="008A2F3A" w:rsidRPr="008A2F3A" w:rsidRDefault="008A2F3A" w:rsidP="008A2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4C48A06" w14:textId="77777777" w:rsidR="008A2F3A" w:rsidRPr="008A2F3A" w:rsidRDefault="008A2F3A" w:rsidP="008A2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12EFEC36" w14:textId="77777777" w:rsidR="008A2F3A" w:rsidRPr="008A2F3A" w:rsidRDefault="008A2F3A" w:rsidP="008A2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GLD</w:t>
            </w:r>
          </w:p>
        </w:tc>
        <w:tc>
          <w:tcPr>
            <w:tcW w:w="0" w:type="auto"/>
            <w:vAlign w:val="center"/>
            <w:hideMark/>
          </w:tcPr>
          <w:p w14:paraId="194599E7" w14:textId="77777777" w:rsidR="008A2F3A" w:rsidRPr="008A2F3A" w:rsidRDefault="008A2F3A" w:rsidP="008A2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MSFT</w:t>
            </w:r>
          </w:p>
        </w:tc>
      </w:tr>
      <w:tr w:rsidR="008A2F3A" w:rsidRPr="008A2F3A" w14:paraId="6DD106B8" w14:textId="77777777" w:rsidTr="008A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A2946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AMD</w:t>
            </w:r>
          </w:p>
        </w:tc>
        <w:tc>
          <w:tcPr>
            <w:tcW w:w="0" w:type="auto"/>
            <w:vAlign w:val="center"/>
            <w:hideMark/>
          </w:tcPr>
          <w:p w14:paraId="5AAE41F6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6A256AE8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38833FBE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14:paraId="1E31205C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0.32</w:t>
            </w:r>
          </w:p>
        </w:tc>
        <w:tc>
          <w:tcPr>
            <w:tcW w:w="0" w:type="auto"/>
            <w:vAlign w:val="center"/>
            <w:hideMark/>
          </w:tcPr>
          <w:p w14:paraId="5DB33612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0.11</w:t>
            </w:r>
          </w:p>
        </w:tc>
        <w:tc>
          <w:tcPr>
            <w:tcW w:w="0" w:type="auto"/>
            <w:vAlign w:val="center"/>
            <w:hideMark/>
          </w:tcPr>
          <w:p w14:paraId="3F2E49C6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0.56</w:t>
            </w:r>
          </w:p>
        </w:tc>
      </w:tr>
      <w:tr w:rsidR="008A2F3A" w:rsidRPr="008A2F3A" w14:paraId="4A01777C" w14:textId="77777777" w:rsidTr="008A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BC03A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BYDDY</w:t>
            </w:r>
          </w:p>
        </w:tc>
        <w:tc>
          <w:tcPr>
            <w:tcW w:w="0" w:type="auto"/>
            <w:vAlign w:val="center"/>
            <w:hideMark/>
          </w:tcPr>
          <w:p w14:paraId="030A1C75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35F26E80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3085EE9C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1D1F9371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5F681570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14:paraId="370B5D27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0.32</w:t>
            </w:r>
          </w:p>
        </w:tc>
      </w:tr>
      <w:tr w:rsidR="008A2F3A" w:rsidRPr="008A2F3A" w14:paraId="2FAD0A14" w14:textId="77777777" w:rsidTr="008A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1B37A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1A5F2A96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14:paraId="4FF1791C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7DBFFEFC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49A60541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0.32</w:t>
            </w:r>
          </w:p>
        </w:tc>
        <w:tc>
          <w:tcPr>
            <w:tcW w:w="0" w:type="auto"/>
            <w:vAlign w:val="center"/>
            <w:hideMark/>
          </w:tcPr>
          <w:p w14:paraId="01246443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6C27030D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0.56</w:t>
            </w:r>
          </w:p>
        </w:tc>
      </w:tr>
      <w:tr w:rsidR="008A2F3A" w:rsidRPr="008A2F3A" w14:paraId="245BF6AD" w14:textId="77777777" w:rsidTr="008A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865FA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6C1CF0F3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0.32</w:t>
            </w:r>
          </w:p>
        </w:tc>
        <w:tc>
          <w:tcPr>
            <w:tcW w:w="0" w:type="auto"/>
            <w:vAlign w:val="center"/>
            <w:hideMark/>
          </w:tcPr>
          <w:p w14:paraId="2D547EE8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1D956206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0.32</w:t>
            </w:r>
          </w:p>
        </w:tc>
        <w:tc>
          <w:tcPr>
            <w:tcW w:w="0" w:type="auto"/>
            <w:vAlign w:val="center"/>
            <w:hideMark/>
          </w:tcPr>
          <w:p w14:paraId="06DE4E8F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19787747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0.07</w:t>
            </w:r>
          </w:p>
        </w:tc>
        <w:tc>
          <w:tcPr>
            <w:tcW w:w="0" w:type="auto"/>
            <w:vAlign w:val="center"/>
            <w:hideMark/>
          </w:tcPr>
          <w:p w14:paraId="3D84A287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0.39</w:t>
            </w:r>
          </w:p>
        </w:tc>
      </w:tr>
      <w:tr w:rsidR="008A2F3A" w:rsidRPr="008A2F3A" w14:paraId="6466B854" w14:textId="77777777" w:rsidTr="008A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31852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GLD</w:t>
            </w:r>
          </w:p>
        </w:tc>
        <w:tc>
          <w:tcPr>
            <w:tcW w:w="0" w:type="auto"/>
            <w:vAlign w:val="center"/>
            <w:hideMark/>
          </w:tcPr>
          <w:p w14:paraId="3298FAF3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0.11</w:t>
            </w:r>
          </w:p>
        </w:tc>
        <w:tc>
          <w:tcPr>
            <w:tcW w:w="0" w:type="auto"/>
            <w:vAlign w:val="center"/>
            <w:hideMark/>
          </w:tcPr>
          <w:p w14:paraId="31E00B2E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14:paraId="7B19A173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2153AC65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0.07</w:t>
            </w:r>
          </w:p>
        </w:tc>
        <w:tc>
          <w:tcPr>
            <w:tcW w:w="0" w:type="auto"/>
            <w:vAlign w:val="center"/>
            <w:hideMark/>
          </w:tcPr>
          <w:p w14:paraId="22095CA9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5C347B30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0.07</w:t>
            </w:r>
          </w:p>
        </w:tc>
      </w:tr>
      <w:tr w:rsidR="008A2F3A" w:rsidRPr="008A2F3A" w14:paraId="22117C56" w14:textId="77777777" w:rsidTr="008A2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A4AD4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MSFT</w:t>
            </w:r>
          </w:p>
        </w:tc>
        <w:tc>
          <w:tcPr>
            <w:tcW w:w="0" w:type="auto"/>
            <w:vAlign w:val="center"/>
            <w:hideMark/>
          </w:tcPr>
          <w:p w14:paraId="2CD57877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147B31B8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0.32</w:t>
            </w:r>
          </w:p>
        </w:tc>
        <w:tc>
          <w:tcPr>
            <w:tcW w:w="0" w:type="auto"/>
            <w:vAlign w:val="center"/>
            <w:hideMark/>
          </w:tcPr>
          <w:p w14:paraId="552F1411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0A21C12C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0.39</w:t>
            </w:r>
          </w:p>
        </w:tc>
        <w:tc>
          <w:tcPr>
            <w:tcW w:w="0" w:type="auto"/>
            <w:vAlign w:val="center"/>
            <w:hideMark/>
          </w:tcPr>
          <w:p w14:paraId="4BFC652A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0.07</w:t>
            </w:r>
          </w:p>
        </w:tc>
        <w:tc>
          <w:tcPr>
            <w:tcW w:w="0" w:type="auto"/>
            <w:vAlign w:val="center"/>
            <w:hideMark/>
          </w:tcPr>
          <w:p w14:paraId="2CC1CE3B" w14:textId="77777777" w:rsidR="008A2F3A" w:rsidRPr="008A2F3A" w:rsidRDefault="008A2F3A" w:rsidP="008A2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8A2F3A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1.00</w:t>
            </w:r>
          </w:p>
        </w:tc>
      </w:tr>
    </w:tbl>
    <w:p w14:paraId="13DBACFC" w14:textId="77777777" w:rsidR="008A2F3A" w:rsidRPr="008A2F3A" w:rsidRDefault="008A2F3A" w:rsidP="008A2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El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protagonista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aquí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es GLD (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oro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),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cuyas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correlaciones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con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resto de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activos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son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notablemente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bajas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Su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rol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es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contrapeso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: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mientras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demás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activos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mueven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con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mercado, GLD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sigue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su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propio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ritmo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Y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eso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no solo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aporta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resiliencia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sino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que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permite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 </w:t>
      </w:r>
      <w:proofErr w:type="spellStart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desplazar</w:t>
      </w:r>
      <w:proofErr w:type="spellEnd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la </w:t>
      </w:r>
      <w:proofErr w:type="spellStart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frontera</w:t>
      </w:r>
      <w:proofErr w:type="spellEnd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eficiente</w:t>
      </w:r>
      <w:proofErr w:type="spellEnd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hacia</w:t>
      </w:r>
      <w:proofErr w:type="spellEnd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la </w:t>
      </w:r>
      <w:proofErr w:type="spellStart"/>
      <w:r w:rsidRPr="008A2F3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izquierda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reduciendo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la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volatilidad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sin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comprometer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rendimiento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En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pocas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palabras, es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ingrediente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que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equilibra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la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receta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14:paraId="6D880CCC" w14:textId="77777777" w:rsidR="008A2F3A" w:rsidRPr="008A2F3A" w:rsidRDefault="008A2F3A" w:rsidP="008A2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Así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la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correlación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deja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ser solo un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número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entre -1 y 1 para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convertirse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en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brújula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que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guía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la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arquitectura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nuestro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portafolio</w:t>
      </w:r>
      <w:proofErr w:type="spellEnd"/>
      <w:r w:rsidRPr="008A2F3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14:paraId="243EBD52" w14:textId="77777777" w:rsidR="00042105" w:rsidRDefault="009729C7" w:rsidP="0004210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9729C7">
        <w:rPr>
          <w:rFonts w:ascii="Times New Roman" w:eastAsia="Times New Roman" w:hAnsi="Times New Roman" w:cs="Times New Roman"/>
          <w:noProof/>
          <w:color w:val="000000"/>
          <w:kern w:val="0"/>
          <w:lang w:val="en-US"/>
        </w:rPr>
        <w:pict w14:anchorId="4227C23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689D1D5" w14:textId="77777777" w:rsidR="008A2F3A" w:rsidRDefault="008A2F3A" w:rsidP="0004210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</w:p>
    <w:p w14:paraId="40A8BCD7" w14:textId="77777777" w:rsidR="008A2F3A" w:rsidRDefault="008A2F3A" w:rsidP="008A2F3A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 xml:space="preserve">3. </w:t>
      </w:r>
      <w:proofErr w:type="spellStart"/>
      <w:r>
        <w:rPr>
          <w:rStyle w:val="Strong"/>
          <w:rFonts w:eastAsiaTheme="majorEastAsia"/>
          <w:color w:val="000000"/>
        </w:rPr>
        <w:t>Simulación</w:t>
      </w:r>
      <w:proofErr w:type="spellEnd"/>
      <w:r>
        <w:rPr>
          <w:rStyle w:val="Strong"/>
          <w:rFonts w:eastAsiaTheme="majorEastAsia"/>
          <w:color w:val="000000"/>
        </w:rPr>
        <w:t xml:space="preserve"> y Frontera </w:t>
      </w:r>
      <w:proofErr w:type="spellStart"/>
      <w:r>
        <w:rPr>
          <w:rStyle w:val="Strong"/>
          <w:rFonts w:eastAsiaTheme="majorEastAsia"/>
          <w:color w:val="000000"/>
        </w:rPr>
        <w:t>Eficiente</w:t>
      </w:r>
      <w:proofErr w:type="spellEnd"/>
      <w:r>
        <w:rPr>
          <w:rStyle w:val="Strong"/>
          <w:rFonts w:eastAsiaTheme="majorEastAsia"/>
          <w:color w:val="000000"/>
        </w:rPr>
        <w:t xml:space="preserve">: </w:t>
      </w:r>
      <w:proofErr w:type="spellStart"/>
      <w:r>
        <w:rPr>
          <w:rStyle w:val="Strong"/>
          <w:rFonts w:eastAsiaTheme="majorEastAsia"/>
          <w:color w:val="000000"/>
        </w:rPr>
        <w:t>Persiguiendo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el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legado</w:t>
      </w:r>
      <w:proofErr w:type="spellEnd"/>
      <w:r>
        <w:rPr>
          <w:rStyle w:val="Strong"/>
          <w:rFonts w:eastAsiaTheme="majorEastAsia"/>
          <w:color w:val="000000"/>
        </w:rPr>
        <w:t xml:space="preserve"> de Markowitz</w:t>
      </w:r>
    </w:p>
    <w:p w14:paraId="24614EC6" w14:textId="77777777" w:rsidR="008A2F3A" w:rsidRDefault="008A2F3A" w:rsidP="008A2F3A">
      <w:pPr>
        <w:pStyle w:val="NormalWeb"/>
        <w:rPr>
          <w:color w:val="000000"/>
        </w:rPr>
      </w:pPr>
      <w:r>
        <w:rPr>
          <w:color w:val="000000"/>
        </w:rPr>
        <w:t xml:space="preserve">Con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seleccionados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entendida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interacción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embarcamos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ejercicio</w:t>
      </w:r>
      <w:proofErr w:type="spellEnd"/>
      <w:r>
        <w:rPr>
          <w:color w:val="000000"/>
        </w:rPr>
        <w:t xml:space="preserve"> central de la </w:t>
      </w:r>
      <w:proofErr w:type="spellStart"/>
      <w:r>
        <w:rPr>
          <w:color w:val="000000"/>
        </w:rPr>
        <w:t>teoría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portafolios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identificar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frontera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eficiente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Inspirados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obra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pionera</w:t>
      </w:r>
      <w:proofErr w:type="spellEnd"/>
      <w:r>
        <w:rPr>
          <w:color w:val="000000"/>
        </w:rPr>
        <w:t xml:space="preserve"> de Harry Markowitz (1952), </w:t>
      </w:r>
      <w:proofErr w:type="spellStart"/>
      <w:r>
        <w:rPr>
          <w:color w:val="000000"/>
        </w:rPr>
        <w:t>simulamos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optimizamos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portafolios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encontrar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aquellas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combinaciones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maximizan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retorno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esperado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unidad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riesgo</w:t>
      </w:r>
      <w:proofErr w:type="spellEnd"/>
      <w:r>
        <w:rPr>
          <w:color w:val="000000"/>
        </w:rPr>
        <w:t>.</w:t>
      </w:r>
    </w:p>
    <w:p w14:paraId="4417C8D0" w14:textId="77777777" w:rsidR="008A2F3A" w:rsidRDefault="008A2F3A" w:rsidP="008A2F3A">
      <w:pPr>
        <w:pStyle w:val="NormalWeb"/>
        <w:rPr>
          <w:color w:val="000000"/>
        </w:rPr>
      </w:pPr>
      <w:r>
        <w:rPr>
          <w:color w:val="000000"/>
        </w:rPr>
        <w:t xml:space="preserve">Para </w:t>
      </w:r>
      <w:proofErr w:type="spellStart"/>
      <w:r>
        <w:rPr>
          <w:color w:val="000000"/>
        </w:rPr>
        <w:t>visualizar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conjunto de </w:t>
      </w:r>
      <w:proofErr w:type="spellStart"/>
      <w:r>
        <w:rPr>
          <w:color w:val="000000"/>
        </w:rPr>
        <w:t>oportunidades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inversión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generamos</w:t>
      </w:r>
      <w:proofErr w:type="spellEnd"/>
      <w:r>
        <w:rPr>
          <w:color w:val="000000"/>
        </w:rPr>
        <w:t xml:space="preserve"> 10,000 </w:t>
      </w:r>
      <w:proofErr w:type="spellStart"/>
      <w:r>
        <w:rPr>
          <w:color w:val="000000"/>
        </w:rPr>
        <w:t>portafolios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aleatorios</w:t>
      </w:r>
      <w:proofErr w:type="spellEnd"/>
      <w:r>
        <w:rPr>
          <w:color w:val="000000"/>
        </w:rPr>
        <w:t xml:space="preserve">. Cada punto </w:t>
      </w:r>
      <w:proofErr w:type="spellStart"/>
      <w:r>
        <w:rPr>
          <w:color w:val="000000"/>
        </w:rPr>
        <w:t>representa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combinación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seis </w:t>
      </w:r>
      <w:proofErr w:type="spellStart"/>
      <w:r>
        <w:rPr>
          <w:color w:val="000000"/>
        </w:rPr>
        <w:t>activos</w:t>
      </w:r>
      <w:proofErr w:type="spellEnd"/>
      <w:r>
        <w:rPr>
          <w:color w:val="000000"/>
        </w:rPr>
        <w:t xml:space="preserve">. Al </w:t>
      </w:r>
      <w:proofErr w:type="spellStart"/>
      <w:r>
        <w:rPr>
          <w:color w:val="000000"/>
        </w:rPr>
        <w:t>graficarlos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plano </w:t>
      </w:r>
      <w:proofErr w:type="spellStart"/>
      <w:r>
        <w:rPr>
          <w:color w:val="000000"/>
        </w:rPr>
        <w:t>riesgo-retorno</w:t>
      </w:r>
      <w:proofErr w:type="spellEnd"/>
      <w:r>
        <w:rPr>
          <w:color w:val="000000"/>
        </w:rPr>
        <w:t xml:space="preserve">, emerge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curva </w:t>
      </w:r>
      <w:proofErr w:type="spellStart"/>
      <w:r>
        <w:rPr>
          <w:color w:val="000000"/>
        </w:rPr>
        <w:t>envolvente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hacia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borde</w:t>
      </w:r>
      <w:proofErr w:type="spellEnd"/>
      <w:r>
        <w:rPr>
          <w:color w:val="000000"/>
        </w:rPr>
        <w:t xml:space="preserve"> superior </w:t>
      </w:r>
      <w:proofErr w:type="spellStart"/>
      <w:r>
        <w:rPr>
          <w:color w:val="000000"/>
        </w:rPr>
        <w:t>izquierdo</w:t>
      </w:r>
      <w:proofErr w:type="spellEnd"/>
      <w:r>
        <w:rPr>
          <w:color w:val="000000"/>
        </w:rPr>
        <w:t>: la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frontera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eficiente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empírica</w:t>
      </w:r>
      <w:proofErr w:type="spellEnd"/>
      <w:r>
        <w:rPr>
          <w:color w:val="000000"/>
        </w:rPr>
        <w:t>.</w:t>
      </w:r>
    </w:p>
    <w:p w14:paraId="5F7FA6F5" w14:textId="77777777" w:rsidR="008A2F3A" w:rsidRDefault="008A2F3A" w:rsidP="008A2F3A">
      <w:pPr>
        <w:pStyle w:val="NormalWeb"/>
        <w:rPr>
          <w:color w:val="000000"/>
        </w:rPr>
      </w:pPr>
      <w:r>
        <w:rPr>
          <w:color w:val="000000"/>
        </w:rPr>
        <w:t xml:space="preserve">Pero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allá</w:t>
      </w:r>
      <w:proofErr w:type="spellEnd"/>
      <w:r>
        <w:rPr>
          <w:color w:val="000000"/>
        </w:rPr>
        <w:t xml:space="preserve"> de lo visual, </w:t>
      </w:r>
      <w:proofErr w:type="spellStart"/>
      <w:r>
        <w:rPr>
          <w:color w:val="000000"/>
        </w:rPr>
        <w:t>buscamos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precisión</w:t>
      </w:r>
      <w:proofErr w:type="spellEnd"/>
      <w:r>
        <w:rPr>
          <w:color w:val="000000"/>
        </w:rPr>
        <w:t xml:space="preserve">. Por </w:t>
      </w:r>
      <w:proofErr w:type="spellStart"/>
      <w:r>
        <w:rPr>
          <w:color w:val="000000"/>
        </w:rPr>
        <w:t>ello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formulamos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optimización</w:t>
      </w:r>
      <w:proofErr w:type="spellEnd"/>
      <w:r>
        <w:rPr>
          <w:color w:val="000000"/>
        </w:rPr>
        <w:t xml:space="preserve"> de Markowitz de la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manera</w:t>
      </w:r>
      <w:proofErr w:type="spellEnd"/>
      <w:r>
        <w:rPr>
          <w:color w:val="000000"/>
        </w:rPr>
        <w:t>:</w:t>
      </w:r>
    </w:p>
    <w:p w14:paraId="3F34E536" w14:textId="77777777" w:rsidR="008A2F3A" w:rsidRDefault="008A2F3A" w:rsidP="008A2F3A">
      <w:pPr>
        <w:pStyle w:val="NormalWeb"/>
        <w:rPr>
          <w:color w:val="000000"/>
        </w:rPr>
      </w:pPr>
      <w:r>
        <w:rPr>
          <w:color w:val="000000"/>
        </w:rPr>
        <w:t>Donde:</w:t>
      </w:r>
    </w:p>
    <w:p w14:paraId="6B4A2B25" w14:textId="77777777" w:rsidR="008A2F3A" w:rsidRDefault="008A2F3A" w:rsidP="008A2F3A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es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vector de pesos del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>,</w:t>
      </w:r>
    </w:p>
    <w:p w14:paraId="1766252D" w14:textId="77777777" w:rsidR="008A2F3A" w:rsidRDefault="008A2F3A" w:rsidP="008A2F3A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es la </w:t>
      </w:r>
      <w:proofErr w:type="spellStart"/>
      <w:r>
        <w:rPr>
          <w:color w:val="000000"/>
        </w:rPr>
        <w:t>matriz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covarianza</w:t>
      </w:r>
      <w:proofErr w:type="spellEnd"/>
      <w:r>
        <w:rPr>
          <w:color w:val="000000"/>
        </w:rPr>
        <w:t xml:space="preserve"> entre </w:t>
      </w:r>
      <w:proofErr w:type="spellStart"/>
      <w:r>
        <w:rPr>
          <w:color w:val="000000"/>
        </w:rPr>
        <w:t>activos</w:t>
      </w:r>
      <w:proofErr w:type="spellEnd"/>
      <w:r>
        <w:rPr>
          <w:color w:val="000000"/>
        </w:rPr>
        <w:t>,</w:t>
      </w:r>
    </w:p>
    <w:p w14:paraId="44ACF70E" w14:textId="77777777" w:rsidR="008A2F3A" w:rsidRDefault="008A2F3A" w:rsidP="008A2F3A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es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vector de </w:t>
      </w:r>
      <w:proofErr w:type="spellStart"/>
      <w:r>
        <w:rPr>
          <w:color w:val="000000"/>
        </w:rPr>
        <w:t>retornos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esperados</w:t>
      </w:r>
      <w:proofErr w:type="spellEnd"/>
      <w:r>
        <w:rPr>
          <w:color w:val="000000"/>
        </w:rPr>
        <w:t>,</w:t>
      </w:r>
    </w:p>
    <w:p w14:paraId="3A8EA768" w14:textId="77777777" w:rsidR="008A2F3A" w:rsidRDefault="008A2F3A" w:rsidP="008A2F3A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es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retorno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objetivo</w:t>
      </w:r>
      <w:proofErr w:type="spellEnd"/>
      <w:r>
        <w:rPr>
          <w:color w:val="000000"/>
        </w:rPr>
        <w:t>.</w:t>
      </w:r>
    </w:p>
    <w:p w14:paraId="0DB91A06" w14:textId="77777777" w:rsidR="008A2F3A" w:rsidRDefault="008A2F3A" w:rsidP="008A2F3A">
      <w:pPr>
        <w:pStyle w:val="NormalWeb"/>
        <w:rPr>
          <w:color w:val="000000"/>
        </w:rPr>
      </w:pPr>
      <w:r>
        <w:rPr>
          <w:color w:val="000000"/>
        </w:rPr>
        <w:t xml:space="preserve">Este </w:t>
      </w:r>
      <w:proofErr w:type="spellStart"/>
      <w:r>
        <w:rPr>
          <w:color w:val="000000"/>
        </w:rPr>
        <w:t>problema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minimiza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varianza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riesgo</w:t>
      </w:r>
      <w:proofErr w:type="spellEnd"/>
      <w:r>
        <w:rPr>
          <w:color w:val="000000"/>
        </w:rPr>
        <w:t xml:space="preserve">) del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para un </w:t>
      </w:r>
      <w:proofErr w:type="spellStart"/>
      <w:r>
        <w:rPr>
          <w:color w:val="000000"/>
        </w:rPr>
        <w:t>nivel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deseado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retorno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sujeto</w:t>
      </w:r>
      <w:proofErr w:type="spellEnd"/>
      <w:r>
        <w:rPr>
          <w:color w:val="000000"/>
        </w:rPr>
        <w:t xml:space="preserve"> a que la </w:t>
      </w:r>
      <w:proofErr w:type="spellStart"/>
      <w:r>
        <w:rPr>
          <w:color w:val="000000"/>
        </w:rPr>
        <w:t>inversión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completamente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distribuida</w:t>
      </w:r>
      <w:proofErr w:type="spellEnd"/>
      <w:r>
        <w:rPr>
          <w:color w:val="000000"/>
        </w:rPr>
        <w:t xml:space="preserve"> entre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activos</w:t>
      </w:r>
      <w:proofErr w:type="spellEnd"/>
      <w:r>
        <w:rPr>
          <w:color w:val="000000"/>
        </w:rPr>
        <w:t>.</w:t>
      </w:r>
    </w:p>
    <w:p w14:paraId="11281879" w14:textId="77777777" w:rsidR="008A2F3A" w:rsidRDefault="008A2F3A" w:rsidP="008A2F3A">
      <w:pPr>
        <w:pStyle w:val="NormalWeb"/>
        <w:rPr>
          <w:color w:val="000000"/>
        </w:rPr>
      </w:pPr>
      <w:r>
        <w:rPr>
          <w:color w:val="000000"/>
        </w:rPr>
        <w:t xml:space="preserve">Para </w:t>
      </w:r>
      <w:proofErr w:type="spellStart"/>
      <w:r>
        <w:rPr>
          <w:color w:val="000000"/>
        </w:rPr>
        <w:t>reflejar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restricciones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realistas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enfrentadas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gestores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añadimos</w:t>
      </w:r>
      <w:proofErr w:type="spellEnd"/>
      <w:r>
        <w:rPr>
          <w:color w:val="000000"/>
        </w:rPr>
        <w:t xml:space="preserve"> dos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adicionales</w:t>
      </w:r>
      <w:proofErr w:type="spellEnd"/>
      <w:r>
        <w:rPr>
          <w:color w:val="000000"/>
        </w:rPr>
        <w:t>:</w:t>
      </w:r>
    </w:p>
    <w:p w14:paraId="4A3F8797" w14:textId="77777777" w:rsidR="008A2F3A" w:rsidRDefault="008A2F3A" w:rsidP="008A2F3A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No </w:t>
      </w:r>
      <w:proofErr w:type="gramStart"/>
      <w:r>
        <w:rPr>
          <w:rStyle w:val="Strong"/>
          <w:rFonts w:eastAsiaTheme="majorEastAsia"/>
          <w:color w:val="000000"/>
        </w:rPr>
        <w:t>short-selling</w:t>
      </w:r>
      <w:proofErr w:type="gramEnd"/>
      <w:r>
        <w:rPr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</w:p>
    <w:p w14:paraId="02417716" w14:textId="77777777" w:rsidR="008A2F3A" w:rsidRDefault="008A2F3A" w:rsidP="008A2F3A">
      <w:pPr>
        <w:pStyle w:val="NormalWeb"/>
        <w:numPr>
          <w:ilvl w:val="0"/>
          <w:numId w:val="3"/>
        </w:numPr>
        <w:rPr>
          <w:color w:val="000000"/>
        </w:rPr>
      </w:pPr>
      <w:proofErr w:type="spellStart"/>
      <w:r>
        <w:rPr>
          <w:rStyle w:val="Strong"/>
          <w:rFonts w:eastAsiaTheme="majorEastAsia"/>
          <w:color w:val="000000"/>
        </w:rPr>
        <w:t>Diversificación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forzada</w:t>
      </w:r>
      <w:proofErr w:type="spellEnd"/>
      <w:r>
        <w:rPr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</w:p>
    <w:p w14:paraId="2482488E" w14:textId="77777777" w:rsidR="008A2F3A" w:rsidRDefault="008A2F3A" w:rsidP="008A2F3A">
      <w:pPr>
        <w:pStyle w:val="NormalWeb"/>
        <w:rPr>
          <w:color w:val="000000"/>
        </w:rPr>
      </w:pPr>
      <w:r>
        <w:rPr>
          <w:color w:val="000000"/>
        </w:rPr>
        <w:t xml:space="preserve">Esto </w:t>
      </w:r>
      <w:proofErr w:type="spellStart"/>
      <w:r>
        <w:rPr>
          <w:color w:val="000000"/>
        </w:rPr>
        <w:t>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lugar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segunda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frontera</w:t>
      </w:r>
      <w:proofErr w:type="spellEnd"/>
      <w:r>
        <w:rPr>
          <w:color w:val="000000"/>
        </w:rPr>
        <w:t>: la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frontera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eficiente</w:t>
      </w:r>
      <w:proofErr w:type="spellEnd"/>
      <w:r>
        <w:rPr>
          <w:rStyle w:val="Strong"/>
          <w:rFonts w:eastAsiaTheme="majorEastAsia"/>
          <w:color w:val="000000"/>
        </w:rPr>
        <w:t xml:space="preserve"> con </w:t>
      </w:r>
      <w:proofErr w:type="spellStart"/>
      <w:r>
        <w:rPr>
          <w:rStyle w:val="Strong"/>
          <w:rFonts w:eastAsiaTheme="majorEastAsia"/>
          <w:color w:val="000000"/>
        </w:rPr>
        <w:t>restricciones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acotada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representativa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mundo</w:t>
      </w:r>
      <w:proofErr w:type="spellEnd"/>
      <w:r>
        <w:rPr>
          <w:color w:val="000000"/>
        </w:rPr>
        <w:t xml:space="preserve"> real.</w:t>
      </w:r>
    </w:p>
    <w:p w14:paraId="352646F5" w14:textId="77777777" w:rsidR="008A2F3A" w:rsidRDefault="008A2F3A" w:rsidP="008A2F3A">
      <w:pPr>
        <w:pStyle w:val="NormalWeb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contraste</w:t>
      </w:r>
      <w:proofErr w:type="spellEnd"/>
      <w:r>
        <w:rPr>
          <w:color w:val="000000"/>
        </w:rPr>
        <w:t xml:space="preserve"> entre ambas </w:t>
      </w:r>
      <w:proofErr w:type="spellStart"/>
      <w:r>
        <w:rPr>
          <w:color w:val="000000"/>
        </w:rPr>
        <w:t>fronteras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cuantificar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costo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restricciones</w:t>
      </w:r>
      <w:proofErr w:type="spellEnd"/>
      <w:r>
        <w:rPr>
          <w:color w:val="000000"/>
        </w:rPr>
        <w:t xml:space="preserve"> y, a la </w:t>
      </w:r>
      <w:proofErr w:type="spellStart"/>
      <w:r>
        <w:rPr>
          <w:color w:val="000000"/>
        </w:rPr>
        <w:t>vez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valorar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poder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diversificación</w:t>
      </w:r>
      <w:proofErr w:type="spellEnd"/>
      <w:r>
        <w:rPr>
          <w:color w:val="000000"/>
        </w:rPr>
        <w:t xml:space="preserve"> bien </w:t>
      </w:r>
      <w:proofErr w:type="spellStart"/>
      <w:r>
        <w:rPr>
          <w:color w:val="000000"/>
        </w:rPr>
        <w:t>aplicada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esencia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honra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intuición</w:t>
      </w:r>
      <w:proofErr w:type="spellEnd"/>
      <w:r>
        <w:rPr>
          <w:color w:val="000000"/>
        </w:rPr>
        <w:t xml:space="preserve"> de Markowitz: la </w:t>
      </w:r>
      <w:proofErr w:type="spellStart"/>
      <w:r>
        <w:rPr>
          <w:color w:val="000000"/>
        </w:rPr>
        <w:t>diversificación</w:t>
      </w:r>
      <w:proofErr w:type="spellEnd"/>
      <w:r>
        <w:rPr>
          <w:color w:val="000000"/>
        </w:rPr>
        <w:t xml:space="preserve"> no es solo </w:t>
      </w:r>
      <w:proofErr w:type="spellStart"/>
      <w:r>
        <w:rPr>
          <w:color w:val="000000"/>
        </w:rPr>
        <w:t>deseable</w:t>
      </w:r>
      <w:proofErr w:type="spellEnd"/>
      <w:r>
        <w:rPr>
          <w:color w:val="000000"/>
        </w:rPr>
        <w:t xml:space="preserve">, es </w:t>
      </w:r>
      <w:proofErr w:type="spellStart"/>
      <w:r>
        <w:rPr>
          <w:color w:val="000000"/>
        </w:rPr>
        <w:t>matemática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visualmente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poderosa</w:t>
      </w:r>
      <w:proofErr w:type="spellEnd"/>
      <w:r>
        <w:rPr>
          <w:color w:val="000000"/>
        </w:rPr>
        <w:t>.</w:t>
      </w:r>
    </w:p>
    <w:p w14:paraId="187CE78B" w14:textId="77777777" w:rsidR="008A2F3A" w:rsidRDefault="008A2F3A" w:rsidP="008A2F3A">
      <w:pPr>
        <w:pStyle w:val="NormalWeb"/>
        <w:rPr>
          <w:color w:val="000000"/>
        </w:rPr>
      </w:pPr>
      <w:proofErr w:type="spellStart"/>
      <w:r>
        <w:rPr>
          <w:rStyle w:val="Emphasis"/>
          <w:rFonts w:eastAsiaTheme="majorEastAsia"/>
          <w:color w:val="000000"/>
        </w:rPr>
        <w:t>Figura</w:t>
      </w:r>
      <w:proofErr w:type="spellEnd"/>
      <w:r>
        <w:rPr>
          <w:rStyle w:val="Emphasis"/>
          <w:rFonts w:eastAsiaTheme="majorEastAsia"/>
          <w:color w:val="000000"/>
        </w:rPr>
        <w:t xml:space="preserve"> 4: </w:t>
      </w:r>
      <w:proofErr w:type="spellStart"/>
      <w:r>
        <w:rPr>
          <w:rStyle w:val="Emphasis"/>
          <w:rFonts w:eastAsiaTheme="majorEastAsia"/>
          <w:color w:val="000000"/>
        </w:rPr>
        <w:t>Visualización</w:t>
      </w:r>
      <w:proofErr w:type="spellEnd"/>
      <w:r>
        <w:rPr>
          <w:rStyle w:val="Emphasis"/>
          <w:rFonts w:eastAsiaTheme="majorEastAsia"/>
          <w:color w:val="000000"/>
        </w:rPr>
        <w:t xml:space="preserve"> de 10,000 </w:t>
      </w:r>
      <w:proofErr w:type="spellStart"/>
      <w:r>
        <w:rPr>
          <w:rStyle w:val="Emphasis"/>
          <w:rFonts w:eastAsiaTheme="majorEastAsia"/>
          <w:color w:val="000000"/>
        </w:rPr>
        <w:t>portafolios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simulados</w:t>
      </w:r>
      <w:proofErr w:type="spellEnd"/>
      <w:r>
        <w:rPr>
          <w:rStyle w:val="Emphasis"/>
          <w:rFonts w:eastAsiaTheme="majorEastAsia"/>
          <w:color w:val="000000"/>
        </w:rPr>
        <w:t xml:space="preserve">, </w:t>
      </w:r>
      <w:proofErr w:type="spellStart"/>
      <w:r>
        <w:rPr>
          <w:rStyle w:val="Emphasis"/>
          <w:rFonts w:eastAsiaTheme="majorEastAsia"/>
          <w:color w:val="000000"/>
        </w:rPr>
        <w:t>coloreados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por</w:t>
      </w:r>
      <w:proofErr w:type="spellEnd"/>
      <w:r>
        <w:rPr>
          <w:rStyle w:val="Emphasis"/>
          <w:rFonts w:eastAsiaTheme="majorEastAsia"/>
          <w:color w:val="000000"/>
        </w:rPr>
        <w:t xml:space="preserve"> ratio de Sharpe, con la </w:t>
      </w:r>
      <w:proofErr w:type="spellStart"/>
      <w:r>
        <w:rPr>
          <w:rStyle w:val="Emphasis"/>
          <w:rFonts w:eastAsiaTheme="majorEastAsia"/>
          <w:color w:val="000000"/>
        </w:rPr>
        <w:t>frontera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eficiente</w:t>
      </w:r>
      <w:proofErr w:type="spellEnd"/>
      <w:r>
        <w:rPr>
          <w:rStyle w:val="Emphasis"/>
          <w:rFonts w:eastAsiaTheme="majorEastAsia"/>
          <w:color w:val="000000"/>
        </w:rPr>
        <w:t xml:space="preserve"> sin </w:t>
      </w:r>
      <w:proofErr w:type="spellStart"/>
      <w:r>
        <w:rPr>
          <w:rStyle w:val="Emphasis"/>
          <w:rFonts w:eastAsiaTheme="majorEastAsia"/>
          <w:color w:val="000000"/>
        </w:rPr>
        <w:t>restricciones</w:t>
      </w:r>
      <w:proofErr w:type="spellEnd"/>
      <w:r>
        <w:rPr>
          <w:rStyle w:val="Emphasis"/>
          <w:rFonts w:eastAsiaTheme="majorEastAsia"/>
          <w:color w:val="000000"/>
        </w:rPr>
        <w:t xml:space="preserve"> (</w:t>
      </w:r>
      <w:proofErr w:type="spellStart"/>
      <w:r>
        <w:rPr>
          <w:rStyle w:val="Emphasis"/>
          <w:rFonts w:eastAsiaTheme="majorEastAsia"/>
          <w:color w:val="000000"/>
        </w:rPr>
        <w:t>azul</w:t>
      </w:r>
      <w:proofErr w:type="spellEnd"/>
      <w:r>
        <w:rPr>
          <w:rStyle w:val="Emphasis"/>
          <w:rFonts w:eastAsiaTheme="majorEastAsia"/>
          <w:color w:val="000000"/>
        </w:rPr>
        <w:t xml:space="preserve">) y la </w:t>
      </w:r>
      <w:proofErr w:type="spellStart"/>
      <w:r>
        <w:rPr>
          <w:rStyle w:val="Emphasis"/>
          <w:rFonts w:eastAsiaTheme="majorEastAsia"/>
          <w:color w:val="000000"/>
        </w:rPr>
        <w:t>restringida</w:t>
      </w:r>
      <w:proofErr w:type="spellEnd"/>
      <w:r>
        <w:rPr>
          <w:rStyle w:val="Emphasis"/>
          <w:rFonts w:eastAsiaTheme="majorEastAsia"/>
          <w:color w:val="000000"/>
        </w:rPr>
        <w:t xml:space="preserve"> (</w:t>
      </w:r>
      <w:proofErr w:type="spellStart"/>
      <w:r>
        <w:rPr>
          <w:rStyle w:val="Emphasis"/>
          <w:rFonts w:eastAsiaTheme="majorEastAsia"/>
          <w:color w:val="000000"/>
        </w:rPr>
        <w:t>naranja</w:t>
      </w:r>
      <w:proofErr w:type="spellEnd"/>
      <w:r>
        <w:rPr>
          <w:rStyle w:val="Emphasis"/>
          <w:rFonts w:eastAsiaTheme="majorEastAsia"/>
          <w:color w:val="000000"/>
        </w:rPr>
        <w:t>).</w:t>
      </w:r>
    </w:p>
    <w:p w14:paraId="0ACB7E5D" w14:textId="77777777" w:rsidR="008A2F3A" w:rsidRDefault="008A2F3A" w:rsidP="008A2F3A">
      <w:pPr>
        <w:pStyle w:val="NormalWeb"/>
        <w:rPr>
          <w:color w:val="000000"/>
        </w:rPr>
      </w:pPr>
      <w:proofErr w:type="spellStart"/>
      <w:r>
        <w:rPr>
          <w:rStyle w:val="Emphasis"/>
          <w:rFonts w:eastAsiaTheme="majorEastAsia"/>
          <w:color w:val="000000"/>
        </w:rPr>
        <w:t>Figura</w:t>
      </w:r>
      <w:proofErr w:type="spellEnd"/>
      <w:r>
        <w:rPr>
          <w:rStyle w:val="Emphasis"/>
          <w:rFonts w:eastAsiaTheme="majorEastAsia"/>
          <w:color w:val="000000"/>
        </w:rPr>
        <w:t xml:space="preserve"> 5: </w:t>
      </w:r>
      <w:proofErr w:type="spellStart"/>
      <w:r>
        <w:rPr>
          <w:rStyle w:val="Emphasis"/>
          <w:rFonts w:eastAsiaTheme="majorEastAsia"/>
          <w:color w:val="000000"/>
        </w:rPr>
        <w:t>Distribución</w:t>
      </w:r>
      <w:proofErr w:type="spellEnd"/>
      <w:r>
        <w:rPr>
          <w:rStyle w:val="Emphasis"/>
          <w:rFonts w:eastAsiaTheme="majorEastAsia"/>
          <w:color w:val="000000"/>
        </w:rPr>
        <w:t xml:space="preserve"> pura de </w:t>
      </w:r>
      <w:proofErr w:type="spellStart"/>
      <w:r>
        <w:rPr>
          <w:rStyle w:val="Emphasis"/>
          <w:rFonts w:eastAsiaTheme="majorEastAsia"/>
          <w:color w:val="000000"/>
        </w:rPr>
        <w:t>portafolios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simulados</w:t>
      </w:r>
      <w:proofErr w:type="spellEnd"/>
      <w:r>
        <w:rPr>
          <w:rStyle w:val="Emphasis"/>
          <w:rFonts w:eastAsiaTheme="majorEastAsia"/>
          <w:color w:val="000000"/>
        </w:rPr>
        <w:t xml:space="preserve"> sin </w:t>
      </w:r>
      <w:proofErr w:type="spellStart"/>
      <w:r>
        <w:rPr>
          <w:rStyle w:val="Emphasis"/>
          <w:rFonts w:eastAsiaTheme="majorEastAsia"/>
          <w:color w:val="000000"/>
        </w:rPr>
        <w:t>superposición</w:t>
      </w:r>
      <w:proofErr w:type="spellEnd"/>
      <w:r>
        <w:rPr>
          <w:rStyle w:val="Emphasis"/>
          <w:rFonts w:eastAsiaTheme="majorEastAsia"/>
          <w:color w:val="000000"/>
        </w:rPr>
        <w:t xml:space="preserve"> de </w:t>
      </w:r>
      <w:proofErr w:type="spellStart"/>
      <w:r>
        <w:rPr>
          <w:rStyle w:val="Emphasis"/>
          <w:rFonts w:eastAsiaTheme="majorEastAsia"/>
          <w:color w:val="000000"/>
        </w:rPr>
        <w:t>fronteras</w:t>
      </w:r>
      <w:proofErr w:type="spellEnd"/>
      <w:r>
        <w:rPr>
          <w:rStyle w:val="Emphasis"/>
          <w:rFonts w:eastAsiaTheme="majorEastAsia"/>
          <w:color w:val="000000"/>
        </w:rPr>
        <w:t xml:space="preserve">, </w:t>
      </w:r>
      <w:proofErr w:type="spellStart"/>
      <w:r>
        <w:rPr>
          <w:rStyle w:val="Emphasis"/>
          <w:rFonts w:eastAsiaTheme="majorEastAsia"/>
          <w:color w:val="000000"/>
        </w:rPr>
        <w:t>evidenciando</w:t>
      </w:r>
      <w:proofErr w:type="spellEnd"/>
      <w:r>
        <w:rPr>
          <w:rStyle w:val="Emphasis"/>
          <w:rFonts w:eastAsiaTheme="majorEastAsia"/>
          <w:color w:val="000000"/>
        </w:rPr>
        <w:t xml:space="preserve"> la </w:t>
      </w:r>
      <w:proofErr w:type="spellStart"/>
      <w:r>
        <w:rPr>
          <w:rStyle w:val="Emphasis"/>
          <w:rFonts w:eastAsiaTheme="majorEastAsia"/>
          <w:color w:val="000000"/>
        </w:rPr>
        <w:t>región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alcanzable</w:t>
      </w:r>
      <w:proofErr w:type="spellEnd"/>
      <w:r>
        <w:rPr>
          <w:rStyle w:val="Emphasis"/>
          <w:rFonts w:eastAsiaTheme="majorEastAsia"/>
          <w:color w:val="000000"/>
        </w:rPr>
        <w:t xml:space="preserve"> bajo la </w:t>
      </w:r>
      <w:proofErr w:type="spellStart"/>
      <w:r>
        <w:rPr>
          <w:rStyle w:val="Emphasis"/>
          <w:rFonts w:eastAsiaTheme="majorEastAsia"/>
          <w:color w:val="000000"/>
        </w:rPr>
        <w:t>estructura</w:t>
      </w:r>
      <w:proofErr w:type="spellEnd"/>
      <w:r>
        <w:rPr>
          <w:rStyle w:val="Emphasis"/>
          <w:rFonts w:eastAsiaTheme="majorEastAsia"/>
          <w:color w:val="000000"/>
        </w:rPr>
        <w:t xml:space="preserve"> de </w:t>
      </w:r>
      <w:proofErr w:type="spellStart"/>
      <w:r>
        <w:rPr>
          <w:rStyle w:val="Emphasis"/>
          <w:rFonts w:eastAsiaTheme="majorEastAsia"/>
          <w:color w:val="000000"/>
        </w:rPr>
        <w:t>covarianza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empírica</w:t>
      </w:r>
      <w:proofErr w:type="spellEnd"/>
      <w:r>
        <w:rPr>
          <w:rStyle w:val="Emphasis"/>
          <w:rFonts w:eastAsiaTheme="majorEastAsia"/>
          <w:color w:val="000000"/>
        </w:rPr>
        <w:t>.</w:t>
      </w:r>
    </w:p>
    <w:p w14:paraId="52914390" w14:textId="77777777" w:rsidR="008A2F3A" w:rsidRPr="00042105" w:rsidRDefault="008A2F3A" w:rsidP="0004210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</w:p>
    <w:p w14:paraId="248C4C4E" w14:textId="77777777" w:rsidR="008A2F3A" w:rsidRDefault="008A2F3A" w:rsidP="008A2F3A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 xml:space="preserve">4. Sharpe Ratio y </w:t>
      </w:r>
      <w:proofErr w:type="spellStart"/>
      <w:r>
        <w:rPr>
          <w:rStyle w:val="Strong"/>
          <w:rFonts w:eastAsiaTheme="majorEastAsia"/>
          <w:color w:val="000000"/>
        </w:rPr>
        <w:t>Portafolio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Tangente</w:t>
      </w:r>
      <w:proofErr w:type="spellEnd"/>
      <w:r>
        <w:rPr>
          <w:rStyle w:val="Strong"/>
          <w:rFonts w:eastAsiaTheme="majorEastAsia"/>
          <w:color w:val="000000"/>
        </w:rPr>
        <w:t xml:space="preserve">: Cuando </w:t>
      </w:r>
      <w:proofErr w:type="spellStart"/>
      <w:r>
        <w:rPr>
          <w:rStyle w:val="Strong"/>
          <w:rFonts w:eastAsiaTheme="majorEastAsia"/>
          <w:color w:val="000000"/>
        </w:rPr>
        <w:t>eficiencia</w:t>
      </w:r>
      <w:proofErr w:type="spellEnd"/>
      <w:r>
        <w:rPr>
          <w:rStyle w:val="Strong"/>
          <w:rFonts w:eastAsiaTheme="majorEastAsia"/>
          <w:color w:val="000000"/>
        </w:rPr>
        <w:t xml:space="preserve"> y </w:t>
      </w:r>
      <w:proofErr w:type="spellStart"/>
      <w:r>
        <w:rPr>
          <w:rStyle w:val="Strong"/>
          <w:rFonts w:eastAsiaTheme="majorEastAsia"/>
          <w:color w:val="000000"/>
        </w:rPr>
        <w:t>retorno</w:t>
      </w:r>
      <w:proofErr w:type="spellEnd"/>
      <w:r>
        <w:rPr>
          <w:rStyle w:val="Strong"/>
          <w:rFonts w:eastAsiaTheme="majorEastAsia"/>
          <w:color w:val="000000"/>
        </w:rPr>
        <w:t xml:space="preserve"> se </w:t>
      </w:r>
      <w:proofErr w:type="spellStart"/>
      <w:r>
        <w:rPr>
          <w:rStyle w:val="Strong"/>
          <w:rFonts w:eastAsiaTheme="majorEastAsia"/>
          <w:color w:val="000000"/>
        </w:rPr>
        <w:t>alinean</w:t>
      </w:r>
      <w:proofErr w:type="spellEnd"/>
    </w:p>
    <w:p w14:paraId="355808F4" w14:textId="77777777" w:rsidR="008A2F3A" w:rsidRDefault="008A2F3A" w:rsidP="008A2F3A">
      <w:pPr>
        <w:pStyle w:val="NormalWeb"/>
        <w:rPr>
          <w:color w:val="000000"/>
        </w:rPr>
      </w:pPr>
      <w:proofErr w:type="spellStart"/>
      <w:r>
        <w:rPr>
          <w:color w:val="000000"/>
        </w:rPr>
        <w:t>Identificar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portafolios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frontera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eficiente</w:t>
      </w:r>
      <w:proofErr w:type="spellEnd"/>
      <w:r>
        <w:rPr>
          <w:color w:val="000000"/>
        </w:rPr>
        <w:t xml:space="preserve"> es un gran </w:t>
      </w:r>
      <w:proofErr w:type="spellStart"/>
      <w:r>
        <w:rPr>
          <w:color w:val="000000"/>
        </w:rPr>
        <w:t>avance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pero</w:t>
      </w:r>
      <w:proofErr w:type="spellEnd"/>
      <w:r>
        <w:rPr>
          <w:color w:val="000000"/>
        </w:rPr>
        <w:t xml:space="preserve"> ¿</w:t>
      </w:r>
      <w:proofErr w:type="spellStart"/>
      <w:r>
        <w:rPr>
          <w:color w:val="000000"/>
        </w:rPr>
        <w:t>cómo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decidir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cuál</w:t>
      </w:r>
      <w:proofErr w:type="spellEnd"/>
      <w:r>
        <w:rPr>
          <w:color w:val="000000"/>
        </w:rPr>
        <w:t xml:space="preserve"> es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mejor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? </w:t>
      </w:r>
      <w:proofErr w:type="spellStart"/>
      <w:r>
        <w:rPr>
          <w:color w:val="000000"/>
        </w:rPr>
        <w:t>Aquí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juego </w:t>
      </w:r>
      <w:proofErr w:type="spellStart"/>
      <w:r>
        <w:rPr>
          <w:color w:val="000000"/>
        </w:rPr>
        <w:t>el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índice</w:t>
      </w:r>
      <w:proofErr w:type="spellEnd"/>
      <w:r>
        <w:rPr>
          <w:rStyle w:val="Strong"/>
          <w:rFonts w:eastAsiaTheme="majorEastAsia"/>
          <w:color w:val="000000"/>
        </w:rPr>
        <w:t xml:space="preserve"> de Sharpe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clásica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responde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pregunta</w:t>
      </w:r>
      <w:proofErr w:type="spellEnd"/>
      <w:r>
        <w:rPr>
          <w:color w:val="000000"/>
        </w:rPr>
        <w:t xml:space="preserve"> simple: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¿</w:t>
      </w:r>
      <w:proofErr w:type="spellStart"/>
      <w:r>
        <w:rPr>
          <w:rStyle w:val="Emphasis"/>
          <w:rFonts w:eastAsiaTheme="majorEastAsia"/>
          <w:color w:val="000000"/>
        </w:rPr>
        <w:t>cuánto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retorno</w:t>
      </w:r>
      <w:proofErr w:type="spellEnd"/>
      <w:r>
        <w:rPr>
          <w:rStyle w:val="Emphasis"/>
          <w:rFonts w:eastAsiaTheme="majorEastAsia"/>
          <w:color w:val="000000"/>
        </w:rPr>
        <w:t xml:space="preserve"> extra se </w:t>
      </w:r>
      <w:proofErr w:type="spellStart"/>
      <w:r>
        <w:rPr>
          <w:rStyle w:val="Emphasis"/>
          <w:rFonts w:eastAsiaTheme="majorEastAsia"/>
          <w:color w:val="000000"/>
        </w:rPr>
        <w:t>obtiene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por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cada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unidad</w:t>
      </w:r>
      <w:proofErr w:type="spellEnd"/>
      <w:r>
        <w:rPr>
          <w:rStyle w:val="Emphasis"/>
          <w:rFonts w:eastAsiaTheme="majorEastAsia"/>
          <w:color w:val="000000"/>
        </w:rPr>
        <w:t xml:space="preserve"> de </w:t>
      </w:r>
      <w:proofErr w:type="spellStart"/>
      <w:r>
        <w:rPr>
          <w:rStyle w:val="Emphasis"/>
          <w:rFonts w:eastAsiaTheme="majorEastAsia"/>
          <w:color w:val="000000"/>
        </w:rPr>
        <w:t>riesgo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asumido</w:t>
      </w:r>
      <w:proofErr w:type="spellEnd"/>
      <w:r>
        <w:rPr>
          <w:rStyle w:val="Emphasis"/>
          <w:rFonts w:eastAsiaTheme="majorEastAsia"/>
          <w:color w:val="000000"/>
        </w:rPr>
        <w:t>?</w:t>
      </w:r>
    </w:p>
    <w:p w14:paraId="0D5C5076" w14:textId="77777777" w:rsidR="008A2F3A" w:rsidRDefault="008A2F3A" w:rsidP="008A2F3A">
      <w:pPr>
        <w:pStyle w:val="NormalWeb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índice</w:t>
      </w:r>
      <w:proofErr w:type="spellEnd"/>
      <w:r>
        <w:rPr>
          <w:color w:val="000000"/>
        </w:rPr>
        <w:t xml:space="preserve"> se define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>:</w:t>
      </w:r>
    </w:p>
    <w:p w14:paraId="29876DD9" w14:textId="77777777" w:rsidR="008A2F3A" w:rsidRDefault="008A2F3A" w:rsidP="008A2F3A">
      <w:pPr>
        <w:pStyle w:val="NormalWeb"/>
        <w:rPr>
          <w:color w:val="000000"/>
        </w:rPr>
      </w:pPr>
      <w:r>
        <w:rPr>
          <w:color w:val="000000"/>
        </w:rPr>
        <w:t>Donde:</w:t>
      </w:r>
    </w:p>
    <w:p w14:paraId="4B8DF366" w14:textId="77777777" w:rsidR="008A2F3A" w:rsidRDefault="008A2F3A" w:rsidP="008A2F3A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es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retorno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esperado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>,</w:t>
      </w:r>
    </w:p>
    <w:p w14:paraId="1FBF7A88" w14:textId="77777777" w:rsidR="008A2F3A" w:rsidRDefault="008A2F3A" w:rsidP="008A2F3A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es la </w:t>
      </w:r>
      <w:proofErr w:type="spellStart"/>
      <w:r>
        <w:rPr>
          <w:color w:val="000000"/>
        </w:rPr>
        <w:t>tasa</w:t>
      </w:r>
      <w:proofErr w:type="spellEnd"/>
      <w:r>
        <w:rPr>
          <w:color w:val="000000"/>
        </w:rPr>
        <w:t xml:space="preserve"> libre de </w:t>
      </w:r>
      <w:proofErr w:type="spellStart"/>
      <w:r>
        <w:rPr>
          <w:color w:val="000000"/>
        </w:rPr>
        <w:t>riesgo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asumida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aquí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2% </w:t>
      </w:r>
      <w:proofErr w:type="spellStart"/>
      <w:r>
        <w:rPr>
          <w:color w:val="000000"/>
        </w:rPr>
        <w:t>anual</w:t>
      </w:r>
      <w:proofErr w:type="spellEnd"/>
      <w:r>
        <w:rPr>
          <w:color w:val="000000"/>
        </w:rPr>
        <w:t>),</w:t>
      </w:r>
    </w:p>
    <w:p w14:paraId="0FCC6B28" w14:textId="77777777" w:rsidR="008A2F3A" w:rsidRDefault="008A2F3A" w:rsidP="008A2F3A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es la </w:t>
      </w:r>
      <w:proofErr w:type="spellStart"/>
      <w:r>
        <w:rPr>
          <w:color w:val="000000"/>
        </w:rPr>
        <w:t>desviación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estándar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riesgo</w:t>
      </w:r>
      <w:proofErr w:type="spellEnd"/>
      <w:r>
        <w:rPr>
          <w:color w:val="000000"/>
        </w:rPr>
        <w:t xml:space="preserve"> total).</w:t>
      </w:r>
    </w:p>
    <w:p w14:paraId="30379667" w14:textId="77777777" w:rsidR="008A2F3A" w:rsidRDefault="008A2F3A" w:rsidP="008A2F3A">
      <w:pPr>
        <w:pStyle w:val="NormalWeb"/>
        <w:rPr>
          <w:color w:val="000000"/>
        </w:rPr>
      </w:pPr>
      <w:proofErr w:type="spellStart"/>
      <w:r>
        <w:rPr>
          <w:color w:val="000000"/>
        </w:rPr>
        <w:t>Maximizar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Sharpe Ratio equivale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encontrar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portafolio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tangente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aquel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toca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frontera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eficiente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eje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activo</w:t>
      </w:r>
      <w:proofErr w:type="spellEnd"/>
      <w:r>
        <w:rPr>
          <w:color w:val="000000"/>
        </w:rPr>
        <w:t xml:space="preserve"> libre de </w:t>
      </w:r>
      <w:proofErr w:type="spellStart"/>
      <w:r>
        <w:rPr>
          <w:color w:val="000000"/>
        </w:rPr>
        <w:t>riesgo</w:t>
      </w:r>
      <w:proofErr w:type="spellEnd"/>
      <w:r>
        <w:rPr>
          <w:color w:val="000000"/>
        </w:rPr>
        <w:t xml:space="preserve">. Este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ofrece</w:t>
      </w:r>
      <w:proofErr w:type="spellEnd"/>
      <w:r>
        <w:rPr>
          <w:color w:val="000000"/>
        </w:rPr>
        <w:t xml:space="preserve"> la mayor </w:t>
      </w:r>
      <w:proofErr w:type="spellStart"/>
      <w:r>
        <w:rPr>
          <w:color w:val="000000"/>
        </w:rPr>
        <w:t>pendiente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línea</w:t>
      </w:r>
      <w:proofErr w:type="spellEnd"/>
      <w:r>
        <w:rPr>
          <w:rStyle w:val="Strong"/>
          <w:rFonts w:eastAsiaTheme="majorEastAsia"/>
          <w:color w:val="000000"/>
        </w:rPr>
        <w:t xml:space="preserve"> del mercado de </w:t>
      </w:r>
      <w:proofErr w:type="spellStart"/>
      <w:r>
        <w:rPr>
          <w:rStyle w:val="Strong"/>
          <w:rFonts w:eastAsiaTheme="majorEastAsia"/>
          <w:color w:val="000000"/>
        </w:rPr>
        <w:t>capitales</w:t>
      </w:r>
      <w:proofErr w:type="spellEnd"/>
      <w:r>
        <w:rPr>
          <w:rStyle w:val="Strong"/>
          <w:rFonts w:eastAsiaTheme="majorEastAsia"/>
          <w:color w:val="000000"/>
        </w:rPr>
        <w:t xml:space="preserve"> (CML)</w:t>
      </w:r>
      <w:r>
        <w:rPr>
          <w:color w:val="000000"/>
        </w:rPr>
        <w:t xml:space="preserve">, es </w:t>
      </w:r>
      <w:proofErr w:type="spellStart"/>
      <w:r>
        <w:rPr>
          <w:color w:val="000000"/>
        </w:rPr>
        <w:t>decir</w:t>
      </w:r>
      <w:proofErr w:type="spellEnd"/>
      <w:r>
        <w:rPr>
          <w:color w:val="000000"/>
        </w:rPr>
        <w:t xml:space="preserve">, la </w:t>
      </w:r>
      <w:proofErr w:type="spellStart"/>
      <w:r>
        <w:rPr>
          <w:color w:val="000000"/>
        </w:rPr>
        <w:t>mejor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retorno-riesgo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dentro</w:t>
      </w:r>
      <w:proofErr w:type="spellEnd"/>
      <w:r>
        <w:rPr>
          <w:color w:val="000000"/>
        </w:rPr>
        <w:t xml:space="preserve"> del conjunto </w:t>
      </w:r>
      <w:proofErr w:type="spellStart"/>
      <w:r>
        <w:rPr>
          <w:color w:val="000000"/>
        </w:rPr>
        <w:t>factible</w:t>
      </w:r>
      <w:proofErr w:type="spellEnd"/>
      <w:r>
        <w:rPr>
          <w:color w:val="000000"/>
        </w:rPr>
        <w:t>.</w:t>
      </w:r>
    </w:p>
    <w:p w14:paraId="5F91C216" w14:textId="77777777" w:rsidR="008A2F3A" w:rsidRDefault="008A2F3A" w:rsidP="008A2F3A">
      <w:pPr>
        <w:pStyle w:val="NormalWeb"/>
        <w:rPr>
          <w:color w:val="000000"/>
        </w:rPr>
      </w:pPr>
      <w:proofErr w:type="spellStart"/>
      <w:r>
        <w:rPr>
          <w:rStyle w:val="Emphasis"/>
          <w:rFonts w:eastAsiaTheme="majorEastAsia"/>
          <w:color w:val="000000"/>
        </w:rPr>
        <w:t>Figura</w:t>
      </w:r>
      <w:proofErr w:type="spellEnd"/>
      <w:r>
        <w:rPr>
          <w:rStyle w:val="Emphasis"/>
          <w:rFonts w:eastAsiaTheme="majorEastAsia"/>
          <w:color w:val="000000"/>
        </w:rPr>
        <w:t xml:space="preserve"> 6: Línea del mercado de </w:t>
      </w:r>
      <w:proofErr w:type="spellStart"/>
      <w:r>
        <w:rPr>
          <w:rStyle w:val="Emphasis"/>
          <w:rFonts w:eastAsiaTheme="majorEastAsia"/>
          <w:color w:val="000000"/>
        </w:rPr>
        <w:t>capitales</w:t>
      </w:r>
      <w:proofErr w:type="spellEnd"/>
      <w:r>
        <w:rPr>
          <w:rStyle w:val="Emphasis"/>
          <w:rFonts w:eastAsiaTheme="majorEastAsia"/>
          <w:color w:val="000000"/>
        </w:rPr>
        <w:t xml:space="preserve"> (CML) y </w:t>
      </w:r>
      <w:proofErr w:type="spellStart"/>
      <w:r>
        <w:rPr>
          <w:rStyle w:val="Emphasis"/>
          <w:rFonts w:eastAsiaTheme="majorEastAsia"/>
          <w:color w:val="000000"/>
        </w:rPr>
        <w:t>el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portafolio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tangente</w:t>
      </w:r>
      <w:proofErr w:type="spellEnd"/>
      <w:r>
        <w:rPr>
          <w:rStyle w:val="Emphasis"/>
          <w:rFonts w:eastAsiaTheme="majorEastAsia"/>
          <w:color w:val="000000"/>
        </w:rPr>
        <w:t xml:space="preserve">, </w:t>
      </w:r>
      <w:proofErr w:type="spellStart"/>
      <w:r>
        <w:rPr>
          <w:rStyle w:val="Emphasis"/>
          <w:rFonts w:eastAsiaTheme="majorEastAsia"/>
          <w:color w:val="000000"/>
        </w:rPr>
        <w:t>marcado</w:t>
      </w:r>
      <w:proofErr w:type="spellEnd"/>
      <w:r>
        <w:rPr>
          <w:rStyle w:val="Emphasis"/>
          <w:rFonts w:eastAsiaTheme="majorEastAsia"/>
          <w:color w:val="000000"/>
        </w:rPr>
        <w:t xml:space="preserve"> con estrella </w:t>
      </w:r>
      <w:proofErr w:type="spellStart"/>
      <w:r>
        <w:rPr>
          <w:rStyle w:val="Emphasis"/>
          <w:rFonts w:eastAsiaTheme="majorEastAsia"/>
          <w:color w:val="000000"/>
        </w:rPr>
        <w:t>roja</w:t>
      </w:r>
      <w:proofErr w:type="spellEnd"/>
      <w:r>
        <w:rPr>
          <w:rStyle w:val="Emphasis"/>
          <w:rFonts w:eastAsiaTheme="majorEastAsia"/>
          <w:color w:val="000000"/>
        </w:rPr>
        <w:t xml:space="preserve">. Este punto </w:t>
      </w:r>
      <w:proofErr w:type="spellStart"/>
      <w:r>
        <w:rPr>
          <w:rStyle w:val="Emphasis"/>
          <w:rFonts w:eastAsiaTheme="majorEastAsia"/>
          <w:color w:val="000000"/>
        </w:rPr>
        <w:t>maximiza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el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índice</w:t>
      </w:r>
      <w:proofErr w:type="spellEnd"/>
      <w:r>
        <w:rPr>
          <w:rStyle w:val="Emphasis"/>
          <w:rFonts w:eastAsiaTheme="majorEastAsia"/>
          <w:color w:val="000000"/>
        </w:rPr>
        <w:t xml:space="preserve"> de Sharpe.</w:t>
      </w:r>
    </w:p>
    <w:p w14:paraId="75CFA992" w14:textId="77777777" w:rsidR="008A2F3A" w:rsidRDefault="008A2F3A" w:rsidP="008A2F3A">
      <w:pPr>
        <w:pStyle w:val="NormalWeb"/>
        <w:rPr>
          <w:color w:val="000000"/>
        </w:rPr>
      </w:pPr>
      <w:r>
        <w:rPr>
          <w:color w:val="000000"/>
        </w:rPr>
        <w:t xml:space="preserve">En la </w:t>
      </w:r>
      <w:proofErr w:type="spellStart"/>
      <w:r>
        <w:rPr>
          <w:color w:val="000000"/>
        </w:rPr>
        <w:t>visualización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completa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espacio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portafolios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Figura</w:t>
      </w:r>
      <w:proofErr w:type="spellEnd"/>
      <w:r>
        <w:rPr>
          <w:color w:val="000000"/>
        </w:rPr>
        <w:t xml:space="preserve"> 7),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aparece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estrella </w:t>
      </w:r>
      <w:proofErr w:type="spellStart"/>
      <w:r>
        <w:rPr>
          <w:color w:val="000000"/>
        </w:rPr>
        <w:t>roja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justo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 xml:space="preserve"> la CML </w:t>
      </w:r>
      <w:proofErr w:type="spellStart"/>
      <w:r>
        <w:rPr>
          <w:color w:val="000000"/>
        </w:rPr>
        <w:t>intersecta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frontera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eficiente</w:t>
      </w:r>
      <w:proofErr w:type="spellEnd"/>
      <w:r>
        <w:rPr>
          <w:color w:val="000000"/>
        </w:rPr>
        <w:t xml:space="preserve">. Esta </w:t>
      </w:r>
      <w:proofErr w:type="spellStart"/>
      <w:r>
        <w:rPr>
          <w:color w:val="000000"/>
        </w:rPr>
        <w:t>gráfica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unifica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elementos</w:t>
      </w:r>
      <w:proofErr w:type="spellEnd"/>
      <w:r>
        <w:rPr>
          <w:color w:val="000000"/>
        </w:rPr>
        <w:t xml:space="preserve"> clave: </w:t>
      </w:r>
      <w:proofErr w:type="spellStart"/>
      <w:r>
        <w:rPr>
          <w:color w:val="000000"/>
        </w:rPr>
        <w:t>simulaciones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fronteras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eficientes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Sharpe </w:t>
      </w:r>
      <w:proofErr w:type="spellStart"/>
      <w:r>
        <w:rPr>
          <w:color w:val="000000"/>
        </w:rPr>
        <w:t>máximo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Así</w:t>
      </w:r>
      <w:proofErr w:type="spellEnd"/>
      <w:r>
        <w:rPr>
          <w:color w:val="000000"/>
        </w:rPr>
        <w:t xml:space="preserve">, no solo </w:t>
      </w:r>
      <w:proofErr w:type="spellStart"/>
      <w:r>
        <w:rPr>
          <w:color w:val="000000"/>
        </w:rPr>
        <w:t>sabemos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cuál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es </w:t>
      </w:r>
      <w:proofErr w:type="spellStart"/>
      <w:r>
        <w:rPr>
          <w:color w:val="000000"/>
        </w:rPr>
        <w:t>mejor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sino</w:t>
      </w:r>
      <w:proofErr w:type="spellEnd"/>
      <w:r>
        <w:rPr>
          <w:color w:val="000000"/>
        </w:rPr>
        <w:t xml:space="preserve"> también </w:t>
      </w:r>
      <w:proofErr w:type="spellStart"/>
      <w:r>
        <w:rPr>
          <w:color w:val="000000"/>
        </w:rPr>
        <w:t>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qué</w:t>
      </w:r>
      <w:proofErr w:type="spellEnd"/>
      <w:r>
        <w:rPr>
          <w:color w:val="000000"/>
        </w:rPr>
        <w:t>.</w:t>
      </w:r>
    </w:p>
    <w:p w14:paraId="3AA92F3D" w14:textId="77777777" w:rsidR="008A2F3A" w:rsidRDefault="008A2F3A" w:rsidP="008A2F3A">
      <w:pPr>
        <w:pStyle w:val="NormalWeb"/>
        <w:rPr>
          <w:color w:val="000000"/>
        </w:rPr>
      </w:pPr>
      <w:proofErr w:type="spellStart"/>
      <w:r>
        <w:rPr>
          <w:rStyle w:val="Emphasis"/>
          <w:rFonts w:eastAsiaTheme="majorEastAsia"/>
          <w:color w:val="000000"/>
        </w:rPr>
        <w:t>Figura</w:t>
      </w:r>
      <w:proofErr w:type="spellEnd"/>
      <w:r>
        <w:rPr>
          <w:rStyle w:val="Emphasis"/>
          <w:rFonts w:eastAsiaTheme="majorEastAsia"/>
          <w:color w:val="000000"/>
        </w:rPr>
        <w:t xml:space="preserve"> 7: Nube de </w:t>
      </w:r>
      <w:proofErr w:type="spellStart"/>
      <w:r>
        <w:rPr>
          <w:rStyle w:val="Emphasis"/>
          <w:rFonts w:eastAsiaTheme="majorEastAsia"/>
          <w:color w:val="000000"/>
        </w:rPr>
        <w:t>portafolios</w:t>
      </w:r>
      <w:proofErr w:type="spellEnd"/>
      <w:r>
        <w:rPr>
          <w:rStyle w:val="Emphasis"/>
          <w:rFonts w:eastAsiaTheme="majorEastAsia"/>
          <w:color w:val="000000"/>
        </w:rPr>
        <w:t xml:space="preserve"> con </w:t>
      </w:r>
      <w:proofErr w:type="spellStart"/>
      <w:r>
        <w:rPr>
          <w:rStyle w:val="Emphasis"/>
          <w:rFonts w:eastAsiaTheme="majorEastAsia"/>
          <w:color w:val="000000"/>
        </w:rPr>
        <w:t>fronteras</w:t>
      </w:r>
      <w:proofErr w:type="spellEnd"/>
      <w:r>
        <w:rPr>
          <w:rStyle w:val="Emphasis"/>
          <w:rFonts w:eastAsiaTheme="majorEastAsia"/>
          <w:color w:val="000000"/>
        </w:rPr>
        <w:t xml:space="preserve"> (</w:t>
      </w:r>
      <w:proofErr w:type="spellStart"/>
      <w:r>
        <w:rPr>
          <w:rStyle w:val="Emphasis"/>
          <w:rFonts w:eastAsiaTheme="majorEastAsia"/>
          <w:color w:val="000000"/>
        </w:rPr>
        <w:t>azul</w:t>
      </w:r>
      <w:proofErr w:type="spellEnd"/>
      <w:r>
        <w:rPr>
          <w:rStyle w:val="Emphasis"/>
          <w:rFonts w:eastAsiaTheme="majorEastAsia"/>
          <w:color w:val="000000"/>
        </w:rPr>
        <w:t xml:space="preserve"> y </w:t>
      </w:r>
      <w:proofErr w:type="spellStart"/>
      <w:r>
        <w:rPr>
          <w:rStyle w:val="Emphasis"/>
          <w:rFonts w:eastAsiaTheme="majorEastAsia"/>
          <w:color w:val="000000"/>
        </w:rPr>
        <w:t>naranja</w:t>
      </w:r>
      <w:proofErr w:type="spellEnd"/>
      <w:r>
        <w:rPr>
          <w:rStyle w:val="Emphasis"/>
          <w:rFonts w:eastAsiaTheme="majorEastAsia"/>
          <w:color w:val="000000"/>
        </w:rPr>
        <w:t xml:space="preserve">), </w:t>
      </w:r>
      <w:proofErr w:type="spellStart"/>
      <w:r>
        <w:rPr>
          <w:rStyle w:val="Emphasis"/>
          <w:rFonts w:eastAsiaTheme="majorEastAsia"/>
          <w:color w:val="000000"/>
        </w:rPr>
        <w:t>línea</w:t>
      </w:r>
      <w:proofErr w:type="spellEnd"/>
      <w:r>
        <w:rPr>
          <w:rStyle w:val="Emphasis"/>
          <w:rFonts w:eastAsiaTheme="majorEastAsia"/>
          <w:color w:val="000000"/>
        </w:rPr>
        <w:t xml:space="preserve"> de mercado de </w:t>
      </w:r>
      <w:proofErr w:type="spellStart"/>
      <w:r>
        <w:rPr>
          <w:rStyle w:val="Emphasis"/>
          <w:rFonts w:eastAsiaTheme="majorEastAsia"/>
          <w:color w:val="000000"/>
        </w:rPr>
        <w:t>capitales</w:t>
      </w:r>
      <w:proofErr w:type="spellEnd"/>
      <w:r>
        <w:rPr>
          <w:rStyle w:val="Emphasis"/>
          <w:rFonts w:eastAsiaTheme="majorEastAsia"/>
          <w:color w:val="000000"/>
        </w:rPr>
        <w:t xml:space="preserve"> (</w:t>
      </w:r>
      <w:proofErr w:type="spellStart"/>
      <w:r>
        <w:rPr>
          <w:rStyle w:val="Emphasis"/>
          <w:rFonts w:eastAsiaTheme="majorEastAsia"/>
          <w:color w:val="000000"/>
        </w:rPr>
        <w:t>verde</w:t>
      </w:r>
      <w:proofErr w:type="spellEnd"/>
      <w:r>
        <w:rPr>
          <w:rStyle w:val="Emphasis"/>
          <w:rFonts w:eastAsiaTheme="majorEastAsia"/>
          <w:color w:val="000000"/>
        </w:rPr>
        <w:t xml:space="preserve">) y </w:t>
      </w:r>
      <w:proofErr w:type="spellStart"/>
      <w:r>
        <w:rPr>
          <w:rStyle w:val="Emphasis"/>
          <w:rFonts w:eastAsiaTheme="majorEastAsia"/>
          <w:color w:val="000000"/>
        </w:rPr>
        <w:t>portafolio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tangente</w:t>
      </w:r>
      <w:proofErr w:type="spellEnd"/>
      <w:r>
        <w:rPr>
          <w:rStyle w:val="Emphasis"/>
          <w:rFonts w:eastAsiaTheme="majorEastAsia"/>
          <w:color w:val="000000"/>
        </w:rPr>
        <w:t xml:space="preserve"> (estrella </w:t>
      </w:r>
      <w:proofErr w:type="spellStart"/>
      <w:r>
        <w:rPr>
          <w:rStyle w:val="Emphasis"/>
          <w:rFonts w:eastAsiaTheme="majorEastAsia"/>
          <w:color w:val="000000"/>
        </w:rPr>
        <w:t>roja</w:t>
      </w:r>
      <w:proofErr w:type="spellEnd"/>
      <w:r>
        <w:rPr>
          <w:rStyle w:val="Emphasis"/>
          <w:rFonts w:eastAsiaTheme="majorEastAsia"/>
          <w:color w:val="000000"/>
        </w:rPr>
        <w:t>).</w:t>
      </w:r>
    </w:p>
    <w:p w14:paraId="078611E7" w14:textId="77777777" w:rsidR="008A2F3A" w:rsidRDefault="008A2F3A" w:rsidP="008A2F3A">
      <w:pPr>
        <w:pStyle w:val="NormalWeb"/>
        <w:rPr>
          <w:color w:val="000000"/>
        </w:rPr>
      </w:pPr>
      <w:r>
        <w:rPr>
          <w:color w:val="000000"/>
        </w:rPr>
        <w:t xml:space="preserve">Este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sirve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objetiva</w:t>
      </w:r>
      <w:proofErr w:type="spellEnd"/>
      <w:r>
        <w:rPr>
          <w:color w:val="000000"/>
        </w:rPr>
        <w:t xml:space="preserve"> y punto de </w:t>
      </w:r>
      <w:proofErr w:type="spellStart"/>
      <w:r>
        <w:rPr>
          <w:color w:val="000000"/>
        </w:rPr>
        <w:t>partida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racional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cualquier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estrategia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Aunque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modelamos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preferencias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ejemplo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mediante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funciones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utilidad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representa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equilibrio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óptimo</w:t>
      </w:r>
      <w:proofErr w:type="spellEnd"/>
      <w:r>
        <w:rPr>
          <w:color w:val="000000"/>
        </w:rPr>
        <w:t xml:space="preserve"> entre </w:t>
      </w:r>
      <w:proofErr w:type="spellStart"/>
      <w:r>
        <w:rPr>
          <w:color w:val="000000"/>
        </w:rPr>
        <w:t>riesgo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retorno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perspectiva</w:t>
      </w:r>
      <w:proofErr w:type="spellEnd"/>
      <w:r>
        <w:rPr>
          <w:color w:val="000000"/>
        </w:rPr>
        <w:t xml:space="preserve"> universal.</w:t>
      </w:r>
    </w:p>
    <w:p w14:paraId="3D697D1F" w14:textId="77777777" w:rsidR="008A2F3A" w:rsidRDefault="008A2F3A" w:rsidP="008A2F3A">
      <w:pPr>
        <w:pStyle w:val="NormalWeb"/>
        <w:rPr>
          <w:color w:val="000000"/>
        </w:rPr>
      </w:pPr>
      <w:r>
        <w:rPr>
          <w:color w:val="000000"/>
        </w:rPr>
        <w:t xml:space="preserve">Es </w:t>
      </w:r>
      <w:proofErr w:type="spellStart"/>
      <w:r>
        <w:rPr>
          <w:color w:val="000000"/>
        </w:rPr>
        <w:t>importante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destacar</w:t>
      </w:r>
      <w:proofErr w:type="spellEnd"/>
      <w:r>
        <w:rPr>
          <w:color w:val="000000"/>
        </w:rPr>
        <w:t xml:space="preserve"> que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 xml:space="preserve">no </w:t>
      </w:r>
      <w:proofErr w:type="spellStart"/>
      <w:r>
        <w:rPr>
          <w:rStyle w:val="Strong"/>
          <w:rFonts w:eastAsiaTheme="majorEastAsia"/>
          <w:color w:val="000000"/>
        </w:rPr>
        <w:t>generamos</w:t>
      </w:r>
      <w:proofErr w:type="spellEnd"/>
      <w:r>
        <w:rPr>
          <w:rStyle w:val="Strong"/>
          <w:rFonts w:eastAsiaTheme="majorEastAsia"/>
          <w:color w:val="000000"/>
        </w:rPr>
        <w:t xml:space="preserve"> un </w:t>
      </w:r>
      <w:proofErr w:type="spellStart"/>
      <w:r>
        <w:rPr>
          <w:rStyle w:val="Strong"/>
          <w:rFonts w:eastAsiaTheme="majorEastAsia"/>
          <w:color w:val="000000"/>
        </w:rPr>
        <w:t>portafolio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completo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óptimo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color w:val="000000"/>
        </w:rPr>
        <w:t>ajustado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perfil</w:t>
      </w:r>
      <w:proofErr w:type="spellEnd"/>
      <w:r>
        <w:rPr>
          <w:color w:val="000000"/>
        </w:rPr>
        <w:t xml:space="preserve"> de un </w:t>
      </w:r>
      <w:proofErr w:type="spellStart"/>
      <w:r>
        <w:rPr>
          <w:color w:val="000000"/>
        </w:rPr>
        <w:t>inversor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específico</w:t>
      </w:r>
      <w:proofErr w:type="spellEnd"/>
      <w:r>
        <w:rPr>
          <w:color w:val="000000"/>
        </w:rPr>
        <w:t xml:space="preserve">. La </w:t>
      </w:r>
      <w:proofErr w:type="spellStart"/>
      <w:r>
        <w:rPr>
          <w:color w:val="000000"/>
        </w:rPr>
        <w:t>razón</w:t>
      </w:r>
      <w:proofErr w:type="spellEnd"/>
      <w:r>
        <w:rPr>
          <w:color w:val="000000"/>
        </w:rPr>
        <w:t xml:space="preserve"> es </w:t>
      </w:r>
      <w:proofErr w:type="spellStart"/>
      <w:r>
        <w:rPr>
          <w:color w:val="000000"/>
        </w:rPr>
        <w:t>sencilla</w:t>
      </w:r>
      <w:proofErr w:type="spellEnd"/>
      <w:r>
        <w:rPr>
          <w:color w:val="000000"/>
        </w:rPr>
        <w:t xml:space="preserve">: la </w:t>
      </w:r>
      <w:proofErr w:type="spellStart"/>
      <w:r>
        <w:rPr>
          <w:color w:val="000000"/>
        </w:rPr>
        <w:t>composición</w:t>
      </w:r>
      <w:proofErr w:type="spellEnd"/>
      <w:r>
        <w:rPr>
          <w:color w:val="000000"/>
        </w:rPr>
        <w:t xml:space="preserve"> ideal </w:t>
      </w:r>
      <w:proofErr w:type="spellStart"/>
      <w:r>
        <w:rPr>
          <w:color w:val="000000"/>
        </w:rPr>
        <w:t>depende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nivel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aversión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riesgo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variable </w:t>
      </w:r>
      <w:proofErr w:type="spellStart"/>
      <w:r>
        <w:rPr>
          <w:color w:val="000000"/>
        </w:rPr>
        <w:t>subjetiva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altamente</w:t>
      </w:r>
      <w:proofErr w:type="spellEnd"/>
      <w:r>
        <w:rPr>
          <w:color w:val="000000"/>
        </w:rPr>
        <w:t xml:space="preserve"> personal. En </w:t>
      </w:r>
      <w:proofErr w:type="spellStart"/>
      <w:r>
        <w:rPr>
          <w:color w:val="000000"/>
        </w:rPr>
        <w:t>lugar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ello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enfocamos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ofrecer</w:t>
      </w:r>
      <w:proofErr w:type="spellEnd"/>
      <w:r>
        <w:rPr>
          <w:color w:val="000000"/>
        </w:rPr>
        <w:t xml:space="preserve"> un benchmark </w:t>
      </w:r>
      <w:proofErr w:type="spellStart"/>
      <w:r>
        <w:rPr>
          <w:color w:val="000000"/>
        </w:rPr>
        <w:t>eficiente</w:t>
      </w:r>
      <w:proofErr w:type="spellEnd"/>
      <w:r>
        <w:rPr>
          <w:color w:val="000000"/>
        </w:rPr>
        <w:t xml:space="preserve"> —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tangente</w:t>
      </w:r>
      <w:proofErr w:type="spellEnd"/>
      <w:r>
        <w:rPr>
          <w:color w:val="000000"/>
        </w:rPr>
        <w:t xml:space="preserve">— </w:t>
      </w:r>
      <w:proofErr w:type="spellStart"/>
      <w:r>
        <w:rPr>
          <w:color w:val="000000"/>
        </w:rPr>
        <w:t>sobre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cual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pueden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construir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decisiones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individualizadas</w:t>
      </w:r>
      <w:proofErr w:type="spellEnd"/>
      <w:r>
        <w:rPr>
          <w:color w:val="000000"/>
        </w:rPr>
        <w:t>.</w:t>
      </w:r>
    </w:p>
    <w:p w14:paraId="48745986" w14:textId="77777777" w:rsidR="00042105" w:rsidRPr="00042105" w:rsidRDefault="009729C7" w:rsidP="0004210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9729C7">
        <w:rPr>
          <w:rFonts w:ascii="Times New Roman" w:eastAsia="Times New Roman" w:hAnsi="Times New Roman" w:cs="Times New Roman"/>
          <w:noProof/>
          <w:color w:val="000000"/>
          <w:kern w:val="0"/>
          <w:lang w:val="en-US"/>
        </w:rPr>
        <w:pict w14:anchorId="0A527CC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5C5EEA2" w14:textId="77777777" w:rsidR="006B214A" w:rsidRDefault="006B214A" w:rsidP="006B214A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5. CAPM Regression: </w:t>
      </w:r>
      <w:proofErr w:type="spellStart"/>
      <w:r>
        <w:rPr>
          <w:rStyle w:val="Strong"/>
          <w:rFonts w:eastAsiaTheme="majorEastAsia"/>
          <w:color w:val="000000"/>
        </w:rPr>
        <w:t>Desenmascarando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el</w:t>
      </w:r>
      <w:proofErr w:type="spellEnd"/>
      <w:r>
        <w:rPr>
          <w:rStyle w:val="Strong"/>
          <w:rFonts w:eastAsiaTheme="majorEastAsia"/>
          <w:color w:val="000000"/>
        </w:rPr>
        <w:t xml:space="preserve"> ADN del </w:t>
      </w:r>
      <w:proofErr w:type="spellStart"/>
      <w:r>
        <w:rPr>
          <w:rStyle w:val="Strong"/>
          <w:rFonts w:eastAsiaTheme="majorEastAsia"/>
          <w:color w:val="000000"/>
        </w:rPr>
        <w:t>rendimiento</w:t>
      </w:r>
      <w:proofErr w:type="spellEnd"/>
    </w:p>
    <w:p w14:paraId="356071C0" w14:textId="77777777" w:rsidR="006B214A" w:rsidRDefault="006B214A" w:rsidP="006B214A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Una </w:t>
      </w:r>
      <w:proofErr w:type="spellStart"/>
      <w:r>
        <w:rPr>
          <w:color w:val="000000"/>
        </w:rPr>
        <w:t>vez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definido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 xml:space="preserve"> paso natural es </w:t>
      </w:r>
      <w:proofErr w:type="spellStart"/>
      <w:r>
        <w:rPr>
          <w:color w:val="000000"/>
        </w:rPr>
        <w:t>preguntarnos</w:t>
      </w:r>
      <w:proofErr w:type="spellEnd"/>
      <w:r>
        <w:rPr>
          <w:color w:val="000000"/>
        </w:rPr>
        <w:t xml:space="preserve">: ¿de </w:t>
      </w:r>
      <w:proofErr w:type="spellStart"/>
      <w:r>
        <w:rPr>
          <w:color w:val="000000"/>
        </w:rPr>
        <w:t>dónde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rendimiento</w:t>
      </w:r>
      <w:proofErr w:type="spellEnd"/>
      <w:r>
        <w:rPr>
          <w:color w:val="000000"/>
        </w:rPr>
        <w:t xml:space="preserve">? ¿Es </w:t>
      </w:r>
      <w:proofErr w:type="spellStart"/>
      <w:r>
        <w:rPr>
          <w:color w:val="000000"/>
        </w:rPr>
        <w:t>simplemente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reflejo</w:t>
      </w:r>
      <w:proofErr w:type="spellEnd"/>
      <w:r>
        <w:rPr>
          <w:color w:val="000000"/>
        </w:rPr>
        <w:t xml:space="preserve"> del mercado o hay valor </w:t>
      </w:r>
      <w:proofErr w:type="spellStart"/>
      <w:r>
        <w:rPr>
          <w:color w:val="000000"/>
        </w:rPr>
        <w:t>añadido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proviene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estrategia</w:t>
      </w:r>
      <w:proofErr w:type="spellEnd"/>
      <w:r>
        <w:rPr>
          <w:color w:val="000000"/>
        </w:rPr>
        <w:t xml:space="preserve">? Para responder </w:t>
      </w:r>
      <w:proofErr w:type="spellStart"/>
      <w:r>
        <w:rPr>
          <w:color w:val="000000"/>
        </w:rPr>
        <w:t>estas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preguntas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precisión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recurrimos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marco</w:t>
      </w:r>
      <w:proofErr w:type="spellEnd"/>
      <w:r>
        <w:rPr>
          <w:color w:val="000000"/>
        </w:rPr>
        <w:t xml:space="preserve"> del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CAPM (Capital Asset Pricing Model)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herramienta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clásica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poderosa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descomponer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rentabilidad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sus </w:t>
      </w:r>
      <w:proofErr w:type="spellStart"/>
      <w:r>
        <w:rPr>
          <w:color w:val="000000"/>
        </w:rPr>
        <w:t>componentes</w:t>
      </w:r>
      <w:proofErr w:type="spellEnd"/>
      <w:r>
        <w:rPr>
          <w:color w:val="000000"/>
        </w:rPr>
        <w:t xml:space="preserve"> clave.</w:t>
      </w:r>
    </w:p>
    <w:p w14:paraId="4FF8B5BB" w14:textId="77777777" w:rsidR="006B214A" w:rsidRDefault="006B214A" w:rsidP="006B214A">
      <w:pPr>
        <w:pStyle w:val="NormalWeb"/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estructura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modelo</w:t>
      </w:r>
      <w:proofErr w:type="spellEnd"/>
      <w:r>
        <w:rPr>
          <w:color w:val="000000"/>
        </w:rPr>
        <w:t xml:space="preserve"> CAPM es:</w:t>
      </w:r>
    </w:p>
    <w:p w14:paraId="13609EC1" w14:textId="77777777" w:rsidR="006B214A" w:rsidRDefault="006B214A" w:rsidP="006B214A">
      <w:pPr>
        <w:pStyle w:val="NormalWeb"/>
        <w:rPr>
          <w:color w:val="000000"/>
        </w:rPr>
      </w:pPr>
      <w:r>
        <w:rPr>
          <w:color w:val="000000"/>
        </w:rPr>
        <w:t>Donde:</w:t>
      </w:r>
    </w:p>
    <w:p w14:paraId="7CB70117" w14:textId="77777777" w:rsidR="006B214A" w:rsidRDefault="006B214A" w:rsidP="006B214A">
      <w:pPr>
        <w:pStyle w:val="NormalWeb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: </w:t>
      </w:r>
      <w:proofErr w:type="spellStart"/>
      <w:r>
        <w:rPr>
          <w:color w:val="000000"/>
        </w:rPr>
        <w:t>rendimiento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portafolio</w:t>
      </w:r>
      <w:proofErr w:type="spellEnd"/>
    </w:p>
    <w:p w14:paraId="13B1CB4A" w14:textId="77777777" w:rsidR="006B214A" w:rsidRDefault="006B214A" w:rsidP="006B214A">
      <w:pPr>
        <w:pStyle w:val="NormalWeb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: </w:t>
      </w:r>
      <w:proofErr w:type="spellStart"/>
      <w:r>
        <w:rPr>
          <w:color w:val="000000"/>
        </w:rPr>
        <w:t>rendimiento</w:t>
      </w:r>
      <w:proofErr w:type="spellEnd"/>
      <w:r>
        <w:rPr>
          <w:color w:val="000000"/>
        </w:rPr>
        <w:t xml:space="preserve"> del mercado</w:t>
      </w:r>
    </w:p>
    <w:p w14:paraId="26D099FF" w14:textId="77777777" w:rsidR="006B214A" w:rsidRDefault="006B214A" w:rsidP="006B214A">
      <w:pPr>
        <w:pStyle w:val="NormalWeb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: </w:t>
      </w:r>
      <w:proofErr w:type="spellStart"/>
      <w:r>
        <w:rPr>
          <w:color w:val="000000"/>
        </w:rPr>
        <w:t>rendimiento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independiente</w:t>
      </w:r>
      <w:proofErr w:type="spellEnd"/>
      <w:r>
        <w:rPr>
          <w:color w:val="000000"/>
        </w:rPr>
        <w:t xml:space="preserve"> del mercado (valor </w:t>
      </w:r>
      <w:proofErr w:type="spellStart"/>
      <w:r>
        <w:rPr>
          <w:color w:val="000000"/>
        </w:rPr>
        <w:t>añadido</w:t>
      </w:r>
      <w:proofErr w:type="spellEnd"/>
      <w:r>
        <w:rPr>
          <w:color w:val="000000"/>
        </w:rPr>
        <w:t>)</w:t>
      </w:r>
    </w:p>
    <w:p w14:paraId="2BB08363" w14:textId="77777777" w:rsidR="006B214A" w:rsidRDefault="006B214A" w:rsidP="006B214A">
      <w:pPr>
        <w:pStyle w:val="NormalWeb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: </w:t>
      </w:r>
      <w:proofErr w:type="spellStart"/>
      <w:r>
        <w:rPr>
          <w:color w:val="000000"/>
        </w:rPr>
        <w:t>sensibilidad</w:t>
      </w:r>
      <w:proofErr w:type="spellEnd"/>
      <w:r>
        <w:rPr>
          <w:color w:val="000000"/>
        </w:rPr>
        <w:t xml:space="preserve"> al mercado (</w:t>
      </w:r>
      <w:proofErr w:type="spellStart"/>
      <w:r>
        <w:rPr>
          <w:color w:val="000000"/>
        </w:rPr>
        <w:t>exposición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sistemática</w:t>
      </w:r>
      <w:proofErr w:type="spellEnd"/>
      <w:r>
        <w:rPr>
          <w:color w:val="000000"/>
        </w:rPr>
        <w:t>)</w:t>
      </w:r>
    </w:p>
    <w:p w14:paraId="2DAD25D6" w14:textId="77777777" w:rsidR="006B214A" w:rsidRDefault="006B214A" w:rsidP="006B214A">
      <w:pPr>
        <w:pStyle w:val="NormalWeb"/>
        <w:rPr>
          <w:color w:val="000000"/>
        </w:rPr>
      </w:pPr>
      <w:r>
        <w:rPr>
          <w:color w:val="000000"/>
        </w:rPr>
        <w:t xml:space="preserve">Para </w:t>
      </w:r>
      <w:proofErr w:type="spellStart"/>
      <w:r>
        <w:rPr>
          <w:color w:val="000000"/>
        </w:rPr>
        <w:t>estimarlo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ejecutamos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regresión</w:t>
      </w:r>
      <w:proofErr w:type="spellEnd"/>
      <w:r>
        <w:rPr>
          <w:color w:val="000000"/>
        </w:rPr>
        <w:t xml:space="preserve"> OLS entre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retornos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diarios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y del S&amp;P 500. Los </w:t>
      </w:r>
      <w:proofErr w:type="spellStart"/>
      <w:r>
        <w:rPr>
          <w:color w:val="000000"/>
        </w:rPr>
        <w:t>resultados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fueron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concluyentes</w:t>
      </w:r>
      <w:proofErr w:type="spellEnd"/>
      <w:r>
        <w:rPr>
          <w:color w:val="000000"/>
        </w:rPr>
        <w:t>:</w:t>
      </w:r>
    </w:p>
    <w:p w14:paraId="66915769" w14:textId="77777777" w:rsidR="006B214A" w:rsidRDefault="006B214A" w:rsidP="006B214A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: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del 54% de la </w:t>
      </w:r>
      <w:proofErr w:type="spellStart"/>
      <w:r>
        <w:rPr>
          <w:color w:val="000000"/>
        </w:rPr>
        <w:t>varianza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es </w:t>
      </w:r>
      <w:proofErr w:type="spellStart"/>
      <w:r>
        <w:rPr>
          <w:color w:val="000000"/>
        </w:rPr>
        <w:t>explicada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mercado.</w:t>
      </w:r>
    </w:p>
    <w:p w14:paraId="70D33AB9" w14:textId="77777777" w:rsidR="006B214A" w:rsidRDefault="006B214A" w:rsidP="006B214A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: </w:t>
      </w:r>
      <w:proofErr w:type="spellStart"/>
      <w:r>
        <w:rPr>
          <w:color w:val="000000"/>
        </w:rPr>
        <w:t>exposición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moderada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oscilaciones</w:t>
      </w:r>
      <w:proofErr w:type="spellEnd"/>
      <w:r>
        <w:rPr>
          <w:color w:val="000000"/>
        </w:rPr>
        <w:t xml:space="preserve"> del benchmark.</w:t>
      </w:r>
    </w:p>
    <w:p w14:paraId="7280B467" w14:textId="77777777" w:rsidR="006B214A" w:rsidRDefault="006B214A" w:rsidP="006B214A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: </w:t>
      </w:r>
      <w:proofErr w:type="spellStart"/>
      <w:r>
        <w:rPr>
          <w:color w:val="000000"/>
        </w:rPr>
        <w:t>evidencia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rendimiento</w:t>
      </w:r>
      <w:proofErr w:type="spellEnd"/>
      <w:r>
        <w:rPr>
          <w:color w:val="000000"/>
        </w:rPr>
        <w:t xml:space="preserve"> superior al </w:t>
      </w:r>
      <w:proofErr w:type="spellStart"/>
      <w:r>
        <w:rPr>
          <w:color w:val="000000"/>
        </w:rPr>
        <w:t>esperado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riesgo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sistemático</w:t>
      </w:r>
      <w:proofErr w:type="spellEnd"/>
      <w:r>
        <w:rPr>
          <w:color w:val="000000"/>
        </w:rPr>
        <w:t>.</w:t>
      </w:r>
    </w:p>
    <w:p w14:paraId="4E95D485" w14:textId="77777777" w:rsidR="006B214A" w:rsidRDefault="006B214A" w:rsidP="006B214A">
      <w:pPr>
        <w:pStyle w:val="NormalWeb"/>
        <w:rPr>
          <w:color w:val="000000"/>
        </w:rPr>
      </w:pPr>
      <w:proofErr w:type="spellStart"/>
      <w:r>
        <w:rPr>
          <w:rStyle w:val="Emphasis"/>
          <w:rFonts w:eastAsiaTheme="majorEastAsia"/>
          <w:color w:val="000000"/>
        </w:rPr>
        <w:t>Figura</w:t>
      </w:r>
      <w:proofErr w:type="spellEnd"/>
      <w:r>
        <w:rPr>
          <w:rStyle w:val="Emphasis"/>
          <w:rFonts w:eastAsiaTheme="majorEastAsia"/>
          <w:color w:val="000000"/>
        </w:rPr>
        <w:t xml:space="preserve"> 8: </w:t>
      </w:r>
      <w:proofErr w:type="spellStart"/>
      <w:r>
        <w:rPr>
          <w:rStyle w:val="Emphasis"/>
          <w:rFonts w:eastAsiaTheme="majorEastAsia"/>
          <w:color w:val="000000"/>
        </w:rPr>
        <w:t>Relación</w:t>
      </w:r>
      <w:proofErr w:type="spellEnd"/>
      <w:r>
        <w:rPr>
          <w:rStyle w:val="Emphasis"/>
          <w:rFonts w:eastAsiaTheme="majorEastAsia"/>
          <w:color w:val="000000"/>
        </w:rPr>
        <w:t xml:space="preserve"> lineal entre </w:t>
      </w:r>
      <w:proofErr w:type="spellStart"/>
      <w:r>
        <w:rPr>
          <w:rStyle w:val="Emphasis"/>
          <w:rFonts w:eastAsiaTheme="majorEastAsia"/>
          <w:color w:val="000000"/>
        </w:rPr>
        <w:t>el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portafolio</w:t>
      </w:r>
      <w:proofErr w:type="spellEnd"/>
      <w:r>
        <w:rPr>
          <w:rStyle w:val="Emphasis"/>
          <w:rFonts w:eastAsiaTheme="majorEastAsia"/>
          <w:color w:val="000000"/>
        </w:rPr>
        <w:t xml:space="preserve"> y </w:t>
      </w:r>
      <w:proofErr w:type="spellStart"/>
      <w:r>
        <w:rPr>
          <w:rStyle w:val="Emphasis"/>
          <w:rFonts w:eastAsiaTheme="majorEastAsia"/>
          <w:color w:val="000000"/>
        </w:rPr>
        <w:t>el</w:t>
      </w:r>
      <w:proofErr w:type="spellEnd"/>
      <w:r>
        <w:rPr>
          <w:rStyle w:val="Emphasis"/>
          <w:rFonts w:eastAsiaTheme="majorEastAsia"/>
          <w:color w:val="000000"/>
        </w:rPr>
        <w:t xml:space="preserve"> mercado </w:t>
      </w:r>
      <w:proofErr w:type="spellStart"/>
      <w:r>
        <w:rPr>
          <w:rStyle w:val="Emphasis"/>
          <w:rFonts w:eastAsiaTheme="majorEastAsia"/>
          <w:color w:val="000000"/>
        </w:rPr>
        <w:t>según</w:t>
      </w:r>
      <w:proofErr w:type="spellEnd"/>
      <w:r>
        <w:rPr>
          <w:rStyle w:val="Emphasis"/>
          <w:rFonts w:eastAsiaTheme="majorEastAsia"/>
          <w:color w:val="000000"/>
        </w:rPr>
        <w:t xml:space="preserve"> CAPM </w:t>
      </w:r>
      <w:proofErr w:type="spellStart"/>
      <w:r>
        <w:rPr>
          <w:rStyle w:val="Emphasis"/>
          <w:rFonts w:eastAsiaTheme="majorEastAsia"/>
          <w:color w:val="000000"/>
        </w:rPr>
        <w:t>estimado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por</w:t>
      </w:r>
      <w:proofErr w:type="spellEnd"/>
      <w:r>
        <w:rPr>
          <w:rStyle w:val="Emphasis"/>
          <w:rFonts w:eastAsiaTheme="majorEastAsia"/>
          <w:color w:val="000000"/>
        </w:rPr>
        <w:t xml:space="preserve"> OLS.</w:t>
      </w:r>
    </w:p>
    <w:p w14:paraId="6506CAF4" w14:textId="77777777" w:rsidR="006B214A" w:rsidRDefault="006B214A" w:rsidP="006B214A">
      <w:pPr>
        <w:pStyle w:val="NormalWeb"/>
        <w:rPr>
          <w:color w:val="000000"/>
        </w:rPr>
      </w:pPr>
      <w:r>
        <w:rPr>
          <w:color w:val="000000"/>
        </w:rPr>
        <w:t xml:space="preserve">Para </w:t>
      </w:r>
      <w:proofErr w:type="spellStart"/>
      <w:r>
        <w:rPr>
          <w:color w:val="000000"/>
        </w:rPr>
        <w:t>reforzar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confiabilidad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análisis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repetimos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estimación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mediante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regresión</w:t>
      </w:r>
      <w:proofErr w:type="spellEnd"/>
      <w:r>
        <w:rPr>
          <w:color w:val="000000"/>
        </w:rPr>
        <w:t xml:space="preserve"> robusta (RLM), </w:t>
      </w:r>
      <w:proofErr w:type="spellStart"/>
      <w:r>
        <w:rPr>
          <w:color w:val="000000"/>
        </w:rPr>
        <w:t>capaz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amortiguar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impacto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valores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extremos</w:t>
      </w:r>
      <w:proofErr w:type="spellEnd"/>
      <w:r>
        <w:rPr>
          <w:color w:val="000000"/>
        </w:rPr>
        <w:t xml:space="preserve">. El </w:t>
      </w:r>
      <w:proofErr w:type="spellStart"/>
      <w:r>
        <w:rPr>
          <w:color w:val="000000"/>
        </w:rPr>
        <w:t>resultado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consistente</w:t>
      </w:r>
      <w:proofErr w:type="spellEnd"/>
      <w:r>
        <w:rPr>
          <w:color w:val="000000"/>
        </w:rPr>
        <w:t xml:space="preserve">: la </w:t>
      </w:r>
      <w:proofErr w:type="spellStart"/>
      <w:r>
        <w:rPr>
          <w:color w:val="000000"/>
        </w:rPr>
        <w:t>pendiente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mantuvo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prácticamente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inalterada</w:t>
      </w:r>
      <w:proofErr w:type="spellEnd"/>
      <w:r>
        <w:rPr>
          <w:color w:val="000000"/>
        </w:rPr>
        <w:t xml:space="preserve">, lo </w:t>
      </w:r>
      <w:proofErr w:type="spellStart"/>
      <w:r>
        <w:rPr>
          <w:color w:val="000000"/>
        </w:rPr>
        <w:t>cual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estabilidad</w:t>
      </w:r>
      <w:proofErr w:type="spellEnd"/>
      <w:r>
        <w:rPr>
          <w:color w:val="000000"/>
        </w:rPr>
        <w:t xml:space="preserve"> de la beta </w:t>
      </w:r>
      <w:proofErr w:type="spellStart"/>
      <w:r>
        <w:rPr>
          <w:color w:val="000000"/>
        </w:rPr>
        <w:t>estimada</w:t>
      </w:r>
      <w:proofErr w:type="spellEnd"/>
      <w:r>
        <w:rPr>
          <w:color w:val="000000"/>
        </w:rPr>
        <w:t>.</w:t>
      </w:r>
    </w:p>
    <w:p w14:paraId="50A4EE46" w14:textId="77777777" w:rsidR="006B214A" w:rsidRDefault="006B214A" w:rsidP="006B214A">
      <w:pPr>
        <w:pStyle w:val="NormalWeb"/>
        <w:rPr>
          <w:color w:val="000000"/>
        </w:rPr>
      </w:pPr>
      <w:proofErr w:type="spellStart"/>
      <w:r>
        <w:rPr>
          <w:rStyle w:val="Emphasis"/>
          <w:rFonts w:eastAsiaTheme="majorEastAsia"/>
          <w:color w:val="000000"/>
        </w:rPr>
        <w:t>Figura</w:t>
      </w:r>
      <w:proofErr w:type="spellEnd"/>
      <w:r>
        <w:rPr>
          <w:rStyle w:val="Emphasis"/>
          <w:rFonts w:eastAsiaTheme="majorEastAsia"/>
          <w:color w:val="000000"/>
        </w:rPr>
        <w:t xml:space="preserve"> 9: CAPM </w:t>
      </w:r>
      <w:proofErr w:type="spellStart"/>
      <w:r>
        <w:rPr>
          <w:rStyle w:val="Emphasis"/>
          <w:rFonts w:eastAsiaTheme="majorEastAsia"/>
          <w:color w:val="000000"/>
        </w:rPr>
        <w:t>estimado</w:t>
      </w:r>
      <w:proofErr w:type="spellEnd"/>
      <w:r>
        <w:rPr>
          <w:rStyle w:val="Emphasis"/>
          <w:rFonts w:eastAsiaTheme="majorEastAsia"/>
          <w:color w:val="000000"/>
        </w:rPr>
        <w:t xml:space="preserve"> con </w:t>
      </w:r>
      <w:proofErr w:type="spellStart"/>
      <w:r>
        <w:rPr>
          <w:rStyle w:val="Emphasis"/>
          <w:rFonts w:eastAsiaTheme="majorEastAsia"/>
          <w:color w:val="000000"/>
        </w:rPr>
        <w:t>mínimos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cuadrados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robustos</w:t>
      </w:r>
      <w:proofErr w:type="spellEnd"/>
      <w:r>
        <w:rPr>
          <w:rStyle w:val="Emphasis"/>
          <w:rFonts w:eastAsiaTheme="majorEastAsia"/>
          <w:color w:val="000000"/>
        </w:rPr>
        <w:t xml:space="preserve"> (RLM).</w:t>
      </w:r>
    </w:p>
    <w:p w14:paraId="6255C207" w14:textId="77777777" w:rsidR="006B214A" w:rsidRDefault="006B214A" w:rsidP="006B214A">
      <w:pPr>
        <w:pStyle w:val="NormalWeb"/>
        <w:rPr>
          <w:color w:val="000000"/>
        </w:rPr>
      </w:pPr>
      <w:r>
        <w:rPr>
          <w:color w:val="000000"/>
        </w:rPr>
        <w:t xml:space="preserve">Pero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mercados no son </w:t>
      </w:r>
      <w:proofErr w:type="spellStart"/>
      <w:r>
        <w:rPr>
          <w:color w:val="000000"/>
        </w:rPr>
        <w:t>estáticos</w:t>
      </w:r>
      <w:proofErr w:type="spellEnd"/>
      <w:r>
        <w:rPr>
          <w:color w:val="000000"/>
        </w:rPr>
        <w:t xml:space="preserve">, y </w:t>
      </w:r>
      <w:proofErr w:type="spellStart"/>
      <w:r>
        <w:rPr>
          <w:color w:val="000000"/>
        </w:rPr>
        <w:t>nuestras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herramientas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tampoco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deberían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serlo</w:t>
      </w:r>
      <w:proofErr w:type="spellEnd"/>
      <w:r>
        <w:rPr>
          <w:color w:val="000000"/>
        </w:rPr>
        <w:t xml:space="preserve">. Por </w:t>
      </w:r>
      <w:proofErr w:type="spellStart"/>
      <w:r>
        <w:rPr>
          <w:color w:val="000000"/>
        </w:rPr>
        <w:t>eso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exploramos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evolución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dinámica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parámetros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utilizando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rolling regressions</w:t>
      </w:r>
      <w:r>
        <w:rPr>
          <w:color w:val="000000"/>
        </w:rPr>
        <w:t>.</w:t>
      </w:r>
    </w:p>
    <w:p w14:paraId="0F017524" w14:textId="77777777" w:rsidR="006B214A" w:rsidRDefault="006B214A" w:rsidP="006B214A">
      <w:pPr>
        <w:pStyle w:val="NormalWeb"/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estimación</w:t>
      </w:r>
      <w:proofErr w:type="spellEnd"/>
      <w:r>
        <w:rPr>
          <w:color w:val="000000"/>
        </w:rPr>
        <w:t xml:space="preserve"> rolling </w:t>
      </w:r>
      <w:proofErr w:type="spellStart"/>
      <w:r>
        <w:rPr>
          <w:color w:val="000000"/>
        </w:rPr>
        <w:t>permite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cambian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a lo largo del </w:t>
      </w: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utilizando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ventanas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móviles</w:t>
      </w:r>
      <w:proofErr w:type="spellEnd"/>
      <w:r>
        <w:rPr>
          <w:color w:val="000000"/>
        </w:rPr>
        <w:t xml:space="preserve"> de 252 días (</w:t>
      </w:r>
      <w:proofErr w:type="spellStart"/>
      <w:r>
        <w:rPr>
          <w:color w:val="000000"/>
        </w:rPr>
        <w:t>aproximadamente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año</w:t>
      </w:r>
      <w:proofErr w:type="spellEnd"/>
      <w:r>
        <w:rPr>
          <w:color w:val="000000"/>
        </w:rPr>
        <w:t xml:space="preserve"> de trading). Este </w:t>
      </w:r>
      <w:proofErr w:type="spellStart"/>
      <w:r>
        <w:rPr>
          <w:color w:val="000000"/>
        </w:rPr>
        <w:t>enfoque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ofrece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granular y adaptable que la </w:t>
      </w:r>
      <w:proofErr w:type="spellStart"/>
      <w:r>
        <w:rPr>
          <w:color w:val="000000"/>
        </w:rPr>
        <w:t>regresión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estática</w:t>
      </w:r>
      <w:proofErr w:type="spellEnd"/>
      <w:r>
        <w:rPr>
          <w:color w:val="000000"/>
        </w:rPr>
        <w:t xml:space="preserve">. Los </w:t>
      </w:r>
      <w:proofErr w:type="spellStart"/>
      <w:r>
        <w:rPr>
          <w:color w:val="000000"/>
        </w:rPr>
        <w:t>gráficos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resultantes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revelan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patrones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temporales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serían</w:t>
      </w:r>
      <w:proofErr w:type="spellEnd"/>
      <w:r>
        <w:rPr>
          <w:color w:val="000000"/>
        </w:rPr>
        <w:t xml:space="preserve"> invisibles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análisis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puntual</w:t>
      </w:r>
      <w:proofErr w:type="spellEnd"/>
      <w:r>
        <w:rPr>
          <w:color w:val="000000"/>
        </w:rPr>
        <w:t>.</w:t>
      </w:r>
    </w:p>
    <w:p w14:paraId="45F79D73" w14:textId="77777777" w:rsidR="006B214A" w:rsidRDefault="006B214A" w:rsidP="006B214A">
      <w:pPr>
        <w:pStyle w:val="NormalWeb"/>
        <w:rPr>
          <w:color w:val="000000"/>
        </w:rPr>
      </w:pPr>
      <w:r>
        <w:rPr>
          <w:color w:val="000000"/>
        </w:rPr>
        <w:t xml:space="preserve">En la </w:t>
      </w:r>
      <w:proofErr w:type="spellStart"/>
      <w:r>
        <w:rPr>
          <w:color w:val="000000"/>
        </w:rPr>
        <w:t>Figura</w:t>
      </w:r>
      <w:proofErr w:type="spellEnd"/>
      <w:r>
        <w:rPr>
          <w:color w:val="000000"/>
        </w:rPr>
        <w:t xml:space="preserve"> 10, </w:t>
      </w:r>
      <w:proofErr w:type="spellStart"/>
      <w:r>
        <w:rPr>
          <w:color w:val="000000"/>
        </w:rPr>
        <w:t>observamos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evolución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componente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representa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rendimiento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explicado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mercado. En </w:t>
      </w:r>
      <w:proofErr w:type="spellStart"/>
      <w:r>
        <w:rPr>
          <w:color w:val="000000"/>
        </w:rPr>
        <w:t>ciertos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periodos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alpha es </w:t>
      </w:r>
      <w:proofErr w:type="spellStart"/>
      <w:r>
        <w:rPr>
          <w:color w:val="000000"/>
        </w:rPr>
        <w:t>positivo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estadísticamente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significativo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cuando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t-</w:t>
      </w:r>
      <w:proofErr w:type="spellStart"/>
      <w:r>
        <w:rPr>
          <w:color w:val="000000"/>
        </w:rPr>
        <w:t>estadístico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encima</w:t>
      </w:r>
      <w:proofErr w:type="spellEnd"/>
      <w:r>
        <w:rPr>
          <w:color w:val="000000"/>
        </w:rPr>
        <w:t xml:space="preserve"> de 2), lo </w:t>
      </w:r>
      <w:proofErr w:type="spellStart"/>
      <w:r>
        <w:rPr>
          <w:color w:val="000000"/>
        </w:rPr>
        <w:t>cual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sugiere</w:t>
      </w:r>
      <w:proofErr w:type="spellEnd"/>
      <w:r>
        <w:rPr>
          <w:color w:val="000000"/>
        </w:rPr>
        <w:t xml:space="preserve"> que la </w:t>
      </w:r>
      <w:proofErr w:type="spellStart"/>
      <w:r>
        <w:rPr>
          <w:color w:val="000000"/>
        </w:rPr>
        <w:t>estrategia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generó</w:t>
      </w:r>
      <w:proofErr w:type="spellEnd"/>
      <w:r>
        <w:rPr>
          <w:color w:val="000000"/>
        </w:rPr>
        <w:t xml:space="preserve"> valor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allá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exposición</w:t>
      </w:r>
      <w:proofErr w:type="spellEnd"/>
      <w:r>
        <w:rPr>
          <w:color w:val="000000"/>
        </w:rPr>
        <w:t xml:space="preserve"> al mercado. Por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contrario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alpha se </w:t>
      </w:r>
      <w:proofErr w:type="spellStart"/>
      <w:r>
        <w:rPr>
          <w:color w:val="000000"/>
        </w:rPr>
        <w:t>acerca</w:t>
      </w:r>
      <w:proofErr w:type="spellEnd"/>
      <w:r>
        <w:rPr>
          <w:color w:val="000000"/>
        </w:rPr>
        <w:t xml:space="preserve"> a cero o </w:t>
      </w:r>
      <w:proofErr w:type="spellStart"/>
      <w:r>
        <w:rPr>
          <w:color w:val="000000"/>
        </w:rPr>
        <w:t>incluso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vuelve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negativo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destacando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cómo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efectividad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relativa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puede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depender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de mercado.</w:t>
      </w:r>
    </w:p>
    <w:p w14:paraId="47602788" w14:textId="77777777" w:rsidR="006B214A" w:rsidRDefault="006B214A" w:rsidP="006B214A">
      <w:pPr>
        <w:pStyle w:val="NormalWeb"/>
        <w:rPr>
          <w:color w:val="000000"/>
        </w:rPr>
      </w:pPr>
      <w:proofErr w:type="spellStart"/>
      <w:r>
        <w:rPr>
          <w:rStyle w:val="Emphasis"/>
          <w:rFonts w:eastAsiaTheme="majorEastAsia"/>
          <w:color w:val="000000"/>
        </w:rPr>
        <w:lastRenderedPageBreak/>
        <w:t>Figura</w:t>
      </w:r>
      <w:proofErr w:type="spellEnd"/>
      <w:r>
        <w:rPr>
          <w:rStyle w:val="Emphasis"/>
          <w:rFonts w:eastAsiaTheme="majorEastAsia"/>
          <w:color w:val="000000"/>
        </w:rPr>
        <w:t xml:space="preserve"> 10: </w:t>
      </w:r>
      <w:proofErr w:type="spellStart"/>
      <w:r>
        <w:rPr>
          <w:rStyle w:val="Emphasis"/>
          <w:rFonts w:eastAsiaTheme="majorEastAsia"/>
          <w:color w:val="000000"/>
        </w:rPr>
        <w:t>Evolución</w:t>
      </w:r>
      <w:proofErr w:type="spellEnd"/>
      <w:r>
        <w:rPr>
          <w:rStyle w:val="Emphasis"/>
          <w:rFonts w:eastAsiaTheme="majorEastAsia"/>
          <w:color w:val="000000"/>
        </w:rPr>
        <w:t xml:space="preserve"> del alpha y </w:t>
      </w:r>
      <w:proofErr w:type="spellStart"/>
      <w:r>
        <w:rPr>
          <w:rStyle w:val="Emphasis"/>
          <w:rFonts w:eastAsiaTheme="majorEastAsia"/>
          <w:color w:val="000000"/>
        </w:rPr>
        <w:t>su</w:t>
      </w:r>
      <w:proofErr w:type="spellEnd"/>
      <w:r>
        <w:rPr>
          <w:rStyle w:val="Emphasis"/>
          <w:rFonts w:eastAsiaTheme="majorEastAsia"/>
          <w:color w:val="000000"/>
        </w:rPr>
        <w:t xml:space="preserve"> t-</w:t>
      </w:r>
      <w:proofErr w:type="spellStart"/>
      <w:r>
        <w:rPr>
          <w:rStyle w:val="Emphasis"/>
          <w:rFonts w:eastAsiaTheme="majorEastAsia"/>
          <w:color w:val="000000"/>
        </w:rPr>
        <w:t>estadístico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en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el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tiempo</w:t>
      </w:r>
      <w:proofErr w:type="spellEnd"/>
      <w:r>
        <w:rPr>
          <w:rStyle w:val="Emphasis"/>
          <w:rFonts w:eastAsiaTheme="majorEastAsia"/>
          <w:color w:val="000000"/>
        </w:rPr>
        <w:t>.</w:t>
      </w:r>
    </w:p>
    <w:p w14:paraId="4ED975AE" w14:textId="77777777" w:rsidR="006B214A" w:rsidRDefault="006B214A" w:rsidP="006B214A">
      <w:pPr>
        <w:pStyle w:val="NormalWeb"/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Figura</w:t>
      </w:r>
      <w:proofErr w:type="spellEnd"/>
      <w:r>
        <w:rPr>
          <w:color w:val="000000"/>
        </w:rPr>
        <w:t xml:space="preserve"> 11 </w:t>
      </w:r>
      <w:proofErr w:type="spellStart"/>
      <w:r>
        <w:rPr>
          <w:color w:val="000000"/>
        </w:rPr>
        <w:t>muestra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comportamiento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,</w:t>
      </w:r>
      <w:proofErr w:type="gram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sensibilidad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al mercado. </w:t>
      </w:r>
      <w:proofErr w:type="spellStart"/>
      <w:r>
        <w:rPr>
          <w:color w:val="000000"/>
        </w:rPr>
        <w:t>Aquí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observamos</w:t>
      </w:r>
      <w:proofErr w:type="spellEnd"/>
      <w:r>
        <w:rPr>
          <w:color w:val="000000"/>
        </w:rPr>
        <w:t xml:space="preserve"> que la beta no es </w:t>
      </w:r>
      <w:proofErr w:type="spellStart"/>
      <w:r>
        <w:rPr>
          <w:color w:val="000000"/>
        </w:rPr>
        <w:t>constante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sino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fluctúa</w:t>
      </w:r>
      <w:proofErr w:type="spellEnd"/>
      <w:r>
        <w:rPr>
          <w:color w:val="000000"/>
        </w:rPr>
        <w:t xml:space="preserve"> entre </w:t>
      </w:r>
      <w:proofErr w:type="spellStart"/>
      <w:r>
        <w:rPr>
          <w:color w:val="000000"/>
        </w:rPr>
        <w:t>aproximadamente</w:t>
      </w:r>
      <w:proofErr w:type="spellEnd"/>
      <w:r>
        <w:rPr>
          <w:color w:val="000000"/>
        </w:rPr>
        <w:t xml:space="preserve"> 0.2 y 0.7. Esta </w:t>
      </w:r>
      <w:proofErr w:type="spellStart"/>
      <w:r>
        <w:rPr>
          <w:color w:val="000000"/>
        </w:rPr>
        <w:t>variabilidad</w:t>
      </w:r>
      <w:proofErr w:type="spellEnd"/>
      <w:r>
        <w:rPr>
          <w:color w:val="000000"/>
        </w:rPr>
        <w:t xml:space="preserve"> indica que la </w:t>
      </w:r>
      <w:proofErr w:type="spellStart"/>
      <w:r>
        <w:rPr>
          <w:color w:val="000000"/>
        </w:rPr>
        <w:t>correlación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mercado cambia con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posiblemente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cambios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volatilidad</w:t>
      </w:r>
      <w:proofErr w:type="spellEnd"/>
      <w:r>
        <w:rPr>
          <w:color w:val="000000"/>
        </w:rPr>
        <w:t xml:space="preserve"> del mercado, la </w:t>
      </w:r>
      <w:proofErr w:type="spellStart"/>
      <w:r>
        <w:rPr>
          <w:color w:val="000000"/>
        </w:rPr>
        <w:t>composición</w:t>
      </w:r>
      <w:proofErr w:type="spellEnd"/>
      <w:r>
        <w:rPr>
          <w:color w:val="000000"/>
        </w:rPr>
        <w:t xml:space="preserve"> sectorial o </w:t>
      </w:r>
      <w:proofErr w:type="spellStart"/>
      <w:r>
        <w:rPr>
          <w:color w:val="000000"/>
        </w:rPr>
        <w:t>eventos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macroeconómicos</w:t>
      </w:r>
      <w:proofErr w:type="spellEnd"/>
      <w:r>
        <w:rPr>
          <w:color w:val="000000"/>
        </w:rPr>
        <w:t>.</w:t>
      </w:r>
    </w:p>
    <w:p w14:paraId="078475EC" w14:textId="77777777" w:rsidR="006B214A" w:rsidRDefault="006B214A" w:rsidP="006B214A">
      <w:pPr>
        <w:pStyle w:val="NormalWeb"/>
        <w:rPr>
          <w:color w:val="000000"/>
        </w:rPr>
      </w:pPr>
      <w:proofErr w:type="spellStart"/>
      <w:r>
        <w:rPr>
          <w:color w:val="000000"/>
        </w:rPr>
        <w:t>Además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t-</w:t>
      </w:r>
      <w:proofErr w:type="spellStart"/>
      <w:r>
        <w:rPr>
          <w:color w:val="000000"/>
        </w:rPr>
        <w:t>estadístico</w:t>
      </w:r>
      <w:proofErr w:type="spellEnd"/>
      <w:r>
        <w:rPr>
          <w:color w:val="000000"/>
        </w:rPr>
        <w:t xml:space="preserve"> de la beta </w:t>
      </w:r>
      <w:proofErr w:type="spellStart"/>
      <w:r>
        <w:rPr>
          <w:color w:val="000000"/>
        </w:rPr>
        <w:t>permanece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elevado</w:t>
      </w:r>
      <w:proofErr w:type="spellEnd"/>
      <w:r>
        <w:rPr>
          <w:color w:val="000000"/>
        </w:rPr>
        <w:t xml:space="preserve"> a lo largo del </w:t>
      </w: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confirmando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mercado </w:t>
      </w:r>
      <w:proofErr w:type="spellStart"/>
      <w:r>
        <w:rPr>
          <w:color w:val="000000"/>
        </w:rPr>
        <w:t>sigue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siendo</w:t>
      </w:r>
      <w:proofErr w:type="spellEnd"/>
      <w:r>
        <w:rPr>
          <w:color w:val="000000"/>
        </w:rPr>
        <w:t xml:space="preserve"> un factor </w:t>
      </w:r>
      <w:proofErr w:type="spellStart"/>
      <w:r>
        <w:rPr>
          <w:color w:val="000000"/>
        </w:rPr>
        <w:t>explicativo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dominante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rendimiento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>.</w:t>
      </w:r>
    </w:p>
    <w:p w14:paraId="7FAC8CD0" w14:textId="77777777" w:rsidR="006B214A" w:rsidRDefault="006B214A" w:rsidP="006B214A">
      <w:pPr>
        <w:pStyle w:val="NormalWeb"/>
        <w:rPr>
          <w:color w:val="000000"/>
        </w:rPr>
      </w:pPr>
      <w:proofErr w:type="spellStart"/>
      <w:r>
        <w:rPr>
          <w:rStyle w:val="Emphasis"/>
          <w:rFonts w:eastAsiaTheme="majorEastAsia"/>
          <w:color w:val="000000"/>
        </w:rPr>
        <w:t>Figura</w:t>
      </w:r>
      <w:proofErr w:type="spellEnd"/>
      <w:r>
        <w:rPr>
          <w:rStyle w:val="Emphasis"/>
          <w:rFonts w:eastAsiaTheme="majorEastAsia"/>
          <w:color w:val="000000"/>
        </w:rPr>
        <w:t xml:space="preserve"> 11: </w:t>
      </w:r>
      <w:proofErr w:type="spellStart"/>
      <w:r>
        <w:rPr>
          <w:rStyle w:val="Emphasis"/>
          <w:rFonts w:eastAsiaTheme="majorEastAsia"/>
          <w:color w:val="000000"/>
        </w:rPr>
        <w:t>Evolución</w:t>
      </w:r>
      <w:proofErr w:type="spellEnd"/>
      <w:r>
        <w:rPr>
          <w:rStyle w:val="Emphasis"/>
          <w:rFonts w:eastAsiaTheme="majorEastAsia"/>
          <w:color w:val="000000"/>
        </w:rPr>
        <w:t xml:space="preserve"> temporal de la beta y </w:t>
      </w:r>
      <w:proofErr w:type="spellStart"/>
      <w:r>
        <w:rPr>
          <w:rStyle w:val="Emphasis"/>
          <w:rFonts w:eastAsiaTheme="majorEastAsia"/>
          <w:color w:val="000000"/>
        </w:rPr>
        <w:t>su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significancia</w:t>
      </w:r>
      <w:proofErr w:type="spellEnd"/>
      <w:r>
        <w:rPr>
          <w:rStyle w:val="Emphasis"/>
          <w:rFonts w:eastAsiaTheme="majorEastAsia"/>
          <w:color w:val="000000"/>
        </w:rPr>
        <w:t xml:space="preserve"> </w:t>
      </w:r>
      <w:proofErr w:type="spellStart"/>
      <w:r>
        <w:rPr>
          <w:rStyle w:val="Emphasis"/>
          <w:rFonts w:eastAsiaTheme="majorEastAsia"/>
          <w:color w:val="000000"/>
        </w:rPr>
        <w:t>estadística</w:t>
      </w:r>
      <w:proofErr w:type="spellEnd"/>
      <w:r>
        <w:rPr>
          <w:rStyle w:val="Emphasis"/>
          <w:rFonts w:eastAsiaTheme="majorEastAsia"/>
          <w:color w:val="000000"/>
        </w:rPr>
        <w:t>.</w:t>
      </w:r>
    </w:p>
    <w:p w14:paraId="19A2FC9A" w14:textId="77777777" w:rsidR="006B214A" w:rsidRDefault="006B214A" w:rsidP="006B214A">
      <w:pPr>
        <w:pStyle w:val="NormalWeb"/>
        <w:rPr>
          <w:color w:val="000000"/>
        </w:rPr>
      </w:pPr>
      <w:r>
        <w:rPr>
          <w:color w:val="000000"/>
        </w:rPr>
        <w:t xml:space="preserve">Este </w:t>
      </w:r>
      <w:proofErr w:type="spellStart"/>
      <w:r>
        <w:rPr>
          <w:color w:val="000000"/>
        </w:rPr>
        <w:t>análisis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dinámico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aporta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conclusiones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fundamentales</w:t>
      </w:r>
      <w:proofErr w:type="spellEnd"/>
      <w:r>
        <w:rPr>
          <w:color w:val="000000"/>
        </w:rPr>
        <w:t>:</w:t>
      </w:r>
    </w:p>
    <w:p w14:paraId="1CC16F26" w14:textId="77777777" w:rsidR="006B214A" w:rsidRDefault="006B214A" w:rsidP="006B214A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sólidamente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vinculado</w:t>
      </w:r>
      <w:proofErr w:type="spellEnd"/>
      <w:r>
        <w:rPr>
          <w:color w:val="000000"/>
        </w:rPr>
        <w:t xml:space="preserve"> al mercado,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lo indica la beta </w:t>
      </w:r>
      <w:proofErr w:type="spellStart"/>
      <w:r>
        <w:rPr>
          <w:color w:val="000000"/>
        </w:rPr>
        <w:t>sostenida</w:t>
      </w:r>
      <w:proofErr w:type="spellEnd"/>
      <w:r>
        <w:rPr>
          <w:color w:val="000000"/>
        </w:rPr>
        <w:t xml:space="preserve"> y un </w:t>
      </w:r>
      <w:proofErr w:type="gramStart"/>
      <w:r>
        <w:rPr>
          <w:color w:val="000000"/>
        </w:rPr>
        <w:t>alto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.</w:t>
      </w:r>
      <w:proofErr w:type="gramEnd"/>
    </w:p>
    <w:p w14:paraId="43D1B80E" w14:textId="77777777" w:rsidR="006B214A" w:rsidRDefault="006B214A" w:rsidP="006B214A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Se </w:t>
      </w:r>
      <w:proofErr w:type="spellStart"/>
      <w:r>
        <w:rPr>
          <w:color w:val="000000"/>
        </w:rPr>
        <w:t>observa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generación</w:t>
      </w:r>
      <w:proofErr w:type="spellEnd"/>
      <w:r>
        <w:rPr>
          <w:color w:val="000000"/>
        </w:rPr>
        <w:t xml:space="preserve"> de alpha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periodos</w:t>
      </w:r>
      <w:proofErr w:type="spellEnd"/>
      <w:r>
        <w:rPr>
          <w:color w:val="000000"/>
        </w:rPr>
        <w:t xml:space="preserve">, lo que </w:t>
      </w:r>
      <w:proofErr w:type="spellStart"/>
      <w:r>
        <w:rPr>
          <w:color w:val="000000"/>
        </w:rPr>
        <w:t>respalda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existencia</w:t>
      </w:r>
      <w:proofErr w:type="spellEnd"/>
      <w:r>
        <w:rPr>
          <w:color w:val="000000"/>
        </w:rPr>
        <w:t xml:space="preserve"> de valor </w:t>
      </w:r>
      <w:proofErr w:type="spellStart"/>
      <w:r>
        <w:rPr>
          <w:color w:val="000000"/>
        </w:rPr>
        <w:t>estratégico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allá</w:t>
      </w:r>
      <w:proofErr w:type="spellEnd"/>
      <w:r>
        <w:rPr>
          <w:color w:val="000000"/>
        </w:rPr>
        <w:t xml:space="preserve"> del mercado.</w:t>
      </w:r>
    </w:p>
    <w:p w14:paraId="5F8ED437" w14:textId="77777777" w:rsidR="006B214A" w:rsidRDefault="006B214A" w:rsidP="006B214A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Tanto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color w:val="000000"/>
        </w:rPr>
        <w:t>como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son variables </w:t>
      </w:r>
      <w:proofErr w:type="spellStart"/>
      <w:r>
        <w:rPr>
          <w:color w:val="000000"/>
        </w:rPr>
        <w:t>dinámicas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seguimiento</w:t>
      </w:r>
      <w:proofErr w:type="spellEnd"/>
      <w:r>
        <w:rPr>
          <w:color w:val="000000"/>
        </w:rPr>
        <w:t xml:space="preserve"> continuo </w:t>
      </w:r>
      <w:proofErr w:type="spellStart"/>
      <w:r>
        <w:rPr>
          <w:color w:val="000000"/>
        </w:rPr>
        <w:t>permite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ajustar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estrategias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afinar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decisiones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inversión</w:t>
      </w:r>
      <w:proofErr w:type="spellEnd"/>
      <w:r>
        <w:rPr>
          <w:color w:val="000000"/>
        </w:rPr>
        <w:t>.</w:t>
      </w:r>
    </w:p>
    <w:p w14:paraId="057027BD" w14:textId="77777777" w:rsidR="006B214A" w:rsidRDefault="006B214A" w:rsidP="006B214A">
      <w:pPr>
        <w:pStyle w:val="NormalWeb"/>
        <w:rPr>
          <w:color w:val="000000"/>
        </w:rPr>
      </w:pPr>
      <w:r>
        <w:rPr>
          <w:color w:val="000000"/>
        </w:rPr>
        <w:t xml:space="preserve">En 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CAPM no solo </w:t>
      </w:r>
      <w:proofErr w:type="spellStart"/>
      <w:r>
        <w:rPr>
          <w:color w:val="000000"/>
        </w:rPr>
        <w:t>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ayuda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entender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portafolio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gana</w:t>
      </w:r>
      <w:proofErr w:type="spellEnd"/>
      <w:r>
        <w:rPr>
          <w:color w:val="000000"/>
        </w:rPr>
        <w:t xml:space="preserve"> dinero, </w:t>
      </w:r>
      <w:proofErr w:type="spellStart"/>
      <w:r>
        <w:rPr>
          <w:color w:val="000000"/>
        </w:rPr>
        <w:t>sino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cómo</w:t>
      </w:r>
      <w:proofErr w:type="spellEnd"/>
      <w:r>
        <w:rPr>
          <w:rStyle w:val="Strong"/>
          <w:rFonts w:eastAsiaTheme="majorEastAsia"/>
          <w:color w:val="000000"/>
        </w:rPr>
        <w:t xml:space="preserve"> y </w:t>
      </w:r>
      <w:proofErr w:type="spellStart"/>
      <w:r>
        <w:rPr>
          <w:rStyle w:val="Strong"/>
          <w:rFonts w:eastAsiaTheme="majorEastAsia"/>
          <w:color w:val="000000"/>
        </w:rPr>
        <w:t>por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qué</w:t>
      </w:r>
      <w:proofErr w:type="spellEnd"/>
      <w:r>
        <w:rPr>
          <w:rStyle w:val="Strong"/>
          <w:rFonts w:eastAsiaTheme="majorEastAsia"/>
          <w:color w:val="000000"/>
        </w:rPr>
        <w:t xml:space="preserve"> lo </w:t>
      </w:r>
      <w:proofErr w:type="spellStart"/>
      <w:r>
        <w:rPr>
          <w:rStyle w:val="Strong"/>
          <w:rFonts w:eastAsiaTheme="majorEastAsia"/>
          <w:color w:val="000000"/>
        </w:rPr>
        <w:t>gana</w:t>
      </w:r>
      <w:proofErr w:type="spellEnd"/>
      <w:r>
        <w:rPr>
          <w:color w:val="000000"/>
        </w:rPr>
        <w:t xml:space="preserve">. Gracias al </w:t>
      </w:r>
      <w:proofErr w:type="spellStart"/>
      <w:r>
        <w:rPr>
          <w:color w:val="000000"/>
        </w:rPr>
        <w:t>análisis</w:t>
      </w:r>
      <w:proofErr w:type="spellEnd"/>
      <w:r>
        <w:rPr>
          <w:color w:val="000000"/>
        </w:rPr>
        <w:t xml:space="preserve"> rolling, </w:t>
      </w:r>
      <w:proofErr w:type="spellStart"/>
      <w:r>
        <w:rPr>
          <w:color w:val="000000"/>
        </w:rPr>
        <w:t>obtenemos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perspectiva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evolutiva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resulta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esencial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gestión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portafolios</w:t>
      </w:r>
      <w:proofErr w:type="spellEnd"/>
      <w:r>
        <w:rPr>
          <w:color w:val="000000"/>
        </w:rPr>
        <w:t xml:space="preserve"> moderna y </w:t>
      </w:r>
      <w:proofErr w:type="spellStart"/>
      <w:r>
        <w:rPr>
          <w:color w:val="000000"/>
        </w:rPr>
        <w:t>proactiva</w:t>
      </w:r>
      <w:proofErr w:type="spellEnd"/>
      <w:r>
        <w:rPr>
          <w:color w:val="000000"/>
        </w:rPr>
        <w:t>.</w:t>
      </w:r>
    </w:p>
    <w:p w14:paraId="6239AD57" w14:textId="77777777" w:rsidR="00740B0F" w:rsidRPr="00740B0F" w:rsidRDefault="00740B0F" w:rsidP="00740B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/>
          <w14:ligatures w14:val="none"/>
        </w:rPr>
      </w:pPr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/>
          <w14:ligatures w14:val="none"/>
        </w:rPr>
        <w:t>6. Expected vs. Realized Portfolio Performance</w:t>
      </w:r>
    </w:p>
    <w:p w14:paraId="59BBD1B9" w14:textId="77777777" w:rsidR="00740B0F" w:rsidRPr="00740B0F" w:rsidRDefault="00740B0F" w:rsidP="0074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Una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evaluación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rigurosa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del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portafolio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requiere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contrastar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lo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proyectado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teóricamente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con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comportamiento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observado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en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condiciones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reales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A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continuación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se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presentan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principales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resultados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cuantitativos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junto con un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análisis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visual y contextual.</w:t>
      </w:r>
    </w:p>
    <w:p w14:paraId="15698E5C" w14:textId="77777777" w:rsidR="00740B0F" w:rsidRPr="00740B0F" w:rsidRDefault="009729C7" w:rsidP="00740B0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729C7">
        <w:rPr>
          <w:rFonts w:ascii="Times New Roman" w:eastAsia="Times New Roman" w:hAnsi="Times New Roman" w:cs="Times New Roman"/>
          <w:noProof/>
          <w:kern w:val="0"/>
          <w:lang w:val="en-US"/>
        </w:rPr>
        <w:pict w14:anchorId="37328B4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D872555" w14:textId="77777777" w:rsidR="00740B0F" w:rsidRPr="00740B0F" w:rsidRDefault="00740B0F" w:rsidP="00740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</w:pPr>
      <w:r w:rsidRPr="00740B0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val="en-US"/>
          <w14:ligatures w14:val="none"/>
        </w:rPr>
        <w:t>📐</w:t>
      </w:r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  <w:t xml:space="preserve"> Métricas clave</w:t>
      </w:r>
    </w:p>
    <w:p w14:paraId="14AFF36A" w14:textId="77777777" w:rsidR="00740B0F" w:rsidRPr="00740B0F" w:rsidRDefault="00740B0F" w:rsidP="0074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740B0F">
        <w:rPr>
          <w:rFonts w:ascii="Apple Color Emoji" w:eastAsia="Times New Roman" w:hAnsi="Apple Color Emoji" w:cs="Apple Color Emoji"/>
          <w:b/>
          <w:bCs/>
          <w:color w:val="000000"/>
          <w:kern w:val="0"/>
          <w:lang w:val="en-US"/>
          <w14:ligatures w14:val="none"/>
        </w:rPr>
        <w:t>🔹</w:t>
      </w:r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Rendimiento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esperado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anual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):</w:t>
      </w:r>
    </w:p>
    <w:p w14:paraId="3D19F290" w14:textId="77777777" w:rsidR="00740B0F" w:rsidRPr="00740B0F" w:rsidRDefault="00740B0F" w:rsidP="00740B0F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740B0F">
        <w:rPr>
          <w:rFonts w:ascii="Times New Roman" w:eastAsia="Times New Roman" w:hAnsi="Times New Roman" w:cs="Times New Roman"/>
          <w:color w:val="000000"/>
          <w:kern w:val="0"/>
          <w:lang w:val="de-DE"/>
          <w14:ligatures w14:val="none"/>
        </w:rPr>
        <w:t>E[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de-DE"/>
          <w14:ligatures w14:val="none"/>
        </w:rPr>
        <w:t>Rp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de-DE"/>
          <w14:ligatures w14:val="none"/>
        </w:rPr>
        <w:t>]=w</w:t>
      </w:r>
      <w:r w:rsidRPr="00740B0F">
        <w:rPr>
          <w:rFonts w:ascii="Cambria Math" w:eastAsia="Times New Roman" w:hAnsi="Cambria Math" w:cs="Cambria Math"/>
          <w:color w:val="000000"/>
          <w:kern w:val="0"/>
          <w:lang w:val="de-DE"/>
          <w14:ligatures w14:val="none"/>
        </w:rPr>
        <w:t>⊤</w:t>
      </w:r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μ</w:t>
      </w:r>
      <w:r w:rsidRPr="00740B0F">
        <w:rPr>
          <w:rFonts w:ascii="Times New Roman" w:eastAsia="Times New Roman" w:hAnsi="Times New Roman" w:cs="Times New Roman"/>
          <w:color w:val="000000"/>
          <w:kern w:val="0"/>
          <w:lang w:val="de-DE"/>
          <w14:ligatures w14:val="none"/>
        </w:rPr>
        <w:t>=22.88%E[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de-DE"/>
          <w14:ligatures w14:val="none"/>
        </w:rPr>
        <w:t>Rp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de-DE"/>
          <w14:ligatures w14:val="none"/>
        </w:rPr>
        <w:t>​]=w</w:t>
      </w:r>
      <w:r w:rsidRPr="00740B0F">
        <w:rPr>
          <w:rFonts w:ascii="Cambria Math" w:eastAsia="Times New Roman" w:hAnsi="Cambria Math" w:cs="Cambria Math"/>
          <w:color w:val="000000"/>
          <w:kern w:val="0"/>
          <w:lang w:val="de-DE"/>
          <w14:ligatures w14:val="none"/>
        </w:rPr>
        <w:t>⊤</w:t>
      </w:r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μ</w:t>
      </w:r>
      <w:r w:rsidRPr="00740B0F">
        <w:rPr>
          <w:rFonts w:ascii="Times New Roman" w:eastAsia="Times New Roman" w:hAnsi="Times New Roman" w:cs="Times New Roman"/>
          <w:color w:val="000000"/>
          <w:kern w:val="0"/>
          <w:lang w:val="de-DE"/>
          <w14:ligatures w14:val="none"/>
        </w:rPr>
        <w:t>=22.88%</w:t>
      </w:r>
    </w:p>
    <w:p w14:paraId="277B5BFA" w14:textId="77777777" w:rsidR="00740B0F" w:rsidRPr="00740B0F" w:rsidRDefault="00740B0F" w:rsidP="0074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740B0F">
        <w:rPr>
          <w:rFonts w:ascii="Apple Color Emoji" w:eastAsia="Times New Roman" w:hAnsi="Apple Color Emoji" w:cs="Apple Color Emoji"/>
          <w:b/>
          <w:bCs/>
          <w:color w:val="000000"/>
          <w:kern w:val="0"/>
          <w:lang w:val="en-US"/>
          <w14:ligatures w14:val="none"/>
        </w:rPr>
        <w:t>🔹</w:t>
      </w:r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Rendimiento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realizado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anualizado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):</w:t>
      </w:r>
    </w:p>
    <w:p w14:paraId="42843B3F" w14:textId="77777777" w:rsidR="00740B0F" w:rsidRPr="00740B0F" w:rsidRDefault="00740B0F" w:rsidP="00740B0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Rreal=(∏t=1T(1+</w:t>
      </w:r>
      <w:proofErr w:type="gram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rp,t</w:t>
      </w:r>
      <w:proofErr w:type="gram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))252T−1=24.23%Rreal​=(t=1∏T​(1+</w:t>
      </w:r>
      <w:proofErr w:type="gram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rp,t​))T</w:t>
      </w:r>
      <w:proofErr w:type="gram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252​−1=24.23%</w:t>
      </w:r>
    </w:p>
    <w:p w14:paraId="65E1A6EB" w14:textId="77777777" w:rsidR="00740B0F" w:rsidRPr="00740B0F" w:rsidRDefault="00740B0F" w:rsidP="0074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740B0F">
        <w:rPr>
          <w:rFonts w:ascii="Apple Color Emoji" w:eastAsia="Times New Roman" w:hAnsi="Apple Color Emoji" w:cs="Apple Color Emoji"/>
          <w:b/>
          <w:bCs/>
          <w:color w:val="000000"/>
          <w:kern w:val="0"/>
          <w:lang w:val="en-US"/>
          <w14:ligatures w14:val="none"/>
        </w:rPr>
        <w:t>🔹</w:t>
      </w:r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Crecimiento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anual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compuesto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(CAGR):</w:t>
      </w:r>
    </w:p>
    <w:p w14:paraId="1CCD66B5" w14:textId="77777777" w:rsidR="00740B0F" w:rsidRPr="00740B0F" w:rsidRDefault="00740B0F" w:rsidP="00740B0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lastRenderedPageBreak/>
        <w:t>CAGR=(VfinalVinicial)1n−1=24.18%CAGR=(Vinicial​Vfinal​​)n1​−1=24.18%</w:t>
      </w:r>
    </w:p>
    <w:p w14:paraId="0EE9DF5C" w14:textId="77777777" w:rsidR="00740B0F" w:rsidRPr="00740B0F" w:rsidRDefault="009729C7" w:rsidP="00740B0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729C7">
        <w:rPr>
          <w:rFonts w:ascii="Times New Roman" w:eastAsia="Times New Roman" w:hAnsi="Times New Roman" w:cs="Times New Roman"/>
          <w:noProof/>
          <w:kern w:val="0"/>
          <w:lang w:val="en-US"/>
        </w:rPr>
        <w:pict w14:anchorId="291569C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D2A8957" w14:textId="77777777" w:rsidR="00740B0F" w:rsidRPr="00740B0F" w:rsidRDefault="00740B0F" w:rsidP="00740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</w:pPr>
      <w:r w:rsidRPr="00740B0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val="en-US"/>
          <w14:ligatures w14:val="none"/>
        </w:rPr>
        <w:t>📈</w:t>
      </w:r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  <w:t>Análisis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  <w:t xml:space="preserve"> del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  <w:t>gráfico</w:t>
      </w:r>
      <w:proofErr w:type="spellEnd"/>
    </w:p>
    <w:p w14:paraId="23E39BEF" w14:textId="77777777" w:rsidR="00740B0F" w:rsidRPr="00740B0F" w:rsidRDefault="00740B0F" w:rsidP="0074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El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gráfico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muestra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crecimiento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acumulado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del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portafolio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desde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base de 1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en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2018 hasta 2025. La curva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azul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representa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valor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realizado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del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portafolio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; la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línea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roja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discontinua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la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trayectoria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esperada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bajo un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crecimiento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compuesto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constante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del 22.88%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anual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14:paraId="6DE1E4AE" w14:textId="77777777" w:rsidR="00740B0F" w:rsidRPr="00740B0F" w:rsidRDefault="00740B0F" w:rsidP="0074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A lo largo del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periodo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portafolio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 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superó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sistemáticamente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la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expectativa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teórica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alcanzando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un valor final 5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veces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superior al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inicial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Este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rendimiento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robusto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es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atribuible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tanto a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optimización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eficiente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 la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inclusión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activos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alto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crecimiento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AMD y BYDDY.</w:t>
      </w:r>
    </w:p>
    <w:p w14:paraId="6C6643F6" w14:textId="6327CAF9" w:rsidR="00740B0F" w:rsidRPr="00740B0F" w:rsidRDefault="00740B0F" w:rsidP="00740B0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40B0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val="en-US"/>
          <w14:ligatures w14:val="none"/>
        </w:rPr>
        <w:t>🦠</w:t>
      </w:r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  <w:t>Resiliencia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  <w:t>frente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  <w:t xml:space="preserve"> a la pandemia</w:t>
      </w:r>
    </w:p>
    <w:p w14:paraId="2A4A3326" w14:textId="77777777" w:rsidR="00740B0F" w:rsidRPr="00740B0F" w:rsidRDefault="00740B0F" w:rsidP="0074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Durante la crisis del COVID-19 (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marzo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2020),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mercados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globales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sufrieron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caídas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severas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Sin embargo,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portafolio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:</w:t>
      </w:r>
    </w:p>
    <w:p w14:paraId="7B98F92A" w14:textId="77777777" w:rsidR="00740B0F" w:rsidRPr="00740B0F" w:rsidRDefault="00740B0F" w:rsidP="00740B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Registró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corrección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moderada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,</w:t>
      </w:r>
    </w:p>
    <w:p w14:paraId="369BC196" w14:textId="77777777" w:rsidR="00740B0F" w:rsidRPr="00740B0F" w:rsidRDefault="00740B0F" w:rsidP="00740B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Recuperó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sus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niveles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previos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en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pocos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meses,</w:t>
      </w:r>
    </w:p>
    <w:p w14:paraId="105E5E9A" w14:textId="77777777" w:rsidR="00740B0F" w:rsidRPr="00740B0F" w:rsidRDefault="00740B0F" w:rsidP="00740B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Y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retomó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su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tendencia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alcista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con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fuerza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14:paraId="704EE0F2" w14:textId="3BF8564B" w:rsidR="00740B0F" w:rsidRPr="00740B0F" w:rsidRDefault="00740B0F" w:rsidP="0074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Esta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respuesta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rápida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y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sostenida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ante un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evento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extremo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demuestra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que la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estrategia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no solo es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efectiva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en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condiciones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normales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sino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también 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resiliente</w:t>
      </w:r>
      <w:proofErr w:type="spellEnd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ante shocks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exógenos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validando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su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solidez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estructural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14:paraId="1D188792" w14:textId="77777777" w:rsidR="00740B0F" w:rsidRPr="00740B0F" w:rsidRDefault="00740B0F" w:rsidP="00740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</w:pPr>
      <w:r w:rsidRPr="00740B0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val="en-US"/>
          <w14:ligatures w14:val="none"/>
        </w:rPr>
        <w:t>📌</w:t>
      </w:r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  <w:t>Conclusión</w:t>
      </w:r>
      <w:proofErr w:type="spellEnd"/>
    </w:p>
    <w:p w14:paraId="5115B5D8" w14:textId="77777777" w:rsidR="00740B0F" w:rsidRPr="00740B0F" w:rsidRDefault="00740B0F" w:rsidP="0074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La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cercanía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entre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rendimiento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esperado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y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observado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junto con un CAGR superior al 24% y un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comportamiento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sobresaliente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durante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la pandemia,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evidencian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que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el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portafolio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:</w:t>
      </w:r>
    </w:p>
    <w:p w14:paraId="48EDF616" w14:textId="77777777" w:rsidR="00740B0F" w:rsidRPr="00740B0F" w:rsidRDefault="00740B0F" w:rsidP="00740B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Cumple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con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los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principios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eficiencia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teórica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,</w:t>
      </w:r>
    </w:p>
    <w:p w14:paraId="6C0682EE" w14:textId="77777777" w:rsidR="00740B0F" w:rsidRPr="00740B0F" w:rsidRDefault="00740B0F" w:rsidP="00740B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Y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demuestra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robustez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empírica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ante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eventos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reales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14:paraId="50D9D59A" w14:textId="77777777" w:rsidR="00740B0F" w:rsidRPr="00740B0F" w:rsidRDefault="00740B0F" w:rsidP="00740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Esta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alineación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entre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modelo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y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realidad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consolida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la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estrategia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herramienta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fiable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para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inversores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orientados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al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crecimiento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sostenido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y al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manejo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activo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del </w:t>
      </w:r>
      <w:proofErr w:type="spellStart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riesgo</w:t>
      </w:r>
      <w:proofErr w:type="spellEnd"/>
      <w:r w:rsidRPr="00740B0F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14:paraId="2E7D908B" w14:textId="77777777" w:rsidR="00740B0F" w:rsidRDefault="00740B0F" w:rsidP="006B214A">
      <w:pPr>
        <w:pStyle w:val="NormalWeb"/>
        <w:rPr>
          <w:color w:val="000000"/>
        </w:rPr>
      </w:pPr>
    </w:p>
    <w:p w14:paraId="7FEC1B19" w14:textId="3935AE11" w:rsidR="006E0FC9" w:rsidRPr="003F1676" w:rsidRDefault="006E0FC9" w:rsidP="003F1676">
      <w:pPr>
        <w:rPr>
          <w:lang w:val="en-US"/>
        </w:rPr>
      </w:pPr>
    </w:p>
    <w:sectPr w:rsidR="006E0FC9" w:rsidRPr="003F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304F2"/>
    <w:multiLevelType w:val="multilevel"/>
    <w:tmpl w:val="E8F6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F4104"/>
    <w:multiLevelType w:val="multilevel"/>
    <w:tmpl w:val="0090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8171E"/>
    <w:multiLevelType w:val="multilevel"/>
    <w:tmpl w:val="3188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064F3"/>
    <w:multiLevelType w:val="multilevel"/>
    <w:tmpl w:val="068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33D2D"/>
    <w:multiLevelType w:val="multilevel"/>
    <w:tmpl w:val="525C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165E7"/>
    <w:multiLevelType w:val="multilevel"/>
    <w:tmpl w:val="48F0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72923"/>
    <w:multiLevelType w:val="multilevel"/>
    <w:tmpl w:val="9AC8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574D9"/>
    <w:multiLevelType w:val="multilevel"/>
    <w:tmpl w:val="0054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06575"/>
    <w:multiLevelType w:val="multilevel"/>
    <w:tmpl w:val="FE26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661497">
    <w:abstractNumId w:val="5"/>
  </w:num>
  <w:num w:numId="2" w16cid:durableId="877468303">
    <w:abstractNumId w:val="7"/>
  </w:num>
  <w:num w:numId="3" w16cid:durableId="2099253602">
    <w:abstractNumId w:val="6"/>
  </w:num>
  <w:num w:numId="4" w16cid:durableId="2019384084">
    <w:abstractNumId w:val="4"/>
  </w:num>
  <w:num w:numId="5" w16cid:durableId="1604606574">
    <w:abstractNumId w:val="0"/>
  </w:num>
  <w:num w:numId="6" w16cid:durableId="879516551">
    <w:abstractNumId w:val="1"/>
  </w:num>
  <w:num w:numId="7" w16cid:durableId="1024136771">
    <w:abstractNumId w:val="2"/>
  </w:num>
  <w:num w:numId="8" w16cid:durableId="1860854146">
    <w:abstractNumId w:val="8"/>
  </w:num>
  <w:num w:numId="9" w16cid:durableId="898326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1E"/>
    <w:rsid w:val="00042105"/>
    <w:rsid w:val="00122265"/>
    <w:rsid w:val="003775B2"/>
    <w:rsid w:val="003F1676"/>
    <w:rsid w:val="00614D9E"/>
    <w:rsid w:val="006B214A"/>
    <w:rsid w:val="006E0FC9"/>
    <w:rsid w:val="00740B0F"/>
    <w:rsid w:val="008A2F3A"/>
    <w:rsid w:val="009105C0"/>
    <w:rsid w:val="009729C7"/>
    <w:rsid w:val="00A33EB6"/>
    <w:rsid w:val="00B431EF"/>
    <w:rsid w:val="00D8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4947"/>
  <w15:chartTrackingRefBased/>
  <w15:docId w15:val="{DDDD777D-7582-45AD-8344-836401BC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676"/>
    <w:rPr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5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5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85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85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21E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D85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21E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D85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2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421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210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42105"/>
  </w:style>
  <w:style w:type="character" w:styleId="Emphasis">
    <w:name w:val="Emphasis"/>
    <w:basedOn w:val="DefaultParagraphFont"/>
    <w:uiPriority w:val="20"/>
    <w:qFormat/>
    <w:rsid w:val="00042105"/>
    <w:rPr>
      <w:i/>
      <w:iCs/>
    </w:rPr>
  </w:style>
  <w:style w:type="character" w:customStyle="1" w:styleId="katex-mathml">
    <w:name w:val="katex-mathml"/>
    <w:basedOn w:val="DefaultParagraphFont"/>
    <w:rsid w:val="00740B0F"/>
  </w:style>
  <w:style w:type="character" w:customStyle="1" w:styleId="mord">
    <w:name w:val="mord"/>
    <w:basedOn w:val="DefaultParagraphFont"/>
    <w:rsid w:val="00740B0F"/>
  </w:style>
  <w:style w:type="character" w:customStyle="1" w:styleId="mopen">
    <w:name w:val="mopen"/>
    <w:basedOn w:val="DefaultParagraphFont"/>
    <w:rsid w:val="00740B0F"/>
  </w:style>
  <w:style w:type="character" w:customStyle="1" w:styleId="vlist-s">
    <w:name w:val="vlist-s"/>
    <w:basedOn w:val="DefaultParagraphFont"/>
    <w:rsid w:val="00740B0F"/>
  </w:style>
  <w:style w:type="character" w:customStyle="1" w:styleId="mclose">
    <w:name w:val="mclose"/>
    <w:basedOn w:val="DefaultParagraphFont"/>
    <w:rsid w:val="00740B0F"/>
  </w:style>
  <w:style w:type="character" w:customStyle="1" w:styleId="mrel">
    <w:name w:val="mrel"/>
    <w:basedOn w:val="DefaultParagraphFont"/>
    <w:rsid w:val="00740B0F"/>
  </w:style>
  <w:style w:type="character" w:customStyle="1" w:styleId="delimsizing">
    <w:name w:val="delimsizing"/>
    <w:basedOn w:val="DefaultParagraphFont"/>
    <w:rsid w:val="00740B0F"/>
  </w:style>
  <w:style w:type="character" w:customStyle="1" w:styleId="mop">
    <w:name w:val="mop"/>
    <w:basedOn w:val="DefaultParagraphFont"/>
    <w:rsid w:val="00740B0F"/>
  </w:style>
  <w:style w:type="character" w:customStyle="1" w:styleId="mbin">
    <w:name w:val="mbin"/>
    <w:basedOn w:val="DefaultParagraphFont"/>
    <w:rsid w:val="00740B0F"/>
  </w:style>
  <w:style w:type="character" w:customStyle="1" w:styleId="mpunct">
    <w:name w:val="mpunct"/>
    <w:basedOn w:val="DefaultParagraphFont"/>
    <w:rsid w:val="00740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7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4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2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0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2240</Words>
  <Characters>12773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Ayala, José Manuel</dc:creator>
  <cp:keywords/>
  <dc:description/>
  <cp:lastModifiedBy>Rodrigo Castilla</cp:lastModifiedBy>
  <cp:revision>4</cp:revision>
  <dcterms:created xsi:type="dcterms:W3CDTF">2025-05-14T18:19:00Z</dcterms:created>
  <dcterms:modified xsi:type="dcterms:W3CDTF">2025-05-23T18:28:00Z</dcterms:modified>
</cp:coreProperties>
</file>