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{{fecha}}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(Fecha de hoy ) automático</w:t>
      </w:r>
    </w:p>
    <w:p w:rsidR="00000000" w:rsidDel="00000000" w:rsidP="00000000" w:rsidRDefault="00000000" w:rsidRPr="00000000" w14:paraId="00000002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highlight w:val="yellow"/>
          <w:rtl w:val="0"/>
        </w:rPr>
        <w:t xml:space="preserve">{{consecutivo}}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(Consecutivo de cotizaciones)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highlight w:val="yellow"/>
          <w:rtl w:val="0"/>
        </w:rPr>
        <w:t xml:space="preserve">Señores.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green"/>
          <w:rtl w:val="0"/>
        </w:rPr>
        <w:t xml:space="preserve">{{nombre}}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(Constructora) escribir</w:t>
      </w:r>
    </w:p>
    <w:p w:rsidR="00000000" w:rsidDel="00000000" w:rsidP="00000000" w:rsidRDefault="00000000" w:rsidRPr="00000000" w14:paraId="00000006">
      <w:pPr>
        <w:tabs>
          <w:tab w:val="left" w:leader="none" w:pos="1050"/>
        </w:tabs>
        <w:spacing w:line="360" w:lineRule="auto"/>
        <w:jc w:val="right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REF.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green"/>
          <w:rtl w:val="0"/>
        </w:rPr>
        <w:t xml:space="preserve">{{referencia}}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(Constructora) escribir</w:t>
      </w:r>
    </w:p>
    <w:p w:rsidR="00000000" w:rsidDel="00000000" w:rsidP="00000000" w:rsidRDefault="00000000" w:rsidRPr="00000000" w14:paraId="00000007">
      <w:pPr>
        <w:tabs>
          <w:tab w:val="left" w:leader="none" w:pos="1050"/>
        </w:tabs>
        <w:spacing w:line="360" w:lineRule="auto"/>
        <w:jc w:val="right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green"/>
          <w:rtl w:val="0"/>
        </w:rPr>
        <w:t xml:space="preserve">{{proyecto}}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(Constructora) escribir</w:t>
      </w:r>
    </w:p>
    <w:p w:rsidR="00000000" w:rsidDel="00000000" w:rsidP="00000000" w:rsidRDefault="00000000" w:rsidRPr="00000000" w14:paraId="00000008">
      <w:pPr>
        <w:tabs>
          <w:tab w:val="left" w:leader="none" w:pos="1050"/>
        </w:tabs>
        <w:spacing w:line="360" w:lineRule="auto"/>
        <w:jc w:val="right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De acuerdo con su solicitud, nos permitimos presentar la propuesta comercial para las actividades impermeabilización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de fosos de ascensor, cubiertas y tanques de agua potable del proyecto EL MUELLE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(Se saca de cada uno de los ítems de la cotización )</w:t>
      </w:r>
    </w:p>
    <w:p w:rsidR="00000000" w:rsidDel="00000000" w:rsidP="00000000" w:rsidRDefault="00000000" w:rsidRPr="00000000" w14:paraId="0000000A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CONDICIONES TECNICAS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El tiempo de ejecución es de (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Poner numero y días/meses o semanas)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  <w:rtl w:val="0"/>
        </w:rPr>
        <w:t xml:space="preserve">Cuenta con personal de seguridad industrial y salud en el trabajo. (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Poner si cuenta o no)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  <w:rtl w:val="0"/>
        </w:rPr>
        <w:t xml:space="preserve">Impermeabilización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plataforma Vehicular: (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llama de los items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  <w:rtl w:val="0"/>
        </w:rPr>
        <w:t xml:space="preserve">Sistema POLIURE EN CALIENTE (Escribir el sistema).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Poner la especificación tecnica)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caso de poner mas cosas poner.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POLIZAS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Póliza de Buen Manejo del Anticipo, por el (100%) del valor del anticipo, por un término igual al de la duración del contrato más cuatro (4) meses.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Póliza de Cumplimiento, por el (30%) del valor del contrato, por un término igual al de la duración del contrato más cuatro (4) meses.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Póliza de Responsabilidad Civil, por el (10%) del valor del contrato, po run término igual al de la duración del contrato más cuatro (4) meses.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Póliza de Prestaciones Sociales, por el (10%) del valor del contrato, con inclusión de indemnizaciones y sanciones, por un término igual al de la duración del contrato más tres (3) años y referida exclusivamente al personal vinculado con la labor que se contrata.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Póliza de Estabilidad de la Obra, por el (30%) del valor final del contrato, por un término de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  <w:rtl w:val="0"/>
        </w:rPr>
        <w:t xml:space="preserve">DOS (2) años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(Que sea de poner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green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a partir la fecha de la entrega definitiva de las actividades contratadas.</w:t>
      </w:r>
    </w:p>
    <w:p w:rsidR="00000000" w:rsidDel="00000000" w:rsidP="00000000" w:rsidRDefault="00000000" w:rsidRPr="00000000" w14:paraId="00000026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1417" w:top="1417" w:left="1701" w:right="1701" w:header="0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1500"/>
        <w:tblW w:w="13462.0" w:type="dxa"/>
        <w:jc w:val="left"/>
        <w:tblLayout w:type="fixed"/>
        <w:tblLook w:val="0400"/>
      </w:tblPr>
      <w:tblGrid>
        <w:gridCol w:w="2312"/>
        <w:gridCol w:w="6250"/>
        <w:gridCol w:w="900"/>
        <w:gridCol w:w="1160"/>
        <w:gridCol w:w="1280"/>
        <w:gridCol w:w="1560"/>
        <w:tblGridChange w:id="0">
          <w:tblGrid>
            <w:gridCol w:w="2312"/>
            <w:gridCol w:w="6250"/>
            <w:gridCol w:w="900"/>
            <w:gridCol w:w="1160"/>
            <w:gridCol w:w="1280"/>
            <w:gridCol w:w="15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ESPECIFICACION TECNICA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UNIDAD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VALOR UNITARIO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VALOR TOTAL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PERGOLAS EXPUESTAS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Suministro y aplicación de sistema de impermeabilización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POLIURETANO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aplicado a una capa color gris, se incluye activación de la superficie.  (Se solicita impermeabilizar directamente sobre la placa de concreto)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457,09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$   30.045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$   13.733.219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VALOR UNITARIO ANTES DE AIU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{{unitValueAIU}}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Administración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{{administration}}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Imprevisto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{{unforeseen}}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Utilidad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{{utility}}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Iva/Utilidad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{{vat}}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VALOR TOTAL AIU INCLUIDO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{{</w:t>
            </w:r>
            <w:r w:rsidDel="00000000" w:rsidR="00000000" w:rsidRPr="00000000">
              <w:rPr>
                <w:rFonts w:ascii="Courier New" w:cs="Courier New" w:eastAsia="Courier New" w:hAnsi="Courier New"/>
                <w:color w:val="c0bfbc"/>
                <w:sz w:val="23"/>
                <w:szCs w:val="23"/>
                <w:rtl w:val="0"/>
              </w:rPr>
              <w:t xml:space="preserve">unitValueAIUIncluded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}} </w:t>
            </w:r>
          </w:p>
        </w:tc>
      </w:tr>
    </w:tbl>
    <w:p w:rsidR="00000000" w:rsidDel="00000000" w:rsidP="00000000" w:rsidRDefault="00000000" w:rsidRPr="00000000" w14:paraId="00000058">
      <w:pPr>
        <w:tabs>
          <w:tab w:val="left" w:leader="none" w:pos="1050"/>
        </w:tabs>
        <w:spacing w:line="360" w:lineRule="auto"/>
        <w:jc w:val="center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PROPUESTA COMERCIAL</w:t>
      </w:r>
    </w:p>
    <w:p w:rsidR="00000000" w:rsidDel="00000000" w:rsidP="00000000" w:rsidRDefault="00000000" w:rsidRPr="00000000" w14:paraId="00000059">
      <w:pPr>
        <w:tabs>
          <w:tab w:val="left" w:leader="none" w:pos="1050"/>
        </w:tabs>
        <w:spacing w:line="360" w:lineRule="auto"/>
        <w:jc w:val="center"/>
        <w:rPr>
          <w:rFonts w:ascii="Bookman Old Style" w:cs="Bookman Old Style" w:eastAsia="Bookman Old Style" w:hAnsi="Bookman Old Style"/>
          <w:sz w:val="22"/>
          <w:szCs w:val="22"/>
        </w:rPr>
        <w:sectPr>
          <w:type w:val="nextPage"/>
          <w:pgSz w:h="12240" w:w="15840" w:orient="landscape"/>
          <w:pgMar w:bottom="1701" w:top="1701" w:left="1418" w:right="1418" w:header="0" w:footer="567"/>
        </w:sect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(Acá iría el cuadro)</w:t>
      </w:r>
    </w:p>
    <w:p w:rsidR="00000000" w:rsidDel="00000000" w:rsidP="00000000" w:rsidRDefault="00000000" w:rsidRPr="00000000" w14:paraId="0000005A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highlight w:val="yellow"/>
          <w:rtl w:val="0"/>
        </w:rPr>
        <w:t xml:space="preserve">CONDICIONES COMERCIALES DE LA PROPUESTA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5B">
      <w:pPr>
        <w:tabs>
          <w:tab w:val="left" w:leader="none" w:pos="1050"/>
        </w:tabs>
        <w:spacing w:line="360" w:lineRule="auto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highlight w:val="yellow"/>
          <w:rtl w:val="0"/>
        </w:rPr>
        <w:t xml:space="preserve">FORMA DE PAGO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:       30 % ANTICIPO + 70 %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CORTES QUINCENALES (Que sea de poner pero que automatico este esos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highlight w:val="yellow"/>
          <w:rtl w:val="0"/>
        </w:rPr>
        <w:t xml:space="preserve">VALIDEZ DE LA OFERTA: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                La propuesta estará vigente hasta el 31 de Diciembre del 2024 (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Valide siempre de un mes a partir de la fecha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), después de esta fecha se deberá actualizar la cotización.</w:t>
      </w:r>
    </w:p>
    <w:p w:rsidR="00000000" w:rsidDel="00000000" w:rsidP="00000000" w:rsidRDefault="00000000" w:rsidRPr="00000000" w14:paraId="0000005F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61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Sin otro particular, agradecemos la invitación a cotizar esperando que esta propuesta comercial se ajuste a sus requerimientos tanto técnicos como económicos.</w:t>
        <w:tab/>
      </w:r>
    </w:p>
    <w:p w:rsidR="00000000" w:rsidDel="00000000" w:rsidP="00000000" w:rsidRDefault="00000000" w:rsidRPr="00000000" w14:paraId="00000064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__________________________________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Nicolas Najhaf Akle Aponte                                                               </w:t>
      </w:r>
    </w:p>
    <w:p w:rsidR="00000000" w:rsidDel="00000000" w:rsidP="00000000" w:rsidRDefault="00000000" w:rsidRPr="00000000" w14:paraId="00000070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Ing. Residente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highlight w:val="yellow"/>
          <w:rtl w:val="0"/>
        </w:rPr>
        <w:t xml:space="preserve">SACMA     </w:t>
      </w:r>
    </w:p>
    <w:p w:rsidR="00000000" w:rsidDel="00000000" w:rsidP="00000000" w:rsidRDefault="00000000" w:rsidRPr="00000000" w14:paraId="00000072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000ff"/>
            <w:sz w:val="22"/>
            <w:szCs w:val="22"/>
            <w:highlight w:val="yellow"/>
            <w:u w:val="single"/>
            <w:rtl w:val="0"/>
          </w:rPr>
          <w:t xml:space="preserve">analista@sacma.com.co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            </w:t>
      </w:r>
    </w:p>
    <w:p w:rsidR="00000000" w:rsidDel="00000000" w:rsidP="00000000" w:rsidRDefault="00000000" w:rsidRPr="00000000" w14:paraId="00000073">
      <w:pPr>
        <w:tabs>
          <w:tab w:val="left" w:leader="none" w:pos="1050"/>
        </w:tabs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(Acá iría el nombre del asesor con la firma)</w:t>
      </w:r>
    </w:p>
    <w:sectPr>
      <w:type w:val="nextPage"/>
      <w:pgSz w:h="15840" w:w="12240" w:orient="portrait"/>
      <w:pgMar w:bottom="1418" w:top="1418" w:left="1701" w:right="1701" w:header="0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Bookman Old Style"/>
  <w:font w:name="BankGothic Lt BT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62195"/>
                        <a:ext cx="0" cy="43561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66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435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-1041399</wp:posOffset>
              </wp:positionH>
              <wp:positionV relativeFrom="paragraph">
                <wp:posOffset>12700</wp:posOffset>
              </wp:positionV>
              <wp:extent cx="2473960" cy="141351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113783" y="3078008"/>
                        <a:ext cx="246443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Calle 70ª Bis No. 19-14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Bogotá D.C - Colombia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-1041399</wp:posOffset>
              </wp:positionH>
              <wp:positionV relativeFrom="paragraph">
                <wp:posOffset>12700</wp:posOffset>
              </wp:positionV>
              <wp:extent cx="2473960" cy="141351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3960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62195"/>
                        <a:ext cx="0" cy="43561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66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435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1562100</wp:posOffset>
              </wp:positionH>
              <wp:positionV relativeFrom="paragraph">
                <wp:posOffset>0</wp:posOffset>
              </wp:positionV>
              <wp:extent cx="2473960" cy="14135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113783" y="3078008"/>
                        <a:ext cx="246443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P.B.X. (+571 7570650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Celular. 310 3287888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1562100</wp:posOffset>
              </wp:positionH>
              <wp:positionV relativeFrom="paragraph">
                <wp:posOffset>0</wp:posOffset>
              </wp:positionV>
              <wp:extent cx="2473960" cy="14135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3960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2057400</wp:posOffset>
              </wp:positionH>
              <wp:positionV relativeFrom="paragraph">
                <wp:posOffset>0</wp:posOffset>
              </wp:positionV>
              <wp:extent cx="2473960" cy="42100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113783" y="3574260"/>
                        <a:ext cx="2464435" cy="411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u w:val="single"/>
                              <w:vertAlign w:val="baseline"/>
                            </w:rPr>
                            <w:t xml:space="preserve">info@sacma.com.co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u w:val="single"/>
                              <w:vertAlign w:val="baseline"/>
                            </w:rPr>
                            <w:t xml:space="preserve">www.sacma.com.co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2057400</wp:posOffset>
              </wp:positionH>
              <wp:positionV relativeFrom="paragraph">
                <wp:posOffset>0</wp:posOffset>
              </wp:positionV>
              <wp:extent cx="2473960" cy="42100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3960" cy="421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BankGothic Lt BT" w:cs="BankGothic Lt BT" w:eastAsia="BankGothic Lt BT" w:hAnsi="BankGothic Lt BT"/>
        <w:b w:val="1"/>
        <w:i w:val="1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1"/>
        <w:smallCaps w:val="0"/>
        <w:strike w:val="0"/>
        <w:color w:val="333399"/>
        <w:sz w:val="44"/>
        <w:szCs w:val="44"/>
        <w:u w:val="none"/>
        <w:shd w:fill="auto" w:val="clear"/>
        <w:vertAlign w:val="baseline"/>
        <w:rtl w:val="0"/>
      </w:rPr>
      <w:t xml:space="preserve">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1"/>
        <w:i w:val="1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76200</wp:posOffset>
              </wp:positionV>
              <wp:extent cx="4219575" cy="7048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240975" y="3432338"/>
                        <a:ext cx="4210050" cy="695325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▪ IMPERMEABILIZACION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▪ PISOS INDUSTRIALES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▪ REFORZAMIENTO ESTRUCTURAL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▪ MANTENIMIENTO DE CUBIERTAS Y FACHADAS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76200</wp:posOffset>
              </wp:positionV>
              <wp:extent cx="4219575" cy="70485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9575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3453129</wp:posOffset>
          </wp:positionH>
          <wp:positionV relativeFrom="paragraph">
            <wp:posOffset>85725</wp:posOffset>
          </wp:positionV>
          <wp:extent cx="2409825" cy="69659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825" cy="6965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BankGothic Lt BT" w:cs="BankGothic Lt BT" w:eastAsia="BankGothic Lt BT" w:hAnsi="BankGothic Lt BT"/>
        <w:b w:val="1"/>
        <w:i w:val="1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2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analista@sacma.com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