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2D6" w:rsidRDefault="000A5758" w:rsidP="000E52D6">
      <w:pPr>
        <w:pStyle w:val="Heading1"/>
      </w:pPr>
      <w:r w:rsidRPr="000A5758">
        <w:t>﻿</w:t>
      </w:r>
      <w:r w:rsidR="000E52D6">
        <w:t xml:space="preserve">Introduction </w:t>
      </w:r>
    </w:p>
    <w:p w:rsidR="000E52D6" w:rsidRPr="000E52D6" w:rsidRDefault="000E52D6" w:rsidP="000E52D6"/>
    <w:p w:rsidR="000A5758" w:rsidRDefault="000A5758" w:rsidP="006546B8">
      <w:pPr>
        <w:pStyle w:val="Heading1"/>
        <w:rPr>
          <w:rFonts w:eastAsia="Times New Roman"/>
        </w:rPr>
      </w:pPr>
      <w:r w:rsidRPr="000A5758">
        <w:rPr>
          <w:rFonts w:eastAsia="Times New Roman"/>
        </w:rPr>
        <w:t xml:space="preserve">Braunstein, Alfredo, Anna Paola </w:t>
      </w:r>
      <w:proofErr w:type="spellStart"/>
      <w:r w:rsidRPr="000A5758">
        <w:rPr>
          <w:rFonts w:eastAsia="Times New Roman"/>
        </w:rPr>
        <w:t>Muntoni</w:t>
      </w:r>
      <w:proofErr w:type="spellEnd"/>
      <w:r w:rsidRPr="000A5758">
        <w:rPr>
          <w:rFonts w:eastAsia="Times New Roman"/>
        </w:rPr>
        <w:t xml:space="preserve">, and Andrea </w:t>
      </w:r>
      <w:proofErr w:type="spellStart"/>
      <w:r w:rsidRPr="000A5758">
        <w:rPr>
          <w:rFonts w:eastAsia="Times New Roman"/>
        </w:rPr>
        <w:t>Pagnani</w:t>
      </w:r>
      <w:proofErr w:type="spellEnd"/>
      <w:r w:rsidRPr="000A5758">
        <w:rPr>
          <w:rFonts w:eastAsia="Times New Roman"/>
        </w:rPr>
        <w:t>. “An Analytic Approximation of the</w:t>
      </w:r>
      <w:r>
        <w:rPr>
          <w:rFonts w:eastAsia="Times New Roman"/>
        </w:rPr>
        <w:t xml:space="preserve"> </w:t>
      </w:r>
      <w:r w:rsidRPr="000A5758">
        <w:rPr>
          <w:rFonts w:eastAsia="Times New Roman"/>
        </w:rPr>
        <w:t xml:space="preserve">Feasible Space of Metabolic Networks.” </w:t>
      </w:r>
      <w:r w:rsidRPr="000A5758">
        <w:rPr>
          <w:rFonts w:eastAsia="Times New Roman"/>
          <w:i/>
          <w:iCs/>
        </w:rPr>
        <w:t>Nature Communications</w:t>
      </w:r>
      <w:r w:rsidRPr="000A5758">
        <w:rPr>
          <w:rFonts w:eastAsia="Times New Roman"/>
        </w:rPr>
        <w:t xml:space="preserve"> 8, no. 1 (April 6, 2017): 1–9. </w:t>
      </w:r>
      <w:hyperlink r:id="rId5" w:history="1">
        <w:r w:rsidRPr="000A5758">
          <w:rPr>
            <w:rFonts w:eastAsia="Times New Roman"/>
            <w:color w:val="0000FF"/>
            <w:u w:val="single"/>
          </w:rPr>
          <w:t>https://doi.org/10.1038/ncomms14915</w:t>
        </w:r>
      </w:hyperlink>
      <w:r w:rsidRPr="000A5758">
        <w:rPr>
          <w:rFonts w:eastAsia="Times New Roman"/>
        </w:rPr>
        <w:t>.</w:t>
      </w:r>
    </w:p>
    <w:p w:rsidR="000A5758" w:rsidRDefault="000A5758" w:rsidP="000A5758"/>
    <w:p w:rsidR="004313D3" w:rsidRDefault="004313D3" w:rsidP="000A5758"/>
    <w:p w:rsidR="006D5E79" w:rsidRPr="000A5758" w:rsidRDefault="006D5E79" w:rsidP="006D5E79">
      <w:r>
        <w:t>“﻿Assuming a steady-state condition within a cell, metabolic fluxes satisfy an underdetermined linear system of stoichiometric equations. Characterizing the space of fluxes that satisfy such equations along with given bounds (and possibly additional relevant constraints) is considered of utmost importance for the understanding of cellular metabolism. Extreme values for each individual flux can be computed with linear programming (as flux balance analysis), and their marginal distributions can be approximately computed with Monte Carlo sampling”</w:t>
      </w:r>
    </w:p>
    <w:p w:rsidR="004313D3" w:rsidRDefault="004313D3" w:rsidP="000A5758"/>
    <w:p w:rsidR="000A5758" w:rsidRPr="000A5758" w:rsidRDefault="000A5758" w:rsidP="006546B8">
      <w:pPr>
        <w:pStyle w:val="Heading1"/>
        <w:rPr>
          <w:rFonts w:eastAsia="Times New Roman"/>
        </w:rPr>
      </w:pPr>
      <w:r w:rsidRPr="000A5758">
        <w:rPr>
          <w:rFonts w:eastAsia="Times New Roman"/>
        </w:rPr>
        <w:t>Fernandez-de-</w:t>
      </w:r>
      <w:proofErr w:type="spellStart"/>
      <w:r w:rsidRPr="000A5758">
        <w:rPr>
          <w:rFonts w:eastAsia="Times New Roman"/>
        </w:rPr>
        <w:t>Cossio</w:t>
      </w:r>
      <w:proofErr w:type="spellEnd"/>
      <w:r w:rsidRPr="000A5758">
        <w:rPr>
          <w:rFonts w:eastAsia="Times New Roman"/>
        </w:rPr>
        <w:t xml:space="preserve">-Diaz, Jorge, and Roberto </w:t>
      </w:r>
      <w:proofErr w:type="spellStart"/>
      <w:r w:rsidRPr="000A5758">
        <w:rPr>
          <w:rFonts w:eastAsia="Times New Roman"/>
        </w:rPr>
        <w:t>Mulet</w:t>
      </w:r>
      <w:proofErr w:type="spellEnd"/>
      <w:r w:rsidRPr="000A5758">
        <w:rPr>
          <w:rFonts w:eastAsia="Times New Roman"/>
        </w:rPr>
        <w:t xml:space="preserve">. “Maximum Entropy and Population Heterogeneity in Continuous Cell Cultures.” </w:t>
      </w:r>
      <w:r w:rsidRPr="000A5758">
        <w:rPr>
          <w:rFonts w:eastAsia="Times New Roman"/>
          <w:i/>
          <w:iCs/>
        </w:rPr>
        <w:t>PLOS Computational Biology</w:t>
      </w:r>
      <w:r w:rsidRPr="000A5758">
        <w:rPr>
          <w:rFonts w:eastAsia="Times New Roman"/>
        </w:rPr>
        <w:t xml:space="preserve"> 15, no. 2 (February 27, 2019): e1006823. </w:t>
      </w:r>
      <w:hyperlink r:id="rId6" w:history="1">
        <w:r w:rsidRPr="000A5758">
          <w:rPr>
            <w:rFonts w:eastAsia="Times New Roman"/>
            <w:color w:val="0000FF"/>
            <w:u w:val="single"/>
          </w:rPr>
          <w:t>https://doi.org/10.1371/journal.pcbi.1006823</w:t>
        </w:r>
      </w:hyperlink>
      <w:r w:rsidRPr="000A5758">
        <w:rPr>
          <w:rFonts w:eastAsia="Times New Roman"/>
        </w:rPr>
        <w:t>.</w:t>
      </w:r>
    </w:p>
    <w:p w:rsidR="000A5758" w:rsidRDefault="000A5758" w:rsidP="000A5758"/>
    <w:p w:rsidR="004313D3" w:rsidRDefault="004313D3" w:rsidP="000A5758"/>
    <w:p w:rsidR="004313D3" w:rsidRDefault="004313D3" w:rsidP="000A5758"/>
    <w:p w:rsidR="000A5758" w:rsidRPr="000A5758" w:rsidRDefault="000A5758" w:rsidP="006546B8">
      <w:pPr>
        <w:pStyle w:val="Heading1"/>
        <w:rPr>
          <w:rFonts w:eastAsia="Times New Roman"/>
        </w:rPr>
      </w:pPr>
      <w:r w:rsidRPr="000A5758">
        <w:rPr>
          <w:rFonts w:eastAsia="Times New Roman"/>
        </w:rPr>
        <w:t>Fernandez-de-</w:t>
      </w:r>
      <w:proofErr w:type="spellStart"/>
      <w:r w:rsidRPr="000A5758">
        <w:rPr>
          <w:rFonts w:eastAsia="Times New Roman"/>
        </w:rPr>
        <w:t>Cossio</w:t>
      </w:r>
      <w:proofErr w:type="spellEnd"/>
      <w:r w:rsidRPr="000A5758">
        <w:rPr>
          <w:rFonts w:eastAsia="Times New Roman"/>
        </w:rPr>
        <w:t xml:space="preserve">-Diaz, Jorge, </w:t>
      </w:r>
      <w:proofErr w:type="spellStart"/>
      <w:r w:rsidRPr="000A5758">
        <w:rPr>
          <w:rFonts w:eastAsia="Times New Roman"/>
        </w:rPr>
        <w:t>Kalet</w:t>
      </w:r>
      <w:proofErr w:type="spellEnd"/>
      <w:r w:rsidRPr="000A5758">
        <w:rPr>
          <w:rFonts w:eastAsia="Times New Roman"/>
        </w:rPr>
        <w:t xml:space="preserve"> Leon, and Roberto </w:t>
      </w:r>
      <w:proofErr w:type="spellStart"/>
      <w:r w:rsidRPr="000A5758">
        <w:rPr>
          <w:rFonts w:eastAsia="Times New Roman"/>
        </w:rPr>
        <w:t>Mulet</w:t>
      </w:r>
      <w:proofErr w:type="spellEnd"/>
      <w:r w:rsidRPr="000A5758">
        <w:rPr>
          <w:rFonts w:eastAsia="Times New Roman"/>
        </w:rPr>
        <w:t xml:space="preserve">. “Characterizing Steady States of Genome-Scale Metabolic Networks in Continuous Cell Cultures.” </w:t>
      </w:r>
      <w:proofErr w:type="spellStart"/>
      <w:r w:rsidRPr="000A5758">
        <w:rPr>
          <w:rFonts w:eastAsia="Times New Roman"/>
          <w:i/>
          <w:iCs/>
        </w:rPr>
        <w:t>PLoS</w:t>
      </w:r>
      <w:proofErr w:type="spellEnd"/>
      <w:r w:rsidRPr="000A5758">
        <w:rPr>
          <w:rFonts w:eastAsia="Times New Roman"/>
          <w:i/>
          <w:iCs/>
        </w:rPr>
        <w:t xml:space="preserve"> Computational Biology</w:t>
      </w:r>
      <w:r w:rsidRPr="000A5758">
        <w:rPr>
          <w:rFonts w:eastAsia="Times New Roman"/>
        </w:rPr>
        <w:t xml:space="preserve"> 13, no. 11 (2017): 1–22. </w:t>
      </w:r>
      <w:hyperlink r:id="rId7" w:history="1">
        <w:r w:rsidRPr="000A5758">
          <w:rPr>
            <w:rFonts w:eastAsia="Times New Roman"/>
            <w:color w:val="0000FF"/>
            <w:u w:val="single"/>
          </w:rPr>
          <w:t>https://doi.org/10.1371/journal.pcbi.1005835</w:t>
        </w:r>
      </w:hyperlink>
      <w:r w:rsidRPr="000A5758">
        <w:rPr>
          <w:rFonts w:eastAsia="Times New Roman"/>
        </w:rPr>
        <w:t>.</w:t>
      </w:r>
    </w:p>
    <w:p w:rsidR="004313D3" w:rsidRDefault="004313D3" w:rsidP="000A5758"/>
    <w:p w:rsidR="00E91BAD" w:rsidRDefault="00E91BAD" w:rsidP="00E91BAD">
      <w:r>
        <w:t>“</w:t>
      </w:r>
      <w:r>
        <w:t>Biotechnological products are obtained by treating cells as little factories that transform substrates into products of interest.</w:t>
      </w:r>
      <w:r>
        <w:t xml:space="preserve"> </w:t>
      </w:r>
      <w:r>
        <w:t>There are three major modes of cell culture: batch, fed-batch and continuous. In batch, cells are grown with a fixed initial pool</w:t>
      </w:r>
      <w:r>
        <w:t xml:space="preserve"> </w:t>
      </w:r>
      <w:r>
        <w:t>of nutrients until they starve, while in fed-batch the pool of nutrients is re-supplied at discrete time intervals. Cell cultures in the</w:t>
      </w:r>
      <w:r>
        <w:t xml:space="preserve"> </w:t>
      </w:r>
      <w:r>
        <w:t>continuous mode are carried out with a constant flow carrying fresh medium replacing culture fluid, cells, unused nutrients and</w:t>
      </w:r>
      <w:r>
        <w:t xml:space="preserve"> </w:t>
      </w:r>
      <w:r>
        <w:t>secreted metabolites, usually maintaining a constant culture volume.</w:t>
      </w:r>
      <w:r>
        <w:t>”</w:t>
      </w:r>
    </w:p>
    <w:p w:rsidR="00E91BAD" w:rsidRDefault="00E91BAD" w:rsidP="00E91BAD"/>
    <w:p w:rsidR="00E91BAD" w:rsidRDefault="00117751" w:rsidP="00117751">
      <w:r>
        <w:lastRenderedPageBreak/>
        <w:t>“</w:t>
      </w:r>
      <w:r>
        <w:t>﻿While at present most biotechnology industrial facilities</w:t>
      </w:r>
      <w:r>
        <w:t xml:space="preserve"> </w:t>
      </w:r>
      <w:r>
        <w:t>adopt batch or fed-batch processes, the advantages of continuous processing have been vigorously defended in the literature1–</w:t>
      </w:r>
      <w:proofErr w:type="gramStart"/>
      <w:r>
        <w:t>5,and</w:t>
      </w:r>
      <w:proofErr w:type="gramEnd"/>
      <w:r>
        <w:t xml:space="preserve"> currently some predict its widespread adoption in the near future6.</w:t>
      </w:r>
      <w:r>
        <w:t>”</w:t>
      </w:r>
    </w:p>
    <w:p w:rsidR="004313D3" w:rsidRPr="004313D3" w:rsidRDefault="004313D3" w:rsidP="006546B8">
      <w:pPr>
        <w:pStyle w:val="Heading1"/>
        <w:rPr>
          <w:rFonts w:eastAsia="Times New Roman"/>
        </w:rPr>
      </w:pPr>
      <w:proofErr w:type="spellStart"/>
      <w:r w:rsidRPr="004313D3">
        <w:rPr>
          <w:rFonts w:eastAsia="Times New Roman"/>
        </w:rPr>
        <w:t>Hädicke</w:t>
      </w:r>
      <w:proofErr w:type="spellEnd"/>
      <w:r w:rsidRPr="004313D3">
        <w:rPr>
          <w:rFonts w:eastAsia="Times New Roman"/>
        </w:rPr>
        <w:t xml:space="preserve">, O., V. </w:t>
      </w:r>
      <w:proofErr w:type="spellStart"/>
      <w:r w:rsidRPr="004313D3">
        <w:rPr>
          <w:rFonts w:eastAsia="Times New Roman"/>
        </w:rPr>
        <w:t>Lohr</w:t>
      </w:r>
      <w:proofErr w:type="spellEnd"/>
      <w:r w:rsidRPr="004313D3">
        <w:rPr>
          <w:rFonts w:eastAsia="Times New Roman"/>
        </w:rPr>
        <w:t xml:space="preserve">, Y. Genzel, U. </w:t>
      </w:r>
      <w:proofErr w:type="spellStart"/>
      <w:r w:rsidRPr="004313D3">
        <w:rPr>
          <w:rFonts w:eastAsia="Times New Roman"/>
        </w:rPr>
        <w:t>Reichl</w:t>
      </w:r>
      <w:proofErr w:type="spellEnd"/>
      <w:r w:rsidRPr="004313D3">
        <w:rPr>
          <w:rFonts w:eastAsia="Times New Roman"/>
        </w:rPr>
        <w:t xml:space="preserve">, and S. </w:t>
      </w:r>
      <w:proofErr w:type="spellStart"/>
      <w:r w:rsidRPr="004313D3">
        <w:rPr>
          <w:rFonts w:eastAsia="Times New Roman"/>
        </w:rPr>
        <w:t>Klamt</w:t>
      </w:r>
      <w:proofErr w:type="spellEnd"/>
      <w:r w:rsidRPr="004313D3">
        <w:rPr>
          <w:rFonts w:eastAsia="Times New Roman"/>
        </w:rPr>
        <w:t xml:space="preserve">. “Evaluating Differences of Metabolic Performances: Statistical Methods and Their Application to Animal Cell Cultivations.” </w:t>
      </w:r>
      <w:r w:rsidRPr="004313D3">
        <w:rPr>
          <w:rFonts w:eastAsia="Times New Roman"/>
          <w:i/>
          <w:iCs/>
        </w:rPr>
        <w:t>Biotechnology and Bioengineering</w:t>
      </w:r>
      <w:r w:rsidRPr="004313D3">
        <w:rPr>
          <w:rFonts w:eastAsia="Times New Roman"/>
        </w:rPr>
        <w:t xml:space="preserve"> 110, no. 10 (2013): 2633–42. </w:t>
      </w:r>
      <w:hyperlink r:id="rId8" w:history="1">
        <w:r w:rsidRPr="004313D3">
          <w:rPr>
            <w:rFonts w:eastAsia="Times New Roman"/>
            <w:color w:val="0000FF"/>
            <w:u w:val="single"/>
          </w:rPr>
          <w:t>https://doi.org/10.1002/bit.24926</w:t>
        </w:r>
      </w:hyperlink>
      <w:r w:rsidRPr="004313D3">
        <w:rPr>
          <w:rFonts w:eastAsia="Times New Roman"/>
        </w:rPr>
        <w:t>.</w:t>
      </w:r>
    </w:p>
    <w:p w:rsidR="009C7152" w:rsidRDefault="009C7152" w:rsidP="000A5758"/>
    <w:p w:rsidR="000A5758" w:rsidRDefault="009C7152" w:rsidP="009C7152">
      <w:proofErr w:type="gramStart"/>
      <w:r>
        <w:t>﻿</w:t>
      </w:r>
      <w:r w:rsidR="000E52D6">
        <w:t>“</w:t>
      </w:r>
      <w:proofErr w:type="gramEnd"/>
      <w:r>
        <w:t>Mathematical modeling of animal cell growth and metabolism is essential for the</w:t>
      </w:r>
      <w:r w:rsidR="000E52D6">
        <w:t xml:space="preserve"> </w:t>
      </w:r>
      <w:r>
        <w:t>understanding and improvement of the production of biopharmaceuticals.</w:t>
      </w:r>
      <w:r w:rsidR="000E52D6">
        <w:t xml:space="preserve"> </w:t>
      </w:r>
      <w:r>
        <w:t>Models can explain the dynamic behavior of cell growth and product formation,</w:t>
      </w:r>
      <w:r w:rsidR="000E52D6">
        <w:t xml:space="preserve"> </w:t>
      </w:r>
      <w:r>
        <w:t>support the identification of the most relevant parameters for process design,</w:t>
      </w:r>
      <w:r w:rsidR="000E52D6">
        <w:t xml:space="preserve"> </w:t>
      </w:r>
      <w:r>
        <w:t>and significantly reduce the number of experiments to be performed for process</w:t>
      </w:r>
      <w:r w:rsidR="000E52D6">
        <w:t xml:space="preserve"> </w:t>
      </w:r>
      <w:r>
        <w:t>optimization.</w:t>
      </w:r>
      <w:r w:rsidR="000E52D6">
        <w:t>”</w:t>
      </w:r>
    </w:p>
    <w:p w:rsidR="006546B8" w:rsidRDefault="006546B8" w:rsidP="009C7152"/>
    <w:p w:rsidR="006546B8" w:rsidRDefault="006546B8" w:rsidP="009C7152"/>
    <w:p w:rsidR="006546B8" w:rsidRPr="006546B8" w:rsidRDefault="006546B8" w:rsidP="006546B8">
      <w:pPr>
        <w:pStyle w:val="Heading1"/>
        <w:rPr>
          <w:rFonts w:eastAsia="Times New Roman"/>
        </w:rPr>
      </w:pPr>
      <w:r w:rsidRPr="006546B8">
        <w:rPr>
          <w:rFonts w:eastAsia="Times New Roman"/>
        </w:rPr>
        <w:t xml:space="preserve">De Martino, Andrea, and Daniele De Martino. “An Introduction to the Maximum Entropy Approach and Its Application to Inference Problems in Biology.” </w:t>
      </w:r>
      <w:proofErr w:type="spellStart"/>
      <w:r w:rsidRPr="006546B8">
        <w:rPr>
          <w:rFonts w:eastAsia="Times New Roman"/>
          <w:i/>
          <w:iCs/>
        </w:rPr>
        <w:t>Heliyon</w:t>
      </w:r>
      <w:proofErr w:type="spellEnd"/>
      <w:r w:rsidRPr="006546B8">
        <w:rPr>
          <w:rFonts w:eastAsia="Times New Roman"/>
        </w:rPr>
        <w:t xml:space="preserve"> 4, no. 4 (April 2018): e00596. </w:t>
      </w:r>
      <w:hyperlink r:id="rId9" w:history="1">
        <w:r w:rsidRPr="006546B8">
          <w:rPr>
            <w:rFonts w:eastAsia="Times New Roman"/>
            <w:color w:val="0000FF"/>
            <w:u w:val="single"/>
          </w:rPr>
          <w:t>https://doi.org/10.1016/j.heliyon.2018.e00596</w:t>
        </w:r>
      </w:hyperlink>
      <w:r w:rsidRPr="006546B8">
        <w:rPr>
          <w:rFonts w:eastAsia="Times New Roman"/>
        </w:rPr>
        <w:t>.</w:t>
      </w:r>
    </w:p>
    <w:p w:rsidR="006546B8" w:rsidRDefault="006546B8" w:rsidP="009C7152"/>
    <w:p w:rsidR="006546B8" w:rsidRDefault="004471F3" w:rsidP="006546B8">
      <w:r>
        <w:t>“</w:t>
      </w:r>
      <w:r w:rsidR="006546B8">
        <w:t>A cornerstone of statistical inference, the maximum entropy framework is being</w:t>
      </w:r>
      <w:r>
        <w:t xml:space="preserve"> </w:t>
      </w:r>
      <w:r w:rsidR="006546B8">
        <w:t>increasingly</w:t>
      </w:r>
      <w:r>
        <w:t xml:space="preserve"> </w:t>
      </w:r>
      <w:r w:rsidR="006546B8">
        <w:t>applied to construct descriptive and predictive models of biological</w:t>
      </w:r>
      <w:r>
        <w:t xml:space="preserve"> </w:t>
      </w:r>
      <w:r w:rsidR="006546B8">
        <w:t>systems, especially complex</w:t>
      </w:r>
      <w:r>
        <w:t xml:space="preserve"> </w:t>
      </w:r>
      <w:r w:rsidR="006546B8">
        <w:t>biological networks, from large experimental data sets.</w:t>
      </w:r>
      <w:r>
        <w:t xml:space="preserve"> </w:t>
      </w:r>
      <w:r w:rsidR="006546B8">
        <w:t>Both its broad applicability and the</w:t>
      </w:r>
      <w:r>
        <w:t xml:space="preserve"> </w:t>
      </w:r>
      <w:r w:rsidR="006546B8">
        <w:t>success it obtained in different contexts hinge</w:t>
      </w:r>
      <w:r>
        <w:t xml:space="preserve"> </w:t>
      </w:r>
      <w:r w:rsidR="006546B8">
        <w:t>upon its conceptual simplicity and mathematical soundness.</w:t>
      </w:r>
      <w:r>
        <w:t>”</w:t>
      </w:r>
    </w:p>
    <w:p w:rsidR="004471F3" w:rsidRDefault="004471F3" w:rsidP="006546B8"/>
    <w:p w:rsidR="004471F3" w:rsidRDefault="004471F3" w:rsidP="004471F3">
      <w:r>
        <w:t>“</w:t>
      </w:r>
      <w:r>
        <w:t>It is not unfair to say that the major drivers of biological discovery are currently</w:t>
      </w:r>
      <w:r w:rsidR="003E6376">
        <w:t xml:space="preserve"> </w:t>
      </w:r>
      <w:r>
        <w:t>found in increasingly accurate experimental techniques, now allowing to effectively</w:t>
      </w:r>
      <w:r w:rsidR="003E6376">
        <w:t xml:space="preserve"> </w:t>
      </w:r>
      <w:r>
        <w:t>probe systems over scales ranging from the intracellular environment to single cells</w:t>
      </w:r>
      <w:r w:rsidR="00E10212">
        <w:t xml:space="preserve"> </w:t>
      </w:r>
      <w:r>
        <w:t>to multi-cellular populations, and in increasingly efficient bioinformatic tools, by</w:t>
      </w:r>
      <w:r w:rsidR="00E10212">
        <w:t xml:space="preserve"> </w:t>
      </w:r>
      <w:r>
        <w:t>which intracellular components and their putative interactions can be mapped at</w:t>
      </w:r>
      <w:r w:rsidR="00E10212">
        <w:t xml:space="preserve"> </w:t>
      </w:r>
      <w:r>
        <w:t>genome and metabolome resolution. Yet, at least to some degree, these approaches</w:t>
      </w:r>
      <w:r w:rsidR="00E10212">
        <w:t xml:space="preserve"> </w:t>
      </w:r>
      <w:r>
        <w:t xml:space="preserve">still appear hard to integrate into </w:t>
      </w:r>
      <w:proofErr w:type="spellStart"/>
      <w:r>
        <w:t>quantitive</w:t>
      </w:r>
      <w:proofErr w:type="spellEnd"/>
      <w:r>
        <w:t xml:space="preserve"> predictive models of cellular </w:t>
      </w:r>
      <w:r w:rsidR="00E91BAD">
        <w:t>behavior</w:t>
      </w:r>
      <w:r>
        <w:t>.</w:t>
      </w:r>
      <w:r w:rsidR="00E10212">
        <w:t xml:space="preserve"> </w:t>
      </w:r>
      <w:r>
        <w:t>In a sense this is not surprising. Even if we possessed detailed information about all</w:t>
      </w:r>
      <w:r w:rsidR="00E10212">
        <w:t xml:space="preserve"> </w:t>
      </w:r>
      <w:r>
        <w:t>sub-cellular parts and processes (including intracellular machines, their interaction</w:t>
      </w:r>
      <w:r w:rsidR="00E10212">
        <w:t xml:space="preserve"> </w:t>
      </w:r>
      <w:r>
        <w:t>partners, regulatory pathways, mechanisms controlling the exchange with the</w:t>
      </w:r>
      <w:r w:rsidR="00E10212">
        <w:t xml:space="preserve"> </w:t>
      </w:r>
      <w:r>
        <w:t>medium, etc.), it would be hard to build a comprehensive mechanistic model of</w:t>
      </w:r>
      <w:r w:rsidR="00E10212">
        <w:t xml:space="preserve"> </w:t>
      </w:r>
      <w:r>
        <w:t>a cell, and possibly even harder to infer deep organization principles from it. In</w:t>
      </w:r>
      <w:r w:rsidR="00E10212">
        <w:t xml:space="preserve"> </w:t>
      </w:r>
      <w:r>
        <w:t>large part, this is due to the fact that cells have an enormous number of degrees</w:t>
      </w:r>
      <w:r w:rsidR="00E10212">
        <w:t xml:space="preserve"> </w:t>
      </w:r>
      <w:r>
        <w:t xml:space="preserve">of freedom (e.g. protein levels, RNA levels, metabolite levels, </w:t>
      </w:r>
      <w:r>
        <w:lastRenderedPageBreak/>
        <w:t>reaction fluxes,</w:t>
      </w:r>
      <w:r w:rsidR="00E10212">
        <w:t xml:space="preserve"> </w:t>
      </w:r>
      <w:r>
        <w:t xml:space="preserve">etc.) which, collectively, can take on an intimidatingly large number of </w:t>
      </w:r>
      <w:proofErr w:type="spellStart"/>
      <w:r>
        <w:t>physicochemically</w:t>
      </w:r>
      <w:proofErr w:type="spellEnd"/>
      <w:r>
        <w:t xml:space="preserve"> viable states.</w:t>
      </w:r>
      <w:r>
        <w:t>”</w:t>
      </w:r>
    </w:p>
    <w:p w:rsidR="006546B8" w:rsidRDefault="006546B8" w:rsidP="009C7152"/>
    <w:p w:rsidR="006D5E79" w:rsidRDefault="006D5E79" w:rsidP="009C7152"/>
    <w:p w:rsidR="006D5E79" w:rsidRDefault="006D5E79" w:rsidP="009C7152"/>
    <w:p w:rsidR="008D317D" w:rsidRDefault="008D317D" w:rsidP="009C7152"/>
    <w:p w:rsidR="008D317D" w:rsidRDefault="008D317D" w:rsidP="008D317D">
      <w:r>
        <w:t>Cell culture-derived products are a major part of the multi-billion</w:t>
      </w:r>
      <w:r>
        <w:t xml:space="preserve"> </w:t>
      </w:r>
      <w:r>
        <w:t>biotechnological industry portfolio. Although advantages of continuous</w:t>
      </w:r>
      <w:r>
        <w:t xml:space="preserve"> </w:t>
      </w:r>
      <w:r>
        <w:t>cultures have been commonly mentioned in the literature, the</w:t>
      </w:r>
      <w:r>
        <w:t xml:space="preserve"> </w:t>
      </w:r>
      <w:r>
        <w:t>preferred use of these technics over batch or fed-batch struggle with</w:t>
      </w:r>
      <w:r>
        <w:t xml:space="preserve"> </w:t>
      </w:r>
      <w:r>
        <w:t xml:space="preserve">the complexity displayed by these systems, i.e., hysteresis, </w:t>
      </w:r>
      <w:proofErr w:type="spellStart"/>
      <w:r>
        <w:t>multistability</w:t>
      </w:r>
      <w:proofErr w:type="spellEnd"/>
      <w:r>
        <w:t xml:space="preserve"> or sharp transitions between metabolic states. Mathematical</w:t>
      </w:r>
      <w:r>
        <w:t xml:space="preserve"> </w:t>
      </w:r>
      <w:r>
        <w:t>models could be then used to suggest strategies to lead the system to</w:t>
      </w:r>
      <w:r>
        <w:t xml:space="preserve"> </w:t>
      </w:r>
      <w:r>
        <w:t>the desire, more productive, state. In this sense, common approaches</w:t>
      </w:r>
      <w:r>
        <w:t xml:space="preserve"> </w:t>
      </w:r>
      <w:r>
        <w:t>usually take strong assumptions such as cell population homogeneity,</w:t>
      </w:r>
      <w:r>
        <w:t xml:space="preserve"> </w:t>
      </w:r>
      <w:r>
        <w:t>although the impact of heterogeneity in culture features is not well</w:t>
      </w:r>
      <w:r>
        <w:t xml:space="preserve"> </w:t>
      </w:r>
      <w:r>
        <w:t>understood. To gain insight into this subject, in a recent work, the</w:t>
      </w:r>
      <w:r>
        <w:t xml:space="preserve"> </w:t>
      </w:r>
      <w:r>
        <w:t>maximum entropy principle (MaxEnt) was used to model the</w:t>
      </w:r>
      <w:r>
        <w:t xml:space="preserve"> </w:t>
      </w:r>
      <w:r>
        <w:t>phenotypic distribution of a heterogeneous population of cells in a</w:t>
      </w:r>
      <w:r>
        <w:t xml:space="preserve"> </w:t>
      </w:r>
      <w:r>
        <w:t>chemostat (continuous culture device). The goal of the present work is</w:t>
      </w:r>
      <w:r>
        <w:t xml:space="preserve"> </w:t>
      </w:r>
      <w:r>
        <w:t>to face this formalism to literature-available experimental data derived</w:t>
      </w:r>
      <w:r>
        <w:t xml:space="preserve"> </w:t>
      </w:r>
      <w:r>
        <w:t>from chemostat cultivations. We compared the data with observables</w:t>
      </w:r>
      <w:r>
        <w:t xml:space="preserve"> </w:t>
      </w:r>
      <w:r>
        <w:t>inferred from two models, one using Flux Balance Analysis (FBA), an</w:t>
      </w:r>
      <w:r>
        <w:t xml:space="preserve"> </w:t>
      </w:r>
      <w:r>
        <w:t>industry-standard that assume culture homogeneity, and the MaxEnt</w:t>
      </w:r>
      <w:r>
        <w:t xml:space="preserve"> </w:t>
      </w:r>
      <w:r>
        <w:t>approach. We used publicly available genome-scale metabolic</w:t>
      </w:r>
      <w:r>
        <w:t xml:space="preserve"> </w:t>
      </w:r>
      <w:r>
        <w:t>networks (GEM) to model the metabolism of the cell line for each</w:t>
      </w:r>
      <w:r>
        <w:t xml:space="preserve"> </w:t>
      </w:r>
      <w:r>
        <w:t>culture. Partial results, using data from Escherichia coli (EColi K-12) and</w:t>
      </w:r>
      <w:r>
        <w:t xml:space="preserve"> </w:t>
      </w:r>
      <w:r>
        <w:t>a human-derived cell line (AGE1.HN.AAT) cultures, suggest better</w:t>
      </w:r>
      <w:r>
        <w:t xml:space="preserve"> </w:t>
      </w:r>
      <w:r>
        <w:t>agreement between model and experiment for the MaxEnt framework,</w:t>
      </w:r>
      <w:r>
        <w:t xml:space="preserve"> </w:t>
      </w:r>
      <w:r>
        <w:t>more evidently for the case of EColi K-12. Although we encountered</w:t>
      </w:r>
      <w:r>
        <w:t xml:space="preserve"> </w:t>
      </w:r>
      <w:r>
        <w:t>important limitations, like the lack of context-specific GEMs for each</w:t>
      </w:r>
      <w:r>
        <w:t xml:space="preserve"> </w:t>
      </w:r>
      <w:r>
        <w:t>cell line, the results could be an indication that the MaxEnt approach,</w:t>
      </w:r>
      <w:r>
        <w:t xml:space="preserve"> </w:t>
      </w:r>
      <w:r>
        <w:t>and the inclusion of culture heterogeneity, is a powerful tool for</w:t>
      </w:r>
      <w:r>
        <w:t xml:space="preserve"> </w:t>
      </w:r>
      <w:r>
        <w:t>modeling cell metabolism in continuous cultures.</w:t>
      </w:r>
    </w:p>
    <w:p w:rsidR="001935F5" w:rsidRDefault="001935F5" w:rsidP="008D317D"/>
    <w:p w:rsidR="001935F5" w:rsidRDefault="001935F5" w:rsidP="008D317D"/>
    <w:p w:rsidR="001935F5" w:rsidRDefault="00496465" w:rsidP="008D317D">
      <w:r>
        <w:t xml:space="preserve">Constraint-based technics </w:t>
      </w:r>
      <w:bookmarkStart w:id="0" w:name="_GoBack"/>
      <w:bookmarkEnd w:id="0"/>
      <w:r>
        <w:t xml:space="preserve">as Flux balance Analysis (FBA) </w:t>
      </w:r>
    </w:p>
    <w:sectPr w:rsidR="001935F5" w:rsidSect="00596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E3E63"/>
    <w:multiLevelType w:val="hybridMultilevel"/>
    <w:tmpl w:val="3B84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58"/>
    <w:rsid w:val="000A5758"/>
    <w:rsid w:val="000E52D6"/>
    <w:rsid w:val="00117751"/>
    <w:rsid w:val="001935F5"/>
    <w:rsid w:val="001D0175"/>
    <w:rsid w:val="003E6376"/>
    <w:rsid w:val="004313D3"/>
    <w:rsid w:val="004471F3"/>
    <w:rsid w:val="00496465"/>
    <w:rsid w:val="0059633F"/>
    <w:rsid w:val="006546B8"/>
    <w:rsid w:val="006D5E79"/>
    <w:rsid w:val="00764A51"/>
    <w:rsid w:val="008D317D"/>
    <w:rsid w:val="008E5CAC"/>
    <w:rsid w:val="009C7152"/>
    <w:rsid w:val="00A142CE"/>
    <w:rsid w:val="00B01618"/>
    <w:rsid w:val="00E10212"/>
    <w:rsid w:val="00E9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C6939"/>
  <w15:chartTrackingRefBased/>
  <w15:docId w15:val="{474072FA-DCDF-3D4C-83CF-6CFDA719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7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7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7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758"/>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0A575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A5758"/>
    <w:rPr>
      <w:rFonts w:eastAsiaTheme="minorEastAsia"/>
      <w:color w:val="5A5A5A" w:themeColor="text1" w:themeTint="A5"/>
      <w:spacing w:val="15"/>
      <w:sz w:val="22"/>
      <w:szCs w:val="22"/>
      <w:lang w:val="es-ES"/>
    </w:rPr>
  </w:style>
  <w:style w:type="character" w:customStyle="1" w:styleId="Heading1Char">
    <w:name w:val="Heading 1 Char"/>
    <w:basedOn w:val="DefaultParagraphFont"/>
    <w:link w:val="Heading1"/>
    <w:uiPriority w:val="9"/>
    <w:rsid w:val="000A5758"/>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0A5758"/>
    <w:rPr>
      <w:rFonts w:asciiTheme="majorHAnsi" w:eastAsiaTheme="majorEastAsia" w:hAnsiTheme="majorHAnsi" w:cstheme="majorBidi"/>
      <w:color w:val="2F5496" w:themeColor="accent1" w:themeShade="BF"/>
      <w:sz w:val="26"/>
      <w:szCs w:val="26"/>
      <w:lang w:val="es-ES"/>
    </w:rPr>
  </w:style>
  <w:style w:type="character" w:styleId="Emphasis">
    <w:name w:val="Emphasis"/>
    <w:basedOn w:val="DefaultParagraphFont"/>
    <w:uiPriority w:val="20"/>
    <w:qFormat/>
    <w:rsid w:val="000A5758"/>
    <w:rPr>
      <w:i/>
      <w:iCs/>
    </w:rPr>
  </w:style>
  <w:style w:type="character" w:styleId="IntenseEmphasis">
    <w:name w:val="Intense Emphasis"/>
    <w:basedOn w:val="DefaultParagraphFont"/>
    <w:uiPriority w:val="21"/>
    <w:qFormat/>
    <w:rsid w:val="000A5758"/>
    <w:rPr>
      <w:i/>
      <w:iCs/>
      <w:color w:val="4472C4" w:themeColor="accent1"/>
    </w:rPr>
  </w:style>
  <w:style w:type="paragraph" w:styleId="Quote">
    <w:name w:val="Quote"/>
    <w:basedOn w:val="Normal"/>
    <w:next w:val="Normal"/>
    <w:link w:val="QuoteChar"/>
    <w:uiPriority w:val="29"/>
    <w:qFormat/>
    <w:rsid w:val="000A57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5758"/>
    <w:rPr>
      <w:i/>
      <w:iCs/>
      <w:color w:val="404040" w:themeColor="text1" w:themeTint="BF"/>
    </w:rPr>
  </w:style>
  <w:style w:type="paragraph" w:styleId="IntenseQuote">
    <w:name w:val="Intense Quote"/>
    <w:basedOn w:val="Normal"/>
    <w:next w:val="Normal"/>
    <w:link w:val="IntenseQuoteChar"/>
    <w:uiPriority w:val="30"/>
    <w:qFormat/>
    <w:rsid w:val="000A575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5758"/>
    <w:rPr>
      <w:i/>
      <w:iCs/>
      <w:color w:val="4472C4" w:themeColor="accent1"/>
    </w:rPr>
  </w:style>
  <w:style w:type="paragraph" w:styleId="ListParagraph">
    <w:name w:val="List Paragraph"/>
    <w:basedOn w:val="Normal"/>
    <w:uiPriority w:val="34"/>
    <w:qFormat/>
    <w:rsid w:val="000A5758"/>
    <w:pPr>
      <w:ind w:left="720"/>
      <w:contextualSpacing/>
    </w:pPr>
  </w:style>
  <w:style w:type="character" w:styleId="Hyperlink">
    <w:name w:val="Hyperlink"/>
    <w:basedOn w:val="DefaultParagraphFont"/>
    <w:uiPriority w:val="99"/>
    <w:semiHidden/>
    <w:unhideWhenUsed/>
    <w:rsid w:val="000A5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42692">
      <w:bodyDiv w:val="1"/>
      <w:marLeft w:val="0"/>
      <w:marRight w:val="0"/>
      <w:marTop w:val="0"/>
      <w:marBottom w:val="0"/>
      <w:divBdr>
        <w:top w:val="none" w:sz="0" w:space="0" w:color="auto"/>
        <w:left w:val="none" w:sz="0" w:space="0" w:color="auto"/>
        <w:bottom w:val="none" w:sz="0" w:space="0" w:color="auto"/>
        <w:right w:val="none" w:sz="0" w:space="0" w:color="auto"/>
      </w:divBdr>
      <w:divsChild>
        <w:div w:id="131751206">
          <w:marLeft w:val="480"/>
          <w:marRight w:val="0"/>
          <w:marTop w:val="0"/>
          <w:marBottom w:val="0"/>
          <w:divBdr>
            <w:top w:val="none" w:sz="0" w:space="0" w:color="auto"/>
            <w:left w:val="none" w:sz="0" w:space="0" w:color="auto"/>
            <w:bottom w:val="none" w:sz="0" w:space="0" w:color="auto"/>
            <w:right w:val="none" w:sz="0" w:space="0" w:color="auto"/>
          </w:divBdr>
          <w:divsChild>
            <w:div w:id="20963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8747">
      <w:bodyDiv w:val="1"/>
      <w:marLeft w:val="0"/>
      <w:marRight w:val="0"/>
      <w:marTop w:val="0"/>
      <w:marBottom w:val="0"/>
      <w:divBdr>
        <w:top w:val="none" w:sz="0" w:space="0" w:color="auto"/>
        <w:left w:val="none" w:sz="0" w:space="0" w:color="auto"/>
        <w:bottom w:val="none" w:sz="0" w:space="0" w:color="auto"/>
        <w:right w:val="none" w:sz="0" w:space="0" w:color="auto"/>
      </w:divBdr>
      <w:divsChild>
        <w:div w:id="599528404">
          <w:marLeft w:val="480"/>
          <w:marRight w:val="0"/>
          <w:marTop w:val="0"/>
          <w:marBottom w:val="0"/>
          <w:divBdr>
            <w:top w:val="none" w:sz="0" w:space="0" w:color="auto"/>
            <w:left w:val="none" w:sz="0" w:space="0" w:color="auto"/>
            <w:bottom w:val="none" w:sz="0" w:space="0" w:color="auto"/>
            <w:right w:val="none" w:sz="0" w:space="0" w:color="auto"/>
          </w:divBdr>
          <w:divsChild>
            <w:div w:id="8869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609">
      <w:bodyDiv w:val="1"/>
      <w:marLeft w:val="0"/>
      <w:marRight w:val="0"/>
      <w:marTop w:val="0"/>
      <w:marBottom w:val="0"/>
      <w:divBdr>
        <w:top w:val="none" w:sz="0" w:space="0" w:color="auto"/>
        <w:left w:val="none" w:sz="0" w:space="0" w:color="auto"/>
        <w:bottom w:val="none" w:sz="0" w:space="0" w:color="auto"/>
        <w:right w:val="none" w:sz="0" w:space="0" w:color="auto"/>
      </w:divBdr>
      <w:divsChild>
        <w:div w:id="1695377730">
          <w:marLeft w:val="480"/>
          <w:marRight w:val="0"/>
          <w:marTop w:val="0"/>
          <w:marBottom w:val="0"/>
          <w:divBdr>
            <w:top w:val="none" w:sz="0" w:space="0" w:color="auto"/>
            <w:left w:val="none" w:sz="0" w:space="0" w:color="auto"/>
            <w:bottom w:val="none" w:sz="0" w:space="0" w:color="auto"/>
            <w:right w:val="none" w:sz="0" w:space="0" w:color="auto"/>
          </w:divBdr>
          <w:divsChild>
            <w:div w:id="1825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3207">
      <w:bodyDiv w:val="1"/>
      <w:marLeft w:val="0"/>
      <w:marRight w:val="0"/>
      <w:marTop w:val="0"/>
      <w:marBottom w:val="0"/>
      <w:divBdr>
        <w:top w:val="none" w:sz="0" w:space="0" w:color="auto"/>
        <w:left w:val="none" w:sz="0" w:space="0" w:color="auto"/>
        <w:bottom w:val="none" w:sz="0" w:space="0" w:color="auto"/>
        <w:right w:val="none" w:sz="0" w:space="0" w:color="auto"/>
      </w:divBdr>
      <w:divsChild>
        <w:div w:id="455681451">
          <w:marLeft w:val="480"/>
          <w:marRight w:val="0"/>
          <w:marTop w:val="0"/>
          <w:marBottom w:val="0"/>
          <w:divBdr>
            <w:top w:val="none" w:sz="0" w:space="0" w:color="auto"/>
            <w:left w:val="none" w:sz="0" w:space="0" w:color="auto"/>
            <w:bottom w:val="none" w:sz="0" w:space="0" w:color="auto"/>
            <w:right w:val="none" w:sz="0" w:space="0" w:color="auto"/>
          </w:divBdr>
          <w:divsChild>
            <w:div w:id="387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452">
      <w:bodyDiv w:val="1"/>
      <w:marLeft w:val="0"/>
      <w:marRight w:val="0"/>
      <w:marTop w:val="0"/>
      <w:marBottom w:val="0"/>
      <w:divBdr>
        <w:top w:val="none" w:sz="0" w:space="0" w:color="auto"/>
        <w:left w:val="none" w:sz="0" w:space="0" w:color="auto"/>
        <w:bottom w:val="none" w:sz="0" w:space="0" w:color="auto"/>
        <w:right w:val="none" w:sz="0" w:space="0" w:color="auto"/>
      </w:divBdr>
      <w:divsChild>
        <w:div w:id="786392623">
          <w:marLeft w:val="480"/>
          <w:marRight w:val="0"/>
          <w:marTop w:val="0"/>
          <w:marBottom w:val="0"/>
          <w:divBdr>
            <w:top w:val="none" w:sz="0" w:space="0" w:color="auto"/>
            <w:left w:val="none" w:sz="0" w:space="0" w:color="auto"/>
            <w:bottom w:val="none" w:sz="0" w:space="0" w:color="auto"/>
            <w:right w:val="none" w:sz="0" w:space="0" w:color="auto"/>
          </w:divBdr>
          <w:divsChild>
            <w:div w:id="9843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2141">
      <w:bodyDiv w:val="1"/>
      <w:marLeft w:val="0"/>
      <w:marRight w:val="0"/>
      <w:marTop w:val="0"/>
      <w:marBottom w:val="0"/>
      <w:divBdr>
        <w:top w:val="none" w:sz="0" w:space="0" w:color="auto"/>
        <w:left w:val="none" w:sz="0" w:space="0" w:color="auto"/>
        <w:bottom w:val="none" w:sz="0" w:space="0" w:color="auto"/>
        <w:right w:val="none" w:sz="0" w:space="0" w:color="auto"/>
      </w:divBdr>
      <w:divsChild>
        <w:div w:id="520824407">
          <w:marLeft w:val="480"/>
          <w:marRight w:val="0"/>
          <w:marTop w:val="0"/>
          <w:marBottom w:val="0"/>
          <w:divBdr>
            <w:top w:val="none" w:sz="0" w:space="0" w:color="auto"/>
            <w:left w:val="none" w:sz="0" w:space="0" w:color="auto"/>
            <w:bottom w:val="none" w:sz="0" w:space="0" w:color="auto"/>
            <w:right w:val="none" w:sz="0" w:space="0" w:color="auto"/>
          </w:divBdr>
          <w:divsChild>
            <w:div w:id="2103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bit.24926" TargetMode="External"/><Relationship Id="rId3" Type="http://schemas.openxmlformats.org/officeDocument/2006/relationships/settings" Target="settings.xml"/><Relationship Id="rId7" Type="http://schemas.openxmlformats.org/officeDocument/2006/relationships/hyperlink" Target="https://doi.org/10.1371/journal.pcbi.10058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cbi.1006823" TargetMode="External"/><Relationship Id="rId11" Type="http://schemas.openxmlformats.org/officeDocument/2006/relationships/theme" Target="theme/theme1.xml"/><Relationship Id="rId5" Type="http://schemas.openxmlformats.org/officeDocument/2006/relationships/hyperlink" Target="https://doi.org/10.1038/ncomms1491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heliyon.2018.e00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2020-03-10T23:28:00Z</dcterms:created>
  <dcterms:modified xsi:type="dcterms:W3CDTF">2020-03-12T03:33:00Z</dcterms:modified>
</cp:coreProperties>
</file>